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ind w:firstLine="0"/>
        <w:jc w:val="center"/>
        <w:rPr>
          <w:rFonts w:hint="eastAsia" w:eastAsia="黑体"/>
          <w:b/>
          <w:bCs/>
          <w:sz w:val="84"/>
        </w:rPr>
      </w:pPr>
    </w:p>
    <w:p>
      <w:pPr>
        <w:pStyle w:val="16"/>
        <w:ind w:firstLine="0"/>
        <w:jc w:val="center"/>
        <w:rPr>
          <w:rFonts w:hint="eastAsia" w:eastAsia="黑体"/>
          <w:b/>
          <w:bCs/>
          <w:sz w:val="84"/>
        </w:rPr>
      </w:pPr>
    </w:p>
    <w:p>
      <w:pPr>
        <w:pStyle w:val="16"/>
        <w:ind w:firstLine="0"/>
        <w:jc w:val="center"/>
        <w:rPr>
          <w:rFonts w:hint="eastAsia" w:eastAsia="黑体"/>
          <w:b/>
          <w:bCs/>
          <w:sz w:val="84"/>
        </w:rPr>
      </w:pPr>
      <w:r>
        <w:rPr>
          <w:rFonts w:hint="eastAsia" w:eastAsia="黑体"/>
          <w:b/>
          <w:bCs/>
          <w:sz w:val="84"/>
        </w:rPr>
        <w:t>询价采购文件</w:t>
      </w:r>
    </w:p>
    <w:p>
      <w:pPr>
        <w:spacing w:line="400" w:lineRule="exact"/>
        <w:jc w:val="center"/>
        <w:outlineLvl w:val="0"/>
        <w:rPr>
          <w:rFonts w:hint="eastAsia"/>
          <w:b/>
          <w:sz w:val="36"/>
          <w:szCs w:val="36"/>
        </w:rPr>
      </w:pPr>
    </w:p>
    <w:p>
      <w:pPr>
        <w:pStyle w:val="16"/>
        <w:ind w:left="3196" w:hanging="3196" w:hangingChars="995"/>
        <w:jc w:val="center"/>
        <w:rPr>
          <w:rFonts w:hint="eastAsia" w:eastAsia="宋体"/>
          <w:b/>
          <w:bCs/>
          <w:sz w:val="32"/>
          <w:lang w:val="en-US" w:eastAsia="zh-CN"/>
        </w:rPr>
      </w:pPr>
      <w:r>
        <w:rPr>
          <w:b/>
          <w:bCs/>
          <w:sz w:val="32"/>
        </w:rPr>
        <w:t>项目名称：</w:t>
      </w:r>
      <w:r>
        <w:rPr>
          <w:rFonts w:hint="eastAsia" w:ascii="方正仿宋_GBK" w:hAnsi="宋体" w:eastAsia="方正仿宋_GBK" w:cs="Arial"/>
          <w:sz w:val="32"/>
          <w:szCs w:val="32"/>
          <w:lang w:eastAsia="zh-CN"/>
        </w:rPr>
        <w:t>消防水泵控制柜更新服务</w:t>
      </w:r>
    </w:p>
    <w:p>
      <w:pPr>
        <w:pStyle w:val="16"/>
        <w:ind w:firstLine="0"/>
        <w:jc w:val="both"/>
        <w:rPr>
          <w:rFonts w:hint="eastAsia"/>
          <w:b/>
          <w:bCs/>
          <w:sz w:val="32"/>
        </w:rPr>
      </w:pPr>
    </w:p>
    <w:p>
      <w:pPr>
        <w:pStyle w:val="16"/>
        <w:ind w:firstLine="0"/>
        <w:jc w:val="center"/>
        <w:rPr>
          <w:rFonts w:hint="default" w:ascii="方正仿宋_GBK" w:hAnsi="宋体" w:eastAsia="方正仿宋_GBK" w:cs="Arial"/>
          <w:sz w:val="32"/>
          <w:szCs w:val="32"/>
          <w:lang w:val="en-US" w:eastAsia="zh-CN"/>
        </w:rPr>
      </w:pPr>
      <w:r>
        <w:rPr>
          <w:rFonts w:hint="eastAsia"/>
          <w:b/>
          <w:bCs/>
          <w:sz w:val="32"/>
        </w:rPr>
        <w:t>项目编号：</w:t>
      </w:r>
      <w:r>
        <w:rPr>
          <w:rFonts w:hint="eastAsia" w:ascii="方正仿宋_GBK" w:hAnsi="宋体" w:eastAsia="方正仿宋_GBK" w:cs="Arial"/>
          <w:sz w:val="32"/>
          <w:szCs w:val="32"/>
          <w:lang w:eastAsia="zh-CN"/>
        </w:rPr>
        <w:t>方源集团JY-202</w:t>
      </w:r>
      <w:r>
        <w:rPr>
          <w:rFonts w:hint="eastAsia" w:ascii="方正仿宋_GBK" w:hAnsi="宋体" w:eastAsia="方正仿宋_GBK" w:cs="Arial"/>
          <w:sz w:val="32"/>
          <w:szCs w:val="32"/>
          <w:lang w:val="en-US" w:eastAsia="zh-CN"/>
        </w:rPr>
        <w:t>4</w:t>
      </w:r>
      <w:r>
        <w:rPr>
          <w:rFonts w:hint="eastAsia" w:ascii="方正仿宋_GBK" w:hAnsi="宋体" w:eastAsia="方正仿宋_GBK" w:cs="Arial"/>
          <w:sz w:val="32"/>
          <w:szCs w:val="32"/>
          <w:lang w:eastAsia="zh-CN"/>
        </w:rPr>
        <w:t>-</w:t>
      </w:r>
      <w:r>
        <w:rPr>
          <w:rFonts w:hint="eastAsia" w:ascii="方正仿宋_GBK" w:hAnsi="宋体" w:eastAsia="方正仿宋_GBK" w:cs="Arial"/>
          <w:sz w:val="32"/>
          <w:szCs w:val="32"/>
          <w:lang w:val="en-US" w:eastAsia="zh-CN"/>
        </w:rPr>
        <w:t>04</w:t>
      </w:r>
    </w:p>
    <w:p>
      <w:pPr>
        <w:pStyle w:val="16"/>
        <w:ind w:firstLine="0"/>
        <w:jc w:val="center"/>
        <w:rPr>
          <w:rFonts w:hint="eastAsia"/>
          <w:b/>
          <w:bCs/>
          <w:sz w:val="32"/>
        </w:rPr>
      </w:pPr>
    </w:p>
    <w:p>
      <w:pPr>
        <w:pStyle w:val="16"/>
        <w:ind w:firstLine="0"/>
        <w:jc w:val="center"/>
        <w:rPr>
          <w:rFonts w:hint="eastAsia"/>
          <w:b/>
          <w:bCs/>
          <w:sz w:val="32"/>
        </w:rPr>
      </w:pPr>
    </w:p>
    <w:p>
      <w:pPr>
        <w:pStyle w:val="16"/>
        <w:ind w:firstLine="0"/>
        <w:jc w:val="center"/>
        <w:rPr>
          <w:rFonts w:hint="eastAsia"/>
          <w:b/>
          <w:bCs/>
          <w:sz w:val="32"/>
        </w:rPr>
      </w:pPr>
    </w:p>
    <w:p>
      <w:pPr>
        <w:pStyle w:val="16"/>
        <w:ind w:firstLine="0"/>
        <w:jc w:val="center"/>
        <w:rPr>
          <w:rFonts w:hint="eastAsia"/>
          <w:b/>
          <w:bCs/>
          <w:sz w:val="32"/>
        </w:rPr>
      </w:pPr>
    </w:p>
    <w:p>
      <w:pPr>
        <w:pStyle w:val="16"/>
        <w:ind w:firstLine="0"/>
        <w:jc w:val="center"/>
        <w:rPr>
          <w:rFonts w:hint="eastAsia" w:eastAsia="宋体"/>
          <w:b w:val="0"/>
          <w:bCs w:val="0"/>
          <w:sz w:val="32"/>
          <w:lang w:eastAsia="zh-CN"/>
        </w:rPr>
      </w:pPr>
      <w:r>
        <w:rPr>
          <w:rFonts w:hint="eastAsia"/>
          <w:b w:val="0"/>
          <w:bCs w:val="0"/>
          <w:sz w:val="32"/>
        </w:rPr>
        <w:t>江苏</w:t>
      </w:r>
      <w:r>
        <w:rPr>
          <w:rFonts w:hint="eastAsia"/>
          <w:b w:val="0"/>
          <w:bCs w:val="0"/>
          <w:sz w:val="32"/>
          <w:lang w:eastAsia="zh-CN"/>
        </w:rPr>
        <w:t>方源集团</w:t>
      </w:r>
    </w:p>
    <w:p>
      <w:pPr>
        <w:spacing w:line="480" w:lineRule="auto"/>
        <w:jc w:val="center"/>
        <w:outlineLvl w:val="0"/>
        <w:rPr>
          <w:rFonts w:hint="eastAsia" w:ascii="黑体" w:hAnsi="Arial" w:eastAsia="黑体"/>
          <w:b/>
          <w:sz w:val="44"/>
          <w:szCs w:val="21"/>
        </w:rPr>
      </w:pPr>
      <w:bookmarkStart w:id="0" w:name="_Toc90484544"/>
      <w:bookmarkStart w:id="1" w:name="_Toc528674843"/>
      <w:r>
        <w:rPr>
          <w:rFonts w:hint="eastAsia"/>
          <w:b w:val="0"/>
          <w:bCs w:val="0"/>
          <w:sz w:val="32"/>
        </w:rPr>
        <w:t>202</w:t>
      </w:r>
      <w:r>
        <w:rPr>
          <w:rFonts w:hint="eastAsia"/>
          <w:b w:val="0"/>
          <w:bCs w:val="0"/>
          <w:sz w:val="32"/>
          <w:lang w:val="en-US" w:eastAsia="zh-CN"/>
        </w:rPr>
        <w:t>4</w:t>
      </w:r>
      <w:r>
        <w:rPr>
          <w:rFonts w:hint="eastAsia"/>
          <w:b w:val="0"/>
          <w:bCs w:val="0"/>
          <w:sz w:val="32"/>
        </w:rPr>
        <w:t>年</w:t>
      </w:r>
      <w:r>
        <w:rPr>
          <w:rFonts w:hint="eastAsia"/>
          <w:b w:val="0"/>
          <w:bCs w:val="0"/>
          <w:sz w:val="32"/>
          <w:lang w:val="en-US" w:eastAsia="zh-CN"/>
        </w:rPr>
        <w:t>8</w:t>
      </w:r>
      <w:r>
        <w:rPr>
          <w:rFonts w:hint="eastAsia"/>
          <w:b w:val="0"/>
          <w:bCs w:val="0"/>
          <w:sz w:val="32"/>
        </w:rPr>
        <w:t>月</w:t>
      </w:r>
      <w:r>
        <w:rPr>
          <w:b w:val="0"/>
          <w:bCs w:val="0"/>
          <w:sz w:val="30"/>
          <w:szCs w:val="30"/>
        </w:rPr>
        <w:br w:type="page"/>
      </w:r>
      <w:bookmarkStart w:id="2" w:name="_Toc528674844"/>
      <w:r>
        <w:rPr>
          <w:rFonts w:hint="eastAsia" w:ascii="黑体" w:hAnsi="Arial" w:eastAsia="黑体"/>
          <w:b/>
          <w:sz w:val="44"/>
          <w:szCs w:val="21"/>
        </w:rPr>
        <w:t>目 录</w:t>
      </w:r>
      <w:bookmarkEnd w:id="0"/>
      <w:bookmarkEnd w:id="1"/>
      <w:bookmarkEnd w:id="2"/>
    </w:p>
    <w:p>
      <w:pPr>
        <w:pStyle w:val="10"/>
        <w:rPr>
          <w:rFonts w:ascii="Calibri" w:eastAsia="宋体"/>
          <w:b w:val="0"/>
          <w:caps w:val="0"/>
          <w:kern w:val="2"/>
          <w:sz w:val="28"/>
          <w:lang w:val="en-US" w:eastAsia="zh-CN"/>
        </w:rPr>
      </w:pPr>
      <w:r>
        <w:rPr>
          <w:rFonts w:ascii="宋体" w:hAnsi="宋体" w:eastAsia="宋体"/>
          <w:b w:val="0"/>
          <w:sz w:val="24"/>
          <w:szCs w:val="24"/>
        </w:rPr>
        <w:fldChar w:fldCharType="begin"/>
      </w:r>
      <w:r>
        <w:rPr>
          <w:rFonts w:ascii="宋体" w:hAnsi="宋体" w:eastAsia="宋体"/>
          <w:b w:val="0"/>
          <w:sz w:val="24"/>
          <w:szCs w:val="24"/>
        </w:rPr>
        <w:instrText xml:space="preserve"> TOC \o "1-1" \h \z \u </w:instrText>
      </w:r>
      <w:r>
        <w:rPr>
          <w:rFonts w:ascii="宋体" w:hAnsi="宋体" w:eastAsia="宋体"/>
          <w:b w:val="0"/>
          <w:sz w:val="24"/>
          <w:szCs w:val="24"/>
        </w:rPr>
        <w:fldChar w:fldCharType="separate"/>
      </w:r>
      <w:r>
        <w:rPr>
          <w:rStyle w:val="15"/>
          <w:sz w:val="28"/>
        </w:rPr>
        <w:fldChar w:fldCharType="begin"/>
      </w:r>
      <w:r>
        <w:rPr>
          <w:rStyle w:val="15"/>
          <w:sz w:val="28"/>
        </w:rPr>
        <w:instrText xml:space="preserve"> </w:instrText>
      </w:r>
      <w:r>
        <w:rPr>
          <w:sz w:val="28"/>
        </w:rPr>
        <w:instrText xml:space="preserve">HYPERLINK \l "_Toc90484544"</w:instrText>
      </w:r>
      <w:r>
        <w:rPr>
          <w:rStyle w:val="15"/>
          <w:sz w:val="28"/>
        </w:rPr>
        <w:instrText xml:space="preserve"> </w:instrText>
      </w:r>
      <w:r>
        <w:rPr>
          <w:rStyle w:val="15"/>
          <w:sz w:val="28"/>
        </w:rPr>
        <w:fldChar w:fldCharType="separate"/>
      </w:r>
      <w:r>
        <w:rPr>
          <w:rStyle w:val="15"/>
          <w:rFonts w:hint="eastAsia" w:hAnsi="Arial"/>
          <w:sz w:val="28"/>
        </w:rPr>
        <w:t>目</w:t>
      </w:r>
      <w:r>
        <w:rPr>
          <w:rStyle w:val="15"/>
          <w:rFonts w:hAnsi="Arial"/>
          <w:sz w:val="28"/>
        </w:rPr>
        <w:t xml:space="preserve"> </w:t>
      </w:r>
      <w:r>
        <w:rPr>
          <w:rStyle w:val="15"/>
          <w:rFonts w:hint="eastAsia" w:hAnsi="Arial"/>
          <w:sz w:val="28"/>
        </w:rPr>
        <w:t>录</w:t>
      </w:r>
      <w:r>
        <w:rPr>
          <w:sz w:val="28"/>
        </w:rPr>
        <w:tab/>
      </w:r>
      <w:r>
        <w:rPr>
          <w:sz w:val="28"/>
        </w:rPr>
        <w:fldChar w:fldCharType="begin"/>
      </w:r>
      <w:r>
        <w:rPr>
          <w:sz w:val="28"/>
        </w:rPr>
        <w:instrText xml:space="preserve"> PAGEREF _Toc90484544 \h </w:instrText>
      </w:r>
      <w:r>
        <w:rPr>
          <w:sz w:val="28"/>
        </w:rPr>
        <w:fldChar w:fldCharType="separate"/>
      </w:r>
      <w:r>
        <w:rPr>
          <w:sz w:val="28"/>
        </w:rPr>
        <w:t>1</w:t>
      </w:r>
      <w:r>
        <w:rPr>
          <w:sz w:val="28"/>
        </w:rPr>
        <w:fldChar w:fldCharType="end"/>
      </w:r>
      <w:r>
        <w:rPr>
          <w:rStyle w:val="15"/>
          <w:sz w:val="28"/>
        </w:rPr>
        <w:fldChar w:fldCharType="end"/>
      </w:r>
    </w:p>
    <w:p>
      <w:pPr>
        <w:pStyle w:val="10"/>
        <w:rPr>
          <w:rFonts w:ascii="Calibri" w:eastAsia="宋体"/>
          <w:b w:val="0"/>
          <w:caps w:val="0"/>
          <w:kern w:val="2"/>
          <w:sz w:val="28"/>
          <w:lang w:val="en-US" w:eastAsia="zh-CN"/>
        </w:rPr>
      </w:pPr>
      <w:r>
        <w:rPr>
          <w:rStyle w:val="15"/>
          <w:sz w:val="28"/>
        </w:rPr>
        <w:fldChar w:fldCharType="begin"/>
      </w:r>
      <w:r>
        <w:rPr>
          <w:rStyle w:val="15"/>
          <w:sz w:val="28"/>
        </w:rPr>
        <w:instrText xml:space="preserve"> </w:instrText>
      </w:r>
      <w:r>
        <w:rPr>
          <w:sz w:val="28"/>
        </w:rPr>
        <w:instrText xml:space="preserve">HYPERLINK \l "_Toc90484545"</w:instrText>
      </w:r>
      <w:r>
        <w:rPr>
          <w:rStyle w:val="15"/>
          <w:sz w:val="28"/>
        </w:rPr>
        <w:instrText xml:space="preserve"> </w:instrText>
      </w:r>
      <w:r>
        <w:rPr>
          <w:rStyle w:val="15"/>
          <w:sz w:val="28"/>
        </w:rPr>
        <w:fldChar w:fldCharType="separate"/>
      </w:r>
      <w:r>
        <w:rPr>
          <w:rStyle w:val="15"/>
          <w:rFonts w:hint="eastAsia"/>
          <w:sz w:val="28"/>
        </w:rPr>
        <w:t>第一章</w:t>
      </w:r>
      <w:r>
        <w:rPr>
          <w:rStyle w:val="15"/>
          <w:sz w:val="28"/>
        </w:rPr>
        <w:t xml:space="preserve"> </w:t>
      </w:r>
      <w:r>
        <w:rPr>
          <w:rStyle w:val="15"/>
          <w:rFonts w:hint="eastAsia"/>
          <w:sz w:val="28"/>
        </w:rPr>
        <w:t>采购邀请</w:t>
      </w:r>
      <w:r>
        <w:rPr>
          <w:sz w:val="28"/>
        </w:rPr>
        <w:tab/>
      </w:r>
      <w:r>
        <w:rPr>
          <w:sz w:val="28"/>
        </w:rPr>
        <w:fldChar w:fldCharType="begin"/>
      </w:r>
      <w:r>
        <w:rPr>
          <w:sz w:val="28"/>
        </w:rPr>
        <w:instrText xml:space="preserve"> PAGEREF _Toc90484545 \h </w:instrText>
      </w:r>
      <w:r>
        <w:rPr>
          <w:sz w:val="28"/>
        </w:rPr>
        <w:fldChar w:fldCharType="separate"/>
      </w:r>
      <w:r>
        <w:rPr>
          <w:sz w:val="28"/>
        </w:rPr>
        <w:t>3</w:t>
      </w:r>
      <w:r>
        <w:rPr>
          <w:sz w:val="28"/>
        </w:rPr>
        <w:fldChar w:fldCharType="end"/>
      </w:r>
      <w:r>
        <w:rPr>
          <w:rStyle w:val="15"/>
          <w:sz w:val="28"/>
        </w:rPr>
        <w:fldChar w:fldCharType="end"/>
      </w:r>
    </w:p>
    <w:p>
      <w:pPr>
        <w:pStyle w:val="10"/>
        <w:rPr>
          <w:rFonts w:ascii="Calibri" w:eastAsia="宋体"/>
          <w:b w:val="0"/>
          <w:caps w:val="0"/>
          <w:kern w:val="2"/>
          <w:sz w:val="28"/>
          <w:lang w:val="en-US" w:eastAsia="zh-CN"/>
        </w:rPr>
      </w:pPr>
      <w:r>
        <w:rPr>
          <w:rStyle w:val="15"/>
          <w:sz w:val="28"/>
        </w:rPr>
        <w:fldChar w:fldCharType="begin"/>
      </w:r>
      <w:r>
        <w:rPr>
          <w:rStyle w:val="15"/>
          <w:sz w:val="28"/>
        </w:rPr>
        <w:instrText xml:space="preserve"> </w:instrText>
      </w:r>
      <w:r>
        <w:rPr>
          <w:sz w:val="28"/>
        </w:rPr>
        <w:instrText xml:space="preserve">HYPERLINK \l "_Toc90484546"</w:instrText>
      </w:r>
      <w:r>
        <w:rPr>
          <w:rStyle w:val="15"/>
          <w:sz w:val="28"/>
        </w:rPr>
        <w:instrText xml:space="preserve"> </w:instrText>
      </w:r>
      <w:r>
        <w:rPr>
          <w:rStyle w:val="15"/>
          <w:sz w:val="28"/>
        </w:rPr>
        <w:fldChar w:fldCharType="separate"/>
      </w:r>
      <w:r>
        <w:rPr>
          <w:rStyle w:val="15"/>
          <w:rFonts w:hint="eastAsia"/>
          <w:sz w:val="28"/>
        </w:rPr>
        <w:t>第二章</w:t>
      </w:r>
      <w:r>
        <w:rPr>
          <w:rStyle w:val="15"/>
          <w:sz w:val="28"/>
        </w:rPr>
        <w:t xml:space="preserve"> </w:t>
      </w:r>
      <w:r>
        <w:rPr>
          <w:rStyle w:val="15"/>
          <w:rFonts w:hint="eastAsia"/>
          <w:sz w:val="28"/>
        </w:rPr>
        <w:t>供应商须知前附表</w:t>
      </w:r>
      <w:r>
        <w:rPr>
          <w:sz w:val="28"/>
        </w:rPr>
        <w:tab/>
      </w:r>
      <w:r>
        <w:rPr>
          <w:sz w:val="28"/>
        </w:rPr>
        <w:fldChar w:fldCharType="begin"/>
      </w:r>
      <w:r>
        <w:rPr>
          <w:sz w:val="28"/>
        </w:rPr>
        <w:instrText xml:space="preserve"> PAGEREF _Toc90484546 \h </w:instrText>
      </w:r>
      <w:r>
        <w:rPr>
          <w:sz w:val="28"/>
        </w:rPr>
        <w:fldChar w:fldCharType="separate"/>
      </w:r>
      <w:r>
        <w:rPr>
          <w:sz w:val="28"/>
        </w:rPr>
        <w:t>5</w:t>
      </w:r>
      <w:r>
        <w:rPr>
          <w:sz w:val="28"/>
        </w:rPr>
        <w:fldChar w:fldCharType="end"/>
      </w:r>
      <w:r>
        <w:rPr>
          <w:rStyle w:val="15"/>
          <w:sz w:val="28"/>
        </w:rPr>
        <w:fldChar w:fldCharType="end"/>
      </w:r>
    </w:p>
    <w:p>
      <w:pPr>
        <w:pStyle w:val="10"/>
        <w:rPr>
          <w:rFonts w:ascii="Calibri" w:eastAsia="宋体"/>
          <w:b w:val="0"/>
          <w:caps w:val="0"/>
          <w:kern w:val="2"/>
          <w:sz w:val="28"/>
          <w:lang w:val="en-US" w:eastAsia="zh-CN"/>
        </w:rPr>
      </w:pPr>
      <w:r>
        <w:rPr>
          <w:rStyle w:val="15"/>
          <w:sz w:val="28"/>
        </w:rPr>
        <w:fldChar w:fldCharType="begin"/>
      </w:r>
      <w:r>
        <w:rPr>
          <w:rStyle w:val="15"/>
          <w:sz w:val="28"/>
        </w:rPr>
        <w:instrText xml:space="preserve"> </w:instrText>
      </w:r>
      <w:r>
        <w:rPr>
          <w:sz w:val="28"/>
        </w:rPr>
        <w:instrText xml:space="preserve">HYPERLINK \l "_Toc90484547"</w:instrText>
      </w:r>
      <w:r>
        <w:rPr>
          <w:rStyle w:val="15"/>
          <w:sz w:val="28"/>
        </w:rPr>
        <w:instrText xml:space="preserve"> </w:instrText>
      </w:r>
      <w:r>
        <w:rPr>
          <w:rStyle w:val="15"/>
          <w:sz w:val="28"/>
        </w:rPr>
        <w:fldChar w:fldCharType="separate"/>
      </w:r>
      <w:r>
        <w:rPr>
          <w:rStyle w:val="15"/>
          <w:rFonts w:hint="eastAsia"/>
          <w:sz w:val="28"/>
        </w:rPr>
        <w:t>第三章</w:t>
      </w:r>
      <w:r>
        <w:rPr>
          <w:rStyle w:val="15"/>
          <w:sz w:val="28"/>
        </w:rPr>
        <w:t xml:space="preserve"> </w:t>
      </w:r>
      <w:r>
        <w:rPr>
          <w:rStyle w:val="15"/>
          <w:rFonts w:hint="eastAsia"/>
          <w:sz w:val="28"/>
        </w:rPr>
        <w:t>供应商资格要求</w:t>
      </w:r>
      <w:r>
        <w:rPr>
          <w:sz w:val="28"/>
        </w:rPr>
        <w:tab/>
      </w:r>
      <w:r>
        <w:rPr>
          <w:sz w:val="28"/>
        </w:rPr>
        <w:fldChar w:fldCharType="begin"/>
      </w:r>
      <w:r>
        <w:rPr>
          <w:sz w:val="28"/>
        </w:rPr>
        <w:instrText xml:space="preserve"> PAGEREF _Toc90484547 \h </w:instrText>
      </w:r>
      <w:r>
        <w:rPr>
          <w:sz w:val="28"/>
        </w:rPr>
        <w:fldChar w:fldCharType="separate"/>
      </w:r>
      <w:r>
        <w:rPr>
          <w:sz w:val="28"/>
        </w:rPr>
        <w:t>6</w:t>
      </w:r>
      <w:r>
        <w:rPr>
          <w:sz w:val="28"/>
        </w:rPr>
        <w:fldChar w:fldCharType="end"/>
      </w:r>
      <w:r>
        <w:rPr>
          <w:rStyle w:val="15"/>
          <w:sz w:val="28"/>
        </w:rPr>
        <w:fldChar w:fldCharType="end"/>
      </w:r>
    </w:p>
    <w:p>
      <w:pPr>
        <w:pStyle w:val="10"/>
        <w:rPr>
          <w:rFonts w:ascii="Calibri" w:eastAsia="宋体"/>
          <w:b w:val="0"/>
          <w:caps w:val="0"/>
          <w:kern w:val="2"/>
          <w:sz w:val="28"/>
          <w:lang w:val="en-US" w:eastAsia="zh-CN"/>
        </w:rPr>
      </w:pPr>
      <w:r>
        <w:rPr>
          <w:rStyle w:val="15"/>
          <w:sz w:val="28"/>
        </w:rPr>
        <w:fldChar w:fldCharType="begin"/>
      </w:r>
      <w:r>
        <w:rPr>
          <w:rStyle w:val="15"/>
          <w:sz w:val="28"/>
        </w:rPr>
        <w:instrText xml:space="preserve"> </w:instrText>
      </w:r>
      <w:r>
        <w:rPr>
          <w:sz w:val="28"/>
        </w:rPr>
        <w:instrText xml:space="preserve">HYPERLINK \l "_Toc90484548"</w:instrText>
      </w:r>
      <w:r>
        <w:rPr>
          <w:rStyle w:val="15"/>
          <w:sz w:val="28"/>
        </w:rPr>
        <w:instrText xml:space="preserve"> </w:instrText>
      </w:r>
      <w:r>
        <w:rPr>
          <w:rStyle w:val="15"/>
          <w:sz w:val="28"/>
        </w:rPr>
        <w:fldChar w:fldCharType="separate"/>
      </w:r>
      <w:r>
        <w:rPr>
          <w:rStyle w:val="15"/>
          <w:rFonts w:hint="eastAsia"/>
          <w:sz w:val="28"/>
        </w:rPr>
        <w:t>第四章</w:t>
      </w:r>
      <w:r>
        <w:rPr>
          <w:rStyle w:val="15"/>
          <w:sz w:val="28"/>
        </w:rPr>
        <w:t xml:space="preserve"> </w:t>
      </w:r>
      <w:r>
        <w:rPr>
          <w:rStyle w:val="15"/>
          <w:rFonts w:hint="eastAsia"/>
          <w:sz w:val="28"/>
        </w:rPr>
        <w:t>询价报价表</w:t>
      </w:r>
      <w:r>
        <w:rPr>
          <w:sz w:val="28"/>
        </w:rPr>
        <w:tab/>
      </w:r>
      <w:r>
        <w:rPr>
          <w:sz w:val="28"/>
        </w:rPr>
        <w:fldChar w:fldCharType="begin"/>
      </w:r>
      <w:r>
        <w:rPr>
          <w:sz w:val="28"/>
        </w:rPr>
        <w:instrText xml:space="preserve"> PAGEREF _Toc90484548 \h </w:instrText>
      </w:r>
      <w:r>
        <w:rPr>
          <w:sz w:val="28"/>
        </w:rPr>
        <w:fldChar w:fldCharType="separate"/>
      </w:r>
      <w:r>
        <w:rPr>
          <w:sz w:val="28"/>
        </w:rPr>
        <w:t>8</w:t>
      </w:r>
      <w:r>
        <w:rPr>
          <w:sz w:val="28"/>
        </w:rPr>
        <w:fldChar w:fldCharType="end"/>
      </w:r>
      <w:r>
        <w:rPr>
          <w:rStyle w:val="15"/>
          <w:sz w:val="28"/>
        </w:rPr>
        <w:fldChar w:fldCharType="end"/>
      </w:r>
    </w:p>
    <w:p>
      <w:pPr>
        <w:pStyle w:val="10"/>
        <w:rPr>
          <w:rFonts w:ascii="Calibri" w:eastAsia="宋体"/>
          <w:b w:val="0"/>
          <w:caps w:val="0"/>
          <w:kern w:val="2"/>
          <w:sz w:val="21"/>
          <w:szCs w:val="22"/>
          <w:lang w:val="en-US" w:eastAsia="zh-CN"/>
        </w:rPr>
      </w:pPr>
      <w:r>
        <w:rPr>
          <w:rStyle w:val="15"/>
          <w:sz w:val="28"/>
        </w:rPr>
        <w:fldChar w:fldCharType="begin"/>
      </w:r>
      <w:r>
        <w:rPr>
          <w:rStyle w:val="15"/>
          <w:sz w:val="28"/>
        </w:rPr>
        <w:instrText xml:space="preserve"> </w:instrText>
      </w:r>
      <w:r>
        <w:rPr>
          <w:sz w:val="28"/>
        </w:rPr>
        <w:instrText xml:space="preserve">HYPERLINK \l "_Toc90484549"</w:instrText>
      </w:r>
      <w:r>
        <w:rPr>
          <w:rStyle w:val="15"/>
          <w:sz w:val="28"/>
        </w:rPr>
        <w:instrText xml:space="preserve"> </w:instrText>
      </w:r>
      <w:r>
        <w:rPr>
          <w:rStyle w:val="15"/>
          <w:sz w:val="28"/>
        </w:rPr>
        <w:fldChar w:fldCharType="separate"/>
      </w:r>
      <w:r>
        <w:rPr>
          <w:rStyle w:val="15"/>
          <w:rFonts w:hint="eastAsia"/>
          <w:sz w:val="28"/>
        </w:rPr>
        <w:t>第五章</w:t>
      </w:r>
      <w:r>
        <w:rPr>
          <w:rStyle w:val="15"/>
          <w:sz w:val="28"/>
        </w:rPr>
        <w:t xml:space="preserve"> </w:t>
      </w:r>
      <w:r>
        <w:rPr>
          <w:rStyle w:val="15"/>
          <w:rFonts w:hint="eastAsia"/>
          <w:sz w:val="28"/>
        </w:rPr>
        <w:t>合同格式</w:t>
      </w:r>
      <w:r>
        <w:rPr>
          <w:sz w:val="28"/>
        </w:rPr>
        <w:tab/>
      </w:r>
      <w:r>
        <w:rPr>
          <w:sz w:val="28"/>
        </w:rPr>
        <w:fldChar w:fldCharType="begin"/>
      </w:r>
      <w:r>
        <w:rPr>
          <w:sz w:val="28"/>
        </w:rPr>
        <w:instrText xml:space="preserve"> PAGEREF _Toc90484549 \h </w:instrText>
      </w:r>
      <w:r>
        <w:rPr>
          <w:sz w:val="28"/>
        </w:rPr>
        <w:fldChar w:fldCharType="separate"/>
      </w:r>
      <w:r>
        <w:rPr>
          <w:sz w:val="28"/>
        </w:rPr>
        <w:t>9</w:t>
      </w:r>
      <w:r>
        <w:rPr>
          <w:sz w:val="28"/>
        </w:rPr>
        <w:fldChar w:fldCharType="end"/>
      </w:r>
      <w:r>
        <w:rPr>
          <w:rStyle w:val="15"/>
          <w:sz w:val="28"/>
        </w:rPr>
        <w:fldChar w:fldCharType="end"/>
      </w:r>
    </w:p>
    <w:p>
      <w:pPr>
        <w:pStyle w:val="10"/>
        <w:spacing w:line="360" w:lineRule="auto"/>
        <w:rPr>
          <w:rFonts w:hint="eastAsia" w:ascii="宋体" w:hAnsi="宋体" w:eastAsia="宋体"/>
          <w:b w:val="0"/>
          <w:sz w:val="24"/>
          <w:szCs w:val="24"/>
        </w:rPr>
      </w:pPr>
      <w:r>
        <w:rPr>
          <w:rFonts w:ascii="宋体" w:hAnsi="宋体" w:eastAsia="宋体"/>
          <w:b w:val="0"/>
          <w:sz w:val="24"/>
          <w:szCs w:val="24"/>
        </w:rPr>
        <w:fldChar w:fldCharType="end"/>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3"/>
        <w:jc w:val="center"/>
        <w:rPr>
          <w:rFonts w:hint="eastAsia" w:ascii="黑体" w:eastAsia="黑体"/>
        </w:rPr>
      </w:pPr>
      <w:bookmarkStart w:id="3" w:name="_Toc90484545"/>
      <w:r>
        <w:rPr>
          <w:rFonts w:hint="eastAsia" w:ascii="黑体" w:eastAsia="黑体"/>
        </w:rPr>
        <w:t>第一章 采购邀请</w:t>
      </w:r>
      <w:bookmarkEnd w:id="3"/>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lang w:eastAsia="zh-CN"/>
        </w:rPr>
        <w:t>方源集团</w:t>
      </w:r>
      <w:r>
        <w:rPr>
          <w:rFonts w:hint="eastAsia" w:ascii="方正仿宋_GBK" w:hAnsi="宋体" w:eastAsia="方正仿宋_GBK" w:cs="Arial"/>
          <w:sz w:val="24"/>
        </w:rPr>
        <w:t>因工作需要，决定询价采购</w:t>
      </w:r>
      <w:r>
        <w:rPr>
          <w:rFonts w:hint="eastAsia" w:ascii="方正仿宋_GBK" w:hAnsi="宋体" w:eastAsia="方正仿宋_GBK" w:cs="Arial"/>
          <w:sz w:val="24"/>
          <w:lang w:val="en-US" w:eastAsia="zh-CN"/>
        </w:rPr>
        <w:t>1家</w:t>
      </w:r>
      <w:r>
        <w:rPr>
          <w:rFonts w:hint="eastAsia" w:ascii="方正仿宋_GBK" w:hAnsi="宋体" w:eastAsia="方正仿宋_GBK" w:cs="Arial"/>
          <w:sz w:val="24"/>
          <w:lang w:eastAsia="zh-CN"/>
        </w:rPr>
        <w:t>服务供应商</w:t>
      </w:r>
      <w:r>
        <w:rPr>
          <w:rFonts w:hint="eastAsia" w:ascii="方正仿宋_GBK" w:hAnsi="宋体" w:eastAsia="方正仿宋_GBK" w:cs="Arial"/>
          <w:sz w:val="24"/>
        </w:rPr>
        <w:t>，</w:t>
      </w:r>
      <w:r>
        <w:rPr>
          <w:rFonts w:hint="eastAsia" w:ascii="方正仿宋_GBK" w:hAnsi="宋体" w:eastAsia="方正仿宋_GBK" w:cs="Arial"/>
          <w:sz w:val="24"/>
          <w:lang w:val="en-US" w:eastAsia="zh-CN"/>
        </w:rPr>
        <w:t>负责消防水泵控制柜更新服务，</w:t>
      </w:r>
      <w:r>
        <w:rPr>
          <w:rFonts w:hint="eastAsia" w:ascii="方正仿宋_GBK" w:hAnsi="宋体" w:eastAsia="方正仿宋_GBK" w:cs="Arial"/>
          <w:sz w:val="24"/>
        </w:rPr>
        <w:t>欢迎符合条件的供应商参加。</w:t>
      </w:r>
    </w:p>
    <w:p>
      <w:pPr>
        <w:pStyle w:val="7"/>
        <w:spacing w:after="0" w:line="400" w:lineRule="exact"/>
        <w:rPr>
          <w:rFonts w:hint="eastAsia" w:ascii="宋体" w:hAnsi="宋体"/>
          <w:b/>
          <w:bCs/>
          <w:sz w:val="24"/>
        </w:rPr>
      </w:pPr>
      <w:r>
        <w:rPr>
          <w:rFonts w:hint="eastAsia" w:ascii="宋体" w:hAnsi="宋体"/>
          <w:sz w:val="24"/>
        </w:rPr>
        <w:t>一、</w:t>
      </w:r>
      <w:r>
        <w:rPr>
          <w:rFonts w:hint="eastAsia" w:ascii="宋体" w:hAnsi="宋体"/>
          <w:b/>
          <w:bCs/>
          <w:sz w:val="24"/>
        </w:rPr>
        <w:t>采购项目名称及编号：</w:t>
      </w:r>
    </w:p>
    <w:p>
      <w:pPr>
        <w:snapToGrid w:val="0"/>
        <w:spacing w:line="400" w:lineRule="exact"/>
        <w:ind w:firstLine="480" w:firstLineChars="200"/>
        <w:rPr>
          <w:rFonts w:hint="eastAsia" w:ascii="方正仿宋_GBK" w:hAnsi="宋体" w:eastAsia="方正仿宋_GBK" w:cs="Arial"/>
          <w:sz w:val="24"/>
          <w:lang w:val="en-US" w:eastAsia="zh-CN"/>
        </w:rPr>
      </w:pPr>
      <w:r>
        <w:rPr>
          <w:rFonts w:hint="eastAsia" w:ascii="方正仿宋_GBK" w:hAnsi="宋体" w:eastAsia="方正仿宋_GBK" w:cs="Arial"/>
          <w:color w:val="000000"/>
          <w:sz w:val="24"/>
        </w:rPr>
        <w:t>名称：</w:t>
      </w:r>
      <w:r>
        <w:rPr>
          <w:rFonts w:hint="eastAsia" w:ascii="方正仿宋_GBK" w:hAnsi="宋体" w:eastAsia="方正仿宋_GBK" w:cs="Arial"/>
          <w:sz w:val="24"/>
          <w:lang w:val="en-US" w:eastAsia="zh-CN"/>
        </w:rPr>
        <w:t>消防水泵控制柜更新</w:t>
      </w:r>
    </w:p>
    <w:p>
      <w:pPr>
        <w:snapToGrid w:val="0"/>
        <w:spacing w:line="400" w:lineRule="exact"/>
        <w:ind w:firstLine="480" w:firstLineChars="200"/>
        <w:rPr>
          <w:rFonts w:hint="default" w:ascii="方正仿宋_GBK" w:hAnsi="宋体" w:eastAsia="方正仿宋_GBK" w:cs="Arial"/>
          <w:sz w:val="24"/>
          <w:lang w:val="en-US" w:eastAsia="zh-CN"/>
        </w:rPr>
      </w:pPr>
      <w:r>
        <w:rPr>
          <w:rFonts w:hint="eastAsia" w:ascii="方正仿宋_GBK" w:hAnsi="宋体" w:eastAsia="方正仿宋_GBK" w:cs="Arial"/>
          <w:color w:val="000000"/>
          <w:sz w:val="24"/>
        </w:rPr>
        <w:t>项目编号：</w:t>
      </w:r>
      <w:r>
        <w:rPr>
          <w:rFonts w:hint="eastAsia" w:ascii="方正仿宋_GBK" w:hAnsi="宋体" w:eastAsia="方正仿宋_GBK" w:cs="Arial"/>
          <w:color w:val="000000"/>
          <w:sz w:val="24"/>
          <w:lang w:eastAsia="zh-CN"/>
        </w:rPr>
        <w:t>方源集团</w:t>
      </w:r>
      <w:r>
        <w:rPr>
          <w:rFonts w:hint="eastAsia" w:ascii="方正仿宋_GBK" w:hAnsi="宋体" w:eastAsia="方正仿宋_GBK" w:cs="Arial"/>
          <w:sz w:val="24"/>
        </w:rPr>
        <w:t>JY-20</w:t>
      </w:r>
      <w:r>
        <w:rPr>
          <w:rFonts w:hint="eastAsia" w:ascii="方正仿宋_GBK" w:hAnsi="宋体" w:eastAsia="方正仿宋_GBK" w:cs="Arial"/>
          <w:sz w:val="24"/>
          <w:lang w:val="en-US" w:eastAsia="zh-CN"/>
        </w:rPr>
        <w:t>24</w:t>
      </w:r>
      <w:r>
        <w:rPr>
          <w:rFonts w:hint="eastAsia" w:ascii="方正仿宋_GBK" w:hAnsi="宋体" w:eastAsia="方正仿宋_GBK" w:cs="Arial"/>
          <w:sz w:val="24"/>
        </w:rPr>
        <w:t>-</w:t>
      </w:r>
      <w:r>
        <w:rPr>
          <w:rFonts w:hint="eastAsia" w:ascii="方正仿宋_GBK" w:hAnsi="宋体" w:eastAsia="方正仿宋_GBK" w:cs="Arial"/>
          <w:sz w:val="24"/>
          <w:lang w:val="en-US" w:eastAsia="zh-CN"/>
        </w:rPr>
        <w:t>04</w:t>
      </w:r>
    </w:p>
    <w:p>
      <w:pPr>
        <w:spacing w:line="400" w:lineRule="exact"/>
        <w:rPr>
          <w:rFonts w:hint="eastAsia" w:ascii="宋体" w:hAnsi="宋体"/>
          <w:b/>
          <w:bCs/>
          <w:color w:val="000000"/>
          <w:sz w:val="24"/>
        </w:rPr>
      </w:pPr>
      <w:r>
        <w:rPr>
          <w:rFonts w:hint="eastAsia" w:ascii="宋体" w:hAnsi="宋体"/>
          <w:b/>
          <w:bCs/>
          <w:color w:val="000000"/>
          <w:sz w:val="24"/>
        </w:rPr>
        <w:t>二、采购项目简要说明及预算金额：</w:t>
      </w:r>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项目简要说明：</w:t>
      </w:r>
    </w:p>
    <w:p>
      <w:pPr>
        <w:snapToGrid w:val="0"/>
        <w:spacing w:line="400" w:lineRule="exact"/>
        <w:ind w:firstLine="480" w:firstLineChars="200"/>
        <w:rPr>
          <w:rFonts w:hint="eastAsia" w:ascii="方正仿宋_GBK" w:hAnsi="宋体" w:eastAsia="方正仿宋_GBK" w:cs="Arial"/>
          <w:sz w:val="24"/>
          <w:lang w:eastAsia="zh-CN"/>
        </w:rPr>
      </w:pPr>
      <w:r>
        <w:rPr>
          <w:rFonts w:hint="eastAsia" w:ascii="方正仿宋_GBK" w:hAnsi="宋体" w:eastAsia="方正仿宋_GBK" w:cs="Arial"/>
          <w:sz w:val="24"/>
          <w:lang w:eastAsia="zh-CN"/>
        </w:rPr>
        <w:t>为</w:t>
      </w:r>
      <w:r>
        <w:rPr>
          <w:rFonts w:hint="eastAsia" w:ascii="方正仿宋_GBK" w:hAnsi="宋体" w:eastAsia="方正仿宋_GBK" w:cs="Arial"/>
          <w:sz w:val="24"/>
        </w:rPr>
        <w:t>保障机关</w:t>
      </w:r>
      <w:r>
        <w:rPr>
          <w:rFonts w:hint="eastAsia" w:ascii="方正仿宋_GBK" w:hAnsi="宋体" w:eastAsia="方正仿宋_GBK" w:cs="Arial"/>
          <w:sz w:val="24"/>
          <w:lang w:eastAsia="zh-CN"/>
        </w:rPr>
        <w:t>消防</w:t>
      </w:r>
      <w:r>
        <w:rPr>
          <w:rFonts w:hint="eastAsia" w:ascii="方正仿宋_GBK" w:hAnsi="宋体" w:eastAsia="方正仿宋_GBK" w:cs="Arial"/>
          <w:sz w:val="24"/>
        </w:rPr>
        <w:t>安全，需对消防水泵控制柜进行更新，并增加消防泵房室内消火栓泵出水管低压开关连锁启动装置</w:t>
      </w:r>
      <w:r>
        <w:rPr>
          <w:rFonts w:hint="eastAsia" w:ascii="方正仿宋_GBK" w:hAnsi="宋体" w:eastAsia="方正仿宋_GBK" w:cs="Arial"/>
          <w:sz w:val="24"/>
          <w:lang w:eastAsia="zh-CN"/>
        </w:rPr>
        <w:t>，更新地下车库污水池盖板，</w:t>
      </w:r>
      <w:r>
        <w:rPr>
          <w:rFonts w:hint="eastAsia" w:ascii="方正仿宋_GBK" w:hAnsi="宋体" w:eastAsia="方正仿宋_GBK" w:cs="Arial"/>
          <w:sz w:val="24"/>
        </w:rPr>
        <w:t>具体要求见需求</w:t>
      </w:r>
      <w:r>
        <w:rPr>
          <w:rFonts w:hint="eastAsia" w:ascii="方正仿宋_GBK" w:hAnsi="宋体" w:eastAsia="方正仿宋_GBK" w:cs="Arial"/>
          <w:sz w:val="24"/>
          <w:lang w:eastAsia="zh-CN"/>
        </w:rPr>
        <w:t>。</w:t>
      </w:r>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lang w:eastAsia="zh-CN"/>
        </w:rPr>
        <w:t>总计价款不超过</w:t>
      </w:r>
      <w:r>
        <w:rPr>
          <w:rFonts w:hint="eastAsia" w:ascii="方正仿宋_GBK" w:hAnsi="宋体" w:eastAsia="方正仿宋_GBK" w:cs="Arial"/>
          <w:sz w:val="24"/>
          <w:lang w:val="en-US" w:eastAsia="zh-CN"/>
        </w:rPr>
        <w:t>6万元。</w:t>
      </w:r>
    </w:p>
    <w:p>
      <w:pPr>
        <w:snapToGrid w:val="0"/>
        <w:spacing w:line="400" w:lineRule="exact"/>
        <w:rPr>
          <w:rFonts w:hint="eastAsia" w:ascii="宋体" w:hAnsi="宋体" w:cs="Arial"/>
          <w:b/>
          <w:bCs/>
          <w:color w:val="000000"/>
          <w:sz w:val="24"/>
          <w:szCs w:val="20"/>
        </w:rPr>
      </w:pPr>
      <w:r>
        <w:rPr>
          <w:rFonts w:hint="eastAsia" w:ascii="宋体" w:hAnsi="宋体"/>
          <w:b/>
          <w:bCs/>
          <w:color w:val="000000"/>
          <w:sz w:val="24"/>
        </w:rPr>
        <w:t>三、</w:t>
      </w:r>
      <w:r>
        <w:rPr>
          <w:rFonts w:hint="eastAsia" w:ascii="宋体" w:hAnsi="宋体" w:cs="Arial"/>
          <w:b/>
          <w:bCs/>
          <w:color w:val="000000"/>
          <w:sz w:val="24"/>
        </w:rPr>
        <w:t>合格供应商资格要求</w:t>
      </w:r>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1、具有独立承担民事责任的能力（提供法人或者其他组织的营业执照副本复印件）；</w:t>
      </w:r>
    </w:p>
    <w:p>
      <w:pPr>
        <w:snapToGrid w:val="0"/>
        <w:spacing w:line="400" w:lineRule="exact"/>
        <w:ind w:firstLine="480" w:firstLineChars="200"/>
        <w:rPr>
          <w:rFonts w:hint="default"/>
          <w:lang w:val="en-US" w:eastAsia="zh-CN"/>
        </w:rPr>
      </w:pPr>
      <w:r>
        <w:rPr>
          <w:rFonts w:hint="eastAsia" w:ascii="方正仿宋_GBK" w:hAnsi="宋体" w:eastAsia="方正仿宋_GBK" w:cs="Arial"/>
          <w:sz w:val="24"/>
          <w:lang w:val="en-US" w:eastAsia="zh-CN"/>
        </w:rPr>
        <w:t>2、具备消防设施工程专业承包贰级及以上有效资质</w:t>
      </w:r>
      <w:r>
        <w:rPr>
          <w:rFonts w:hint="eastAsia" w:ascii="方正仿宋_GBK" w:hAnsi="宋体" w:eastAsia="方正仿宋_GBK" w:cs="Arial"/>
          <w:sz w:val="24"/>
        </w:rPr>
        <w:t>（提供复印件</w:t>
      </w:r>
      <w:r>
        <w:rPr>
          <w:rFonts w:hint="eastAsia" w:ascii="方正仿宋_GBK" w:hAnsi="宋体" w:eastAsia="方正仿宋_GBK" w:cs="Arial"/>
          <w:sz w:val="24"/>
          <w:lang w:eastAsia="zh-CN"/>
        </w:rPr>
        <w:t>，加盖公章</w:t>
      </w:r>
      <w:r>
        <w:rPr>
          <w:rFonts w:hint="eastAsia" w:ascii="方正仿宋_GBK" w:hAnsi="宋体" w:eastAsia="方正仿宋_GBK" w:cs="Arial"/>
          <w:sz w:val="24"/>
        </w:rPr>
        <w:t>）</w:t>
      </w:r>
      <w:r>
        <w:rPr>
          <w:rFonts w:hint="eastAsia" w:ascii="方正仿宋_GBK" w:hAnsi="宋体" w:eastAsia="方正仿宋_GBK" w:cs="Arial"/>
          <w:sz w:val="24"/>
          <w:lang w:val="en-US" w:eastAsia="zh-CN"/>
        </w:rPr>
        <w:t>。</w:t>
      </w:r>
    </w:p>
    <w:p>
      <w:pPr>
        <w:snapToGrid w:val="0"/>
        <w:spacing w:line="400" w:lineRule="exact"/>
        <w:ind w:firstLine="480" w:firstLineChars="200"/>
        <w:rPr>
          <w:rFonts w:hint="eastAsia" w:ascii="方正仿宋_GBK" w:hAnsi="宋体" w:eastAsia="方正仿宋_GBK" w:cs="Arial"/>
          <w:sz w:val="24"/>
          <w:lang w:val="en-US" w:eastAsia="zh-CN"/>
        </w:rPr>
      </w:pPr>
      <w:r>
        <w:rPr>
          <w:rFonts w:hint="eastAsia" w:ascii="方正仿宋_GBK" w:hAnsi="宋体" w:eastAsia="方正仿宋_GBK" w:cs="Arial"/>
          <w:sz w:val="24"/>
          <w:lang w:val="en-US" w:eastAsia="zh-CN"/>
        </w:rPr>
        <w:t>3</w:t>
      </w:r>
      <w:r>
        <w:rPr>
          <w:rFonts w:hint="eastAsia" w:ascii="方正仿宋_GBK" w:hAnsi="宋体" w:eastAsia="方正仿宋_GBK" w:cs="Arial"/>
          <w:sz w:val="24"/>
        </w:rPr>
        <w:t>、截止投标日前3年内在经营活动中没有重大违法记录的书面声明</w:t>
      </w:r>
      <w:r>
        <w:rPr>
          <w:rFonts w:hint="eastAsia" w:ascii="方正仿宋_GBK" w:hAnsi="宋体" w:eastAsia="方正仿宋_GBK" w:cs="Arial"/>
          <w:sz w:val="24"/>
          <w:lang w:eastAsia="zh-CN"/>
        </w:rPr>
        <w:t>。</w:t>
      </w:r>
    </w:p>
    <w:p>
      <w:pPr>
        <w:snapToGrid w:val="0"/>
        <w:spacing w:line="400" w:lineRule="exact"/>
        <w:ind w:firstLine="480" w:firstLineChars="200"/>
        <w:rPr>
          <w:rFonts w:hint="eastAsia" w:ascii="方正仿宋_GBK" w:hAnsi="宋体" w:eastAsia="方正仿宋_GBK" w:cs="Arial"/>
          <w:sz w:val="24"/>
          <w:lang w:eastAsia="zh-CN"/>
        </w:rPr>
      </w:pPr>
      <w:r>
        <w:rPr>
          <w:rFonts w:hint="eastAsia" w:ascii="方正仿宋_GBK" w:hAnsi="宋体" w:eastAsia="方正仿宋_GBK" w:cs="Arial"/>
          <w:sz w:val="24"/>
          <w:lang w:val="en-US" w:eastAsia="zh-CN"/>
        </w:rPr>
        <w:t>4、</w:t>
      </w:r>
      <w:r>
        <w:rPr>
          <w:rFonts w:hint="eastAsia" w:ascii="方正仿宋_GBK" w:hAnsi="宋体" w:eastAsia="方正仿宋_GBK" w:cs="Arial"/>
          <w:sz w:val="24"/>
        </w:rPr>
        <w:t>本项目不接受联合体</w:t>
      </w:r>
      <w:r>
        <w:rPr>
          <w:rFonts w:hint="eastAsia" w:ascii="方正仿宋_GBK" w:hAnsi="宋体" w:eastAsia="方正仿宋_GBK" w:cs="Arial"/>
          <w:sz w:val="24"/>
          <w:lang w:eastAsia="zh-CN"/>
        </w:rPr>
        <w:t>。</w:t>
      </w:r>
    </w:p>
    <w:p>
      <w:pPr>
        <w:spacing w:line="400" w:lineRule="exact"/>
        <w:rPr>
          <w:rFonts w:hint="eastAsia" w:ascii="宋体" w:hAnsi="宋体"/>
          <w:color w:val="000000"/>
          <w:sz w:val="24"/>
        </w:rPr>
      </w:pPr>
      <w:r>
        <w:rPr>
          <w:rFonts w:hint="eastAsia" w:ascii="宋体" w:hAnsi="宋体"/>
          <w:b/>
          <w:bCs/>
          <w:color w:val="000000"/>
          <w:sz w:val="24"/>
        </w:rPr>
        <w:t>四、</w:t>
      </w:r>
      <w:r>
        <w:rPr>
          <w:rFonts w:hint="eastAsia" w:ascii="宋体" w:hAnsi="宋体"/>
          <w:b/>
          <w:bCs/>
          <w:sz w:val="24"/>
        </w:rPr>
        <w:t>响应文件</w:t>
      </w:r>
      <w:r>
        <w:rPr>
          <w:rFonts w:hint="eastAsia" w:ascii="宋体" w:hAnsi="宋体"/>
          <w:b/>
          <w:bCs/>
          <w:color w:val="000000"/>
          <w:sz w:val="24"/>
        </w:rPr>
        <w:t>接收截止时间和地点</w:t>
      </w:r>
      <w:r>
        <w:rPr>
          <w:rFonts w:hint="eastAsia" w:ascii="宋体" w:hAnsi="宋体"/>
          <w:color w:val="000000"/>
          <w:sz w:val="24"/>
        </w:rPr>
        <w:t>：</w:t>
      </w:r>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响应文件接收截止时间：202</w:t>
      </w:r>
      <w:r>
        <w:rPr>
          <w:rFonts w:hint="eastAsia" w:ascii="方正仿宋_GBK" w:hAnsi="宋体" w:eastAsia="方正仿宋_GBK" w:cs="Arial"/>
          <w:sz w:val="24"/>
          <w:lang w:val="en-US" w:eastAsia="zh-CN"/>
        </w:rPr>
        <w:t>4</w:t>
      </w:r>
      <w:r>
        <w:rPr>
          <w:rFonts w:hint="eastAsia" w:ascii="方正仿宋_GBK" w:hAnsi="宋体" w:eastAsia="方正仿宋_GBK" w:cs="Arial"/>
          <w:sz w:val="24"/>
        </w:rPr>
        <w:t>年</w:t>
      </w:r>
      <w:r>
        <w:rPr>
          <w:rFonts w:hint="eastAsia" w:ascii="方正仿宋_GBK" w:hAnsi="宋体" w:eastAsia="方正仿宋_GBK" w:cs="Arial"/>
          <w:sz w:val="24"/>
          <w:lang w:val="en-US" w:eastAsia="zh-CN"/>
        </w:rPr>
        <w:t>8</w:t>
      </w:r>
      <w:r>
        <w:rPr>
          <w:rFonts w:hint="eastAsia" w:ascii="方正仿宋_GBK" w:hAnsi="宋体" w:eastAsia="方正仿宋_GBK" w:cs="Arial"/>
          <w:sz w:val="24"/>
        </w:rPr>
        <w:t>月</w:t>
      </w:r>
      <w:r>
        <w:rPr>
          <w:rFonts w:hint="eastAsia" w:ascii="方正仿宋_GBK" w:hAnsi="宋体" w:eastAsia="方正仿宋_GBK" w:cs="Arial"/>
          <w:sz w:val="24"/>
          <w:lang w:val="en-US" w:eastAsia="zh-CN"/>
        </w:rPr>
        <w:t>13</w:t>
      </w:r>
      <w:r>
        <w:rPr>
          <w:rFonts w:hint="eastAsia" w:ascii="方正仿宋_GBK" w:hAnsi="宋体" w:eastAsia="方正仿宋_GBK" w:cs="Arial"/>
          <w:sz w:val="24"/>
        </w:rPr>
        <w:t>日</w:t>
      </w:r>
      <w:r>
        <w:rPr>
          <w:rFonts w:hint="eastAsia" w:ascii="方正仿宋_GBK" w:hAnsi="宋体" w:eastAsia="方正仿宋_GBK" w:cs="Arial"/>
          <w:sz w:val="24"/>
          <w:lang w:eastAsia="zh-CN"/>
        </w:rPr>
        <w:t>下</w:t>
      </w:r>
      <w:r>
        <w:rPr>
          <w:rFonts w:hint="eastAsia" w:ascii="方正仿宋_GBK" w:hAnsi="宋体" w:eastAsia="方正仿宋_GBK" w:cs="Arial"/>
          <w:sz w:val="24"/>
        </w:rPr>
        <w:t>午1</w:t>
      </w:r>
      <w:r>
        <w:rPr>
          <w:rFonts w:hint="eastAsia" w:ascii="方正仿宋_GBK" w:hAnsi="宋体" w:eastAsia="方正仿宋_GBK" w:cs="Arial"/>
          <w:sz w:val="24"/>
          <w:lang w:val="en-US" w:eastAsia="zh-CN"/>
        </w:rPr>
        <w:t>5</w:t>
      </w:r>
      <w:r>
        <w:rPr>
          <w:rFonts w:hint="eastAsia" w:ascii="方正仿宋_GBK" w:hAnsi="宋体" w:eastAsia="方正仿宋_GBK" w:cs="Arial"/>
          <w:sz w:val="24"/>
        </w:rPr>
        <w:t>:00时，逾期送达将作无效响应处理；</w:t>
      </w:r>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响应文件接收地点：</w:t>
      </w:r>
      <w:r>
        <w:rPr>
          <w:rFonts w:ascii="方正仿宋_GBK" w:hAnsi="宋体" w:eastAsia="方正仿宋_GBK" w:cs="Arial"/>
          <w:sz w:val="24"/>
        </w:rPr>
        <w:t>南京市</w:t>
      </w:r>
      <w:r>
        <w:rPr>
          <w:rFonts w:hint="eastAsia" w:ascii="方正仿宋_GBK" w:hAnsi="宋体" w:eastAsia="方正仿宋_GBK" w:cs="Arial"/>
          <w:sz w:val="24"/>
        </w:rPr>
        <w:t>清凉门大街188号709室</w:t>
      </w:r>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响应文件接收人：</w:t>
      </w:r>
      <w:r>
        <w:rPr>
          <w:rFonts w:hint="eastAsia" w:ascii="方正仿宋_GBK" w:hAnsi="宋体" w:eastAsia="方正仿宋_GBK" w:cs="Arial"/>
          <w:sz w:val="24"/>
          <w:lang w:eastAsia="zh-CN"/>
        </w:rPr>
        <w:t>薛主任</w:t>
      </w:r>
      <w:r>
        <w:rPr>
          <w:rFonts w:hint="eastAsia" w:ascii="方正仿宋_GBK" w:hAnsi="宋体" w:eastAsia="方正仿宋_GBK" w:cs="Arial"/>
          <w:sz w:val="24"/>
        </w:rPr>
        <w:t>；</w:t>
      </w:r>
    </w:p>
    <w:p>
      <w:pPr>
        <w:tabs>
          <w:tab w:val="left" w:pos="900"/>
        </w:tabs>
        <w:spacing w:line="400" w:lineRule="exact"/>
        <w:rPr>
          <w:rFonts w:hint="eastAsia" w:ascii="宋体" w:hAnsi="宋体"/>
          <w:b/>
          <w:bCs/>
          <w:color w:val="000000"/>
          <w:sz w:val="24"/>
        </w:rPr>
      </w:pPr>
      <w:r>
        <w:rPr>
          <w:rFonts w:hint="eastAsia" w:ascii="宋体" w:hAnsi="宋体"/>
          <w:b/>
          <w:bCs/>
          <w:color w:val="000000"/>
          <w:sz w:val="24"/>
        </w:rPr>
        <w:t>五、本次谈判采购联系事项：</w:t>
      </w:r>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采购人联系人：</w:t>
      </w:r>
      <w:r>
        <w:rPr>
          <w:rFonts w:hint="eastAsia" w:ascii="方正仿宋_GBK" w:hAnsi="宋体" w:eastAsia="方正仿宋_GBK" w:cs="Arial"/>
          <w:sz w:val="24"/>
          <w:lang w:eastAsia="zh-CN"/>
        </w:rPr>
        <w:t>薛主任</w:t>
      </w:r>
      <w:r>
        <w:rPr>
          <w:rFonts w:hint="eastAsia" w:ascii="方正仿宋_GBK" w:hAnsi="宋体" w:eastAsia="方正仿宋_GBK" w:cs="Arial"/>
          <w:sz w:val="24"/>
        </w:rPr>
        <w:t xml:space="preserve"> ，联系电话：025-86265</w:t>
      </w:r>
      <w:r>
        <w:rPr>
          <w:rFonts w:hint="eastAsia" w:ascii="方正仿宋_GBK" w:hAnsi="宋体" w:eastAsia="方正仿宋_GBK" w:cs="Arial"/>
          <w:sz w:val="24"/>
          <w:lang w:val="en-US" w:eastAsia="zh-CN"/>
        </w:rPr>
        <w:t>187</w:t>
      </w:r>
      <w:r>
        <w:rPr>
          <w:rFonts w:hint="eastAsia" w:ascii="方正仿宋_GBK" w:hAnsi="宋体" w:eastAsia="方正仿宋_GBK" w:cs="Arial"/>
          <w:sz w:val="24"/>
        </w:rPr>
        <w:t>；</w:t>
      </w:r>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 xml:space="preserve">采购人地址：南京市清凉门大街188号 </w:t>
      </w:r>
    </w:p>
    <w:p>
      <w:pPr>
        <w:adjustRightInd w:val="0"/>
        <w:snapToGrid w:val="0"/>
        <w:spacing w:line="400" w:lineRule="exact"/>
        <w:rPr>
          <w:rFonts w:hint="eastAsia" w:ascii="宋体" w:hAnsi="宋体"/>
          <w:b/>
          <w:bCs/>
          <w:color w:val="000000"/>
          <w:sz w:val="24"/>
        </w:rPr>
      </w:pPr>
      <w:r>
        <w:rPr>
          <w:rFonts w:hint="eastAsia" w:ascii="宋体" w:hAnsi="宋体"/>
          <w:b/>
          <w:bCs/>
          <w:color w:val="000000"/>
          <w:sz w:val="24"/>
        </w:rPr>
        <w:t>六、本次响应文件制作份数要求：</w:t>
      </w:r>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 xml:space="preserve">正本份数：1份   </w:t>
      </w:r>
    </w:p>
    <w:p>
      <w:pPr>
        <w:spacing w:line="400" w:lineRule="exact"/>
        <w:rPr>
          <w:rFonts w:hint="eastAsia" w:ascii="宋体" w:hAnsi="宋体"/>
          <w:b/>
          <w:bCs/>
          <w:color w:val="000000"/>
          <w:sz w:val="24"/>
        </w:rPr>
      </w:pPr>
      <w:r>
        <w:rPr>
          <w:rFonts w:hint="eastAsia" w:ascii="宋体" w:hAnsi="宋体"/>
          <w:b/>
          <w:bCs/>
          <w:color w:val="000000"/>
          <w:sz w:val="24"/>
        </w:rPr>
        <w:t>七、本次询价保证金要求：</w:t>
      </w:r>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本次询价不收取保证金</w:t>
      </w:r>
    </w:p>
    <w:p>
      <w:pPr>
        <w:tabs>
          <w:tab w:val="left" w:pos="900"/>
        </w:tabs>
        <w:spacing w:line="400" w:lineRule="exact"/>
        <w:rPr>
          <w:rFonts w:hint="eastAsia" w:ascii="宋体" w:hAnsi="宋体"/>
          <w:b/>
          <w:bCs/>
          <w:color w:val="000000"/>
          <w:sz w:val="24"/>
        </w:rPr>
      </w:pPr>
      <w:r>
        <w:rPr>
          <w:rFonts w:hint="eastAsia" w:ascii="宋体" w:hAnsi="宋体"/>
          <w:b/>
          <w:sz w:val="24"/>
        </w:rPr>
        <w:t>八、</w:t>
      </w:r>
      <w:r>
        <w:rPr>
          <w:rFonts w:hint="eastAsia" w:ascii="宋体" w:hAnsi="宋体"/>
          <w:b/>
          <w:bCs/>
          <w:color w:val="000000"/>
          <w:sz w:val="24"/>
        </w:rPr>
        <w:t>其他说明事项：</w:t>
      </w:r>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（一）本询价文件中斜体下划线部分为实质性响应条件，为必须遵守的条件，如不满足将作无效响应文件处理。</w:t>
      </w:r>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（二）本询价文件提供及公告期限</w:t>
      </w:r>
      <w:r>
        <w:rPr>
          <w:rFonts w:ascii="方正仿宋_GBK" w:hAnsi="宋体" w:eastAsia="方正仿宋_GBK" w:cs="Arial"/>
          <w:sz w:val="24"/>
        </w:rPr>
        <w:t>：</w:t>
      </w:r>
      <w:r>
        <w:rPr>
          <w:rFonts w:hint="eastAsia" w:ascii="方正仿宋_GBK" w:hAnsi="宋体" w:eastAsia="方正仿宋_GBK" w:cs="Arial"/>
          <w:sz w:val="24"/>
        </w:rPr>
        <w:t>自询价公告在“江苏监狱网</w:t>
      </w:r>
      <w:r>
        <w:rPr>
          <w:rFonts w:ascii="方正仿宋_GBK" w:hAnsi="宋体" w:eastAsia="方正仿宋_GBK" w:cs="Arial"/>
          <w:sz w:val="24"/>
        </w:rPr>
        <w:t>”</w:t>
      </w:r>
      <w:r>
        <w:rPr>
          <w:rFonts w:hint="eastAsia" w:ascii="方正仿宋_GBK" w:hAnsi="宋体" w:eastAsia="方正仿宋_GBK" w:cs="Arial"/>
          <w:sz w:val="24"/>
        </w:rPr>
        <w:t>发布之日</w:t>
      </w:r>
      <w:r>
        <w:rPr>
          <w:rFonts w:ascii="方正仿宋_GBK" w:hAnsi="宋体" w:eastAsia="方正仿宋_GBK" w:cs="Arial"/>
          <w:sz w:val="24"/>
        </w:rPr>
        <w:t>起</w:t>
      </w:r>
      <w:r>
        <w:rPr>
          <w:rFonts w:hint="eastAsia" w:ascii="方正仿宋_GBK" w:hAnsi="宋体" w:eastAsia="方正仿宋_GBK" w:cs="Arial"/>
          <w:sz w:val="24"/>
        </w:rPr>
        <w:t>3个工作日。本询价文件在“江苏监狱网”上免费下载或到清凉门大街188号709室免费领取，有关本次采购的事项若存在变动和修改，敬请继续关注“江苏监狱网”发布的信息更正公告。</w:t>
      </w:r>
    </w:p>
    <w:p>
      <w:pPr>
        <w:spacing w:line="400" w:lineRule="exact"/>
        <w:ind w:left="1" w:firstLine="477" w:firstLineChars="199"/>
        <w:rPr>
          <w:rFonts w:hint="eastAsia" w:ascii="宋体" w:hAnsi="宋体"/>
          <w:sz w:val="24"/>
        </w:rPr>
      </w:pPr>
    </w:p>
    <w:p>
      <w:pPr>
        <w:rPr>
          <w:rFonts w:hint="eastAsia"/>
        </w:rPr>
      </w:pPr>
      <w:bookmarkStart w:id="4" w:name="_Toc90484546"/>
      <w:r>
        <w:rPr>
          <w:rFonts w:hint="eastAsia"/>
        </w:rPr>
        <w:br w:type="page"/>
      </w:r>
    </w:p>
    <w:p>
      <w:pPr>
        <w:pStyle w:val="3"/>
        <w:jc w:val="center"/>
        <w:rPr>
          <w:rFonts w:hint="eastAsia"/>
        </w:rPr>
      </w:pPr>
      <w:r>
        <w:rPr>
          <w:rFonts w:hint="eastAsia"/>
        </w:rPr>
        <w:t>第二章 供应商须知前附表</w:t>
      </w:r>
      <w:bookmarkEnd w:id="4"/>
    </w:p>
    <w:p>
      <w:pPr>
        <w:spacing w:line="400" w:lineRule="exact"/>
        <w:rPr>
          <w:rFonts w:hint="eastAsia"/>
          <w:color w:val="000000"/>
          <w:sz w:val="24"/>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00" w:type="dxa"/>
            <w:noWrap w:val="0"/>
            <w:vAlign w:val="top"/>
          </w:tcPr>
          <w:p>
            <w:pPr>
              <w:spacing w:line="400" w:lineRule="exact"/>
              <w:ind w:left="105"/>
              <w:rPr>
                <w:rFonts w:hint="eastAsia"/>
                <w:color w:val="000000"/>
                <w:sz w:val="24"/>
              </w:rPr>
            </w:pPr>
            <w:r>
              <w:rPr>
                <w:rFonts w:hint="eastAsia"/>
                <w:color w:val="000000"/>
                <w:sz w:val="24"/>
              </w:rPr>
              <w:t>序号</w:t>
            </w:r>
          </w:p>
        </w:tc>
        <w:tc>
          <w:tcPr>
            <w:tcW w:w="7920" w:type="dxa"/>
            <w:noWrap w:val="0"/>
            <w:vAlign w:val="top"/>
          </w:tcPr>
          <w:p>
            <w:pPr>
              <w:spacing w:line="400" w:lineRule="exact"/>
              <w:ind w:left="105"/>
              <w:jc w:val="center"/>
              <w:rPr>
                <w:color w:val="000000"/>
                <w:sz w:val="24"/>
              </w:rPr>
            </w:pPr>
            <w:r>
              <w:rPr>
                <w:rFonts w:hint="eastAsia"/>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900" w:type="dxa"/>
            <w:noWrap w:val="0"/>
            <w:vAlign w:val="center"/>
          </w:tcPr>
          <w:p>
            <w:pPr>
              <w:spacing w:line="400" w:lineRule="exact"/>
              <w:ind w:left="105"/>
              <w:rPr>
                <w:rFonts w:hint="eastAsia"/>
                <w:color w:val="000000"/>
                <w:sz w:val="24"/>
              </w:rPr>
            </w:pPr>
            <w:r>
              <w:rPr>
                <w:rFonts w:hint="eastAsia"/>
                <w:color w:val="000000"/>
                <w:sz w:val="24"/>
              </w:rPr>
              <w:t>1</w:t>
            </w:r>
          </w:p>
        </w:tc>
        <w:tc>
          <w:tcPr>
            <w:tcW w:w="7920" w:type="dxa"/>
            <w:noWrap w:val="0"/>
            <w:vAlign w:val="top"/>
          </w:tcPr>
          <w:p>
            <w:pPr>
              <w:snapToGrid w:val="0"/>
              <w:spacing w:line="400" w:lineRule="exact"/>
              <w:ind w:firstLine="480" w:firstLineChars="200"/>
              <w:rPr>
                <w:rFonts w:hint="eastAsia" w:ascii="方正仿宋_GBK" w:hAnsi="宋体" w:eastAsia="方正仿宋_GBK" w:cs="Arial"/>
                <w:sz w:val="24"/>
                <w:lang w:eastAsia="zh-CN"/>
              </w:rPr>
            </w:pPr>
            <w:r>
              <w:rPr>
                <w:rFonts w:hint="eastAsia" w:ascii="方正仿宋_GBK" w:hAnsi="宋体" w:eastAsia="方正仿宋_GBK" w:cs="Arial"/>
                <w:sz w:val="24"/>
              </w:rPr>
              <w:t>项目名称：</w:t>
            </w:r>
            <w:r>
              <w:rPr>
                <w:rFonts w:hint="eastAsia" w:ascii="方正仿宋_GBK" w:hAnsi="宋体" w:eastAsia="方正仿宋_GBK" w:cs="Arial"/>
                <w:sz w:val="24"/>
                <w:lang w:val="en-US" w:eastAsia="zh-CN"/>
              </w:rPr>
              <w:t>消防水泵控制柜更新</w:t>
            </w:r>
          </w:p>
          <w:p>
            <w:pPr>
              <w:snapToGrid w:val="0"/>
              <w:spacing w:line="400" w:lineRule="exact"/>
              <w:ind w:firstLine="480" w:firstLineChars="200"/>
              <w:rPr>
                <w:rFonts w:hint="default" w:ascii="方正仿宋_GBK" w:hAnsi="宋体" w:eastAsia="方正仿宋_GBK" w:cs="Arial"/>
                <w:sz w:val="24"/>
                <w:lang w:val="en-US" w:eastAsia="zh-CN"/>
              </w:rPr>
            </w:pPr>
            <w:r>
              <w:rPr>
                <w:rFonts w:hint="eastAsia" w:ascii="方正仿宋_GBK" w:hAnsi="宋体" w:eastAsia="方正仿宋_GBK" w:cs="Arial"/>
                <w:sz w:val="24"/>
              </w:rPr>
              <w:t>项目编号：</w:t>
            </w:r>
            <w:r>
              <w:rPr>
                <w:rFonts w:hint="eastAsia" w:ascii="方正仿宋_GBK" w:hAnsi="宋体" w:eastAsia="方正仿宋_GBK" w:cs="Arial"/>
                <w:color w:val="000000"/>
                <w:sz w:val="24"/>
                <w:lang w:eastAsia="zh-CN"/>
              </w:rPr>
              <w:t>方源集团</w:t>
            </w:r>
            <w:r>
              <w:rPr>
                <w:rFonts w:hint="eastAsia" w:ascii="方正仿宋_GBK" w:hAnsi="宋体" w:eastAsia="方正仿宋_GBK" w:cs="Arial"/>
                <w:sz w:val="24"/>
              </w:rPr>
              <w:t>JY-20</w:t>
            </w:r>
            <w:r>
              <w:rPr>
                <w:rFonts w:hint="eastAsia" w:ascii="方正仿宋_GBK" w:hAnsi="宋体" w:eastAsia="方正仿宋_GBK" w:cs="Arial"/>
                <w:sz w:val="24"/>
                <w:lang w:val="en-US" w:eastAsia="zh-CN"/>
              </w:rPr>
              <w:t>24</w:t>
            </w:r>
            <w:r>
              <w:rPr>
                <w:rFonts w:hint="eastAsia" w:ascii="方正仿宋_GBK" w:hAnsi="宋体" w:eastAsia="方正仿宋_GBK" w:cs="Arial"/>
                <w:sz w:val="24"/>
              </w:rPr>
              <w:t>-</w:t>
            </w:r>
            <w:r>
              <w:rPr>
                <w:rFonts w:hint="eastAsia" w:ascii="方正仿宋_GBK" w:hAnsi="宋体" w:eastAsia="方正仿宋_GBK" w:cs="Arial"/>
                <w:sz w:val="24"/>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00" w:type="dxa"/>
            <w:noWrap w:val="0"/>
            <w:vAlign w:val="center"/>
          </w:tcPr>
          <w:p>
            <w:pPr>
              <w:spacing w:line="400" w:lineRule="exact"/>
              <w:ind w:left="105"/>
              <w:rPr>
                <w:rFonts w:hint="eastAsia"/>
                <w:color w:val="000000"/>
                <w:sz w:val="24"/>
              </w:rPr>
            </w:pPr>
            <w:r>
              <w:rPr>
                <w:rFonts w:hint="eastAsia"/>
                <w:color w:val="000000"/>
                <w:sz w:val="24"/>
              </w:rPr>
              <w:t>2</w:t>
            </w:r>
          </w:p>
        </w:tc>
        <w:tc>
          <w:tcPr>
            <w:tcW w:w="7920" w:type="dxa"/>
            <w:noWrap w:val="0"/>
            <w:vAlign w:val="top"/>
          </w:tcPr>
          <w:p>
            <w:pPr>
              <w:snapToGrid w:val="0"/>
              <w:spacing w:line="400" w:lineRule="exact"/>
              <w:ind w:firstLine="480" w:firstLineChars="200"/>
              <w:rPr>
                <w:rFonts w:hint="eastAsia" w:ascii="方正仿宋_GBK" w:hAnsi="宋体" w:eastAsia="方正仿宋_GBK" w:cs="Arial"/>
                <w:sz w:val="24"/>
                <w:lang w:eastAsia="zh-CN"/>
              </w:rPr>
            </w:pPr>
            <w:r>
              <w:rPr>
                <w:rFonts w:hint="eastAsia" w:ascii="方正仿宋_GBK" w:hAnsi="宋体" w:eastAsia="方正仿宋_GBK" w:cs="Arial"/>
                <w:sz w:val="24"/>
              </w:rPr>
              <w:t>采购人：</w:t>
            </w:r>
            <w:r>
              <w:rPr>
                <w:rFonts w:hint="eastAsia" w:ascii="方正仿宋_GBK" w:hAnsi="宋体" w:eastAsia="方正仿宋_GBK" w:cs="Arial"/>
                <w:sz w:val="24"/>
                <w:lang w:eastAsia="zh-CN"/>
              </w:rPr>
              <w:t>方源集团</w:t>
            </w:r>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采购人地址：</w:t>
            </w:r>
            <w:r>
              <w:rPr>
                <w:rFonts w:ascii="方正仿宋_GBK" w:hAnsi="宋体" w:eastAsia="方正仿宋_GBK" w:cs="Arial"/>
                <w:sz w:val="24"/>
              </w:rPr>
              <w:t>南京市</w:t>
            </w:r>
            <w:r>
              <w:rPr>
                <w:rFonts w:hint="eastAsia" w:ascii="方正仿宋_GBK" w:hAnsi="宋体" w:eastAsia="方正仿宋_GBK" w:cs="Arial"/>
                <w:sz w:val="24"/>
              </w:rPr>
              <w:t>清凉门大街188号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900" w:type="dxa"/>
            <w:noWrap w:val="0"/>
            <w:vAlign w:val="center"/>
          </w:tcPr>
          <w:p>
            <w:pPr>
              <w:spacing w:line="400" w:lineRule="exact"/>
              <w:ind w:left="105"/>
              <w:rPr>
                <w:rFonts w:hint="eastAsia"/>
                <w:color w:val="000000"/>
                <w:sz w:val="24"/>
              </w:rPr>
            </w:pPr>
            <w:r>
              <w:rPr>
                <w:rFonts w:hint="eastAsia"/>
                <w:color w:val="000000"/>
                <w:sz w:val="24"/>
              </w:rPr>
              <w:t>3</w:t>
            </w:r>
          </w:p>
        </w:tc>
        <w:tc>
          <w:tcPr>
            <w:tcW w:w="7920" w:type="dxa"/>
            <w:noWrap w:val="0"/>
            <w:vAlign w:val="top"/>
          </w:tcPr>
          <w:p>
            <w:pPr>
              <w:snapToGrid w:val="0"/>
              <w:spacing w:line="3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采购预算：</w:t>
            </w:r>
          </w:p>
          <w:p>
            <w:pPr>
              <w:snapToGrid w:val="0"/>
              <w:spacing w:line="3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本次询价预算</w:t>
            </w:r>
            <w:r>
              <w:rPr>
                <w:rFonts w:hint="eastAsia" w:ascii="方正仿宋_GBK" w:hAnsi="宋体" w:eastAsia="方正仿宋_GBK" w:cs="Arial"/>
                <w:sz w:val="24"/>
                <w:lang w:val="en-US" w:eastAsia="zh-CN"/>
              </w:rPr>
              <w:t>6</w:t>
            </w:r>
            <w:r>
              <w:rPr>
                <w:rFonts w:hint="eastAsia" w:ascii="方正仿宋_GBK" w:hAnsi="宋体" w:eastAsia="方正仿宋_GBK" w:cs="Arial"/>
                <w:sz w:val="24"/>
              </w:rPr>
              <w:t>万元，如果报价超过预算为无效报价。</w:t>
            </w:r>
          </w:p>
          <w:p>
            <w:pPr>
              <w:snapToGrid w:val="0"/>
              <w:spacing w:line="3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本次询价保证金要求：无</w:t>
            </w:r>
          </w:p>
          <w:p>
            <w:pPr>
              <w:snapToGrid w:val="0"/>
              <w:spacing w:line="3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本次询价不收取保证金。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00" w:type="dxa"/>
            <w:noWrap w:val="0"/>
            <w:vAlign w:val="center"/>
          </w:tcPr>
          <w:p>
            <w:pPr>
              <w:spacing w:line="400" w:lineRule="exact"/>
              <w:ind w:left="105"/>
              <w:rPr>
                <w:rFonts w:hint="eastAsia"/>
                <w:color w:val="000000"/>
                <w:sz w:val="24"/>
              </w:rPr>
            </w:pPr>
            <w:r>
              <w:rPr>
                <w:rFonts w:hint="eastAsia"/>
                <w:color w:val="000000"/>
                <w:sz w:val="24"/>
              </w:rPr>
              <w:t>4</w:t>
            </w:r>
          </w:p>
        </w:tc>
        <w:tc>
          <w:tcPr>
            <w:tcW w:w="7920" w:type="dxa"/>
            <w:noWrap w:val="0"/>
            <w:vAlign w:val="top"/>
          </w:tcPr>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询价响应文件正本份数：1份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900" w:type="dxa"/>
            <w:noWrap w:val="0"/>
            <w:vAlign w:val="center"/>
          </w:tcPr>
          <w:p>
            <w:pPr>
              <w:spacing w:line="400" w:lineRule="exact"/>
              <w:ind w:left="105"/>
              <w:rPr>
                <w:rFonts w:hint="eastAsia"/>
                <w:color w:val="000000"/>
                <w:sz w:val="24"/>
              </w:rPr>
            </w:pPr>
            <w:r>
              <w:rPr>
                <w:rFonts w:hint="eastAsia"/>
                <w:color w:val="000000"/>
                <w:sz w:val="24"/>
              </w:rPr>
              <w:t>5</w:t>
            </w:r>
          </w:p>
        </w:tc>
        <w:tc>
          <w:tcPr>
            <w:tcW w:w="7920" w:type="dxa"/>
            <w:noWrap w:val="0"/>
            <w:vAlign w:val="top"/>
          </w:tcPr>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提交询价响应文件截止时间：</w:t>
            </w:r>
            <w:r>
              <w:rPr>
                <w:rFonts w:ascii="方正仿宋_GBK" w:hAnsi="宋体" w:eastAsia="方正仿宋_GBK" w:cs="Arial"/>
                <w:sz w:val="24"/>
              </w:rPr>
              <w:t xml:space="preserve"> </w:t>
            </w:r>
            <w:r>
              <w:rPr>
                <w:rFonts w:hint="eastAsia" w:ascii="方正仿宋_GBK" w:hAnsi="宋体" w:eastAsia="方正仿宋_GBK" w:cs="Arial"/>
                <w:sz w:val="24"/>
              </w:rPr>
              <w:t>202</w:t>
            </w:r>
            <w:r>
              <w:rPr>
                <w:rFonts w:hint="eastAsia" w:ascii="方正仿宋_GBK" w:hAnsi="宋体" w:eastAsia="方正仿宋_GBK" w:cs="Arial"/>
                <w:sz w:val="24"/>
                <w:lang w:val="en-US" w:eastAsia="zh-CN"/>
              </w:rPr>
              <w:t>4</w:t>
            </w:r>
            <w:r>
              <w:rPr>
                <w:rFonts w:hint="eastAsia" w:ascii="方正仿宋_GBK" w:hAnsi="宋体" w:eastAsia="方正仿宋_GBK" w:cs="Arial"/>
                <w:sz w:val="24"/>
              </w:rPr>
              <w:t>年</w:t>
            </w:r>
            <w:r>
              <w:rPr>
                <w:rFonts w:hint="eastAsia" w:ascii="方正仿宋_GBK" w:hAnsi="宋体" w:eastAsia="方正仿宋_GBK" w:cs="Arial"/>
                <w:sz w:val="24"/>
                <w:lang w:val="en-US" w:eastAsia="zh-CN"/>
              </w:rPr>
              <w:t>8月13日</w:t>
            </w:r>
            <w:r>
              <w:rPr>
                <w:rFonts w:hint="eastAsia" w:ascii="方正仿宋_GBK" w:hAnsi="宋体" w:eastAsia="方正仿宋_GBK" w:cs="Arial"/>
                <w:sz w:val="24"/>
              </w:rPr>
              <w:t>下午</w:t>
            </w:r>
            <w:r>
              <w:rPr>
                <w:rFonts w:hint="eastAsia" w:ascii="方正仿宋_GBK" w:hAnsi="宋体" w:eastAsia="方正仿宋_GBK" w:cs="Arial"/>
                <w:sz w:val="24"/>
                <w:lang w:val="en-US" w:eastAsia="zh-CN"/>
              </w:rPr>
              <w:t>15</w:t>
            </w:r>
            <w:r>
              <w:rPr>
                <w:rFonts w:hint="eastAsia" w:ascii="方正仿宋_GBK" w:hAnsi="宋体" w:eastAsia="方正仿宋_GBK" w:cs="Arial"/>
                <w:sz w:val="24"/>
              </w:rPr>
              <w:t>时前，</w:t>
            </w:r>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提交询价响应文件地点：</w:t>
            </w:r>
            <w:r>
              <w:rPr>
                <w:rFonts w:ascii="方正仿宋_GBK" w:hAnsi="宋体" w:eastAsia="方正仿宋_GBK" w:cs="Arial"/>
                <w:sz w:val="24"/>
              </w:rPr>
              <w:t>南京市</w:t>
            </w:r>
            <w:r>
              <w:rPr>
                <w:rFonts w:hint="eastAsia" w:ascii="方正仿宋_GBK" w:hAnsi="宋体" w:eastAsia="方正仿宋_GBK" w:cs="Arial"/>
                <w:sz w:val="24"/>
              </w:rPr>
              <w:t>清凉门大街188号</w:t>
            </w:r>
          </w:p>
          <w:p>
            <w:pPr>
              <w:snapToGrid w:val="0"/>
              <w:spacing w:line="400" w:lineRule="exact"/>
              <w:ind w:firstLine="480" w:firstLineChars="200"/>
              <w:rPr>
                <w:rFonts w:hint="eastAsia" w:ascii="方正仿宋_GBK" w:hAnsi="宋体" w:eastAsia="方正仿宋_GBK" w:cs="Arial"/>
                <w:sz w:val="24"/>
                <w:lang w:eastAsia="zh-CN"/>
              </w:rPr>
            </w:pPr>
            <w:r>
              <w:rPr>
                <w:rFonts w:hint="eastAsia" w:ascii="方正仿宋_GBK" w:hAnsi="宋体" w:eastAsia="方正仿宋_GBK" w:cs="Arial"/>
                <w:sz w:val="24"/>
              </w:rPr>
              <w:t>提交询价响应文件接收人</w:t>
            </w:r>
            <w:r>
              <w:rPr>
                <w:rFonts w:ascii="方正仿宋_GBK" w:hAnsi="宋体" w:eastAsia="方正仿宋_GBK" w:cs="Arial"/>
                <w:sz w:val="24"/>
              </w:rPr>
              <w:t>：</w:t>
            </w:r>
            <w:r>
              <w:rPr>
                <w:rFonts w:hint="eastAsia" w:ascii="方正仿宋_GBK" w:hAnsi="宋体" w:eastAsia="方正仿宋_GBK" w:cs="Arial"/>
                <w:sz w:val="24"/>
              </w:rPr>
              <w:t xml:space="preserve"> </w:t>
            </w:r>
            <w:r>
              <w:rPr>
                <w:rFonts w:hint="eastAsia" w:ascii="方正仿宋_GBK" w:hAnsi="宋体" w:eastAsia="方正仿宋_GBK" w:cs="Arial"/>
                <w:sz w:val="24"/>
                <w:lang w:eastAsia="zh-CN"/>
              </w:rPr>
              <w:t>薛主任</w:t>
            </w:r>
          </w:p>
          <w:p>
            <w:pPr>
              <w:snapToGrid w:val="0"/>
              <w:spacing w:line="400" w:lineRule="exact"/>
              <w:ind w:firstLine="480" w:firstLineChars="200"/>
              <w:rPr>
                <w:rFonts w:hint="eastAsia" w:ascii="方正仿宋_GBK" w:hAnsi="宋体" w:eastAsia="方正仿宋_GBK" w:cs="Arial"/>
                <w:sz w:val="24"/>
                <w:lang w:val="en-US" w:eastAsia="zh-CN"/>
              </w:rPr>
            </w:pPr>
            <w:r>
              <w:rPr>
                <w:rFonts w:hint="eastAsia" w:ascii="方正仿宋_GBK" w:hAnsi="宋体" w:eastAsia="方正仿宋_GBK" w:cs="Arial"/>
                <w:sz w:val="24"/>
              </w:rPr>
              <w:t>联 系 电 话：025-86265</w:t>
            </w:r>
            <w:r>
              <w:rPr>
                <w:rFonts w:hint="eastAsia" w:ascii="方正仿宋_GBK" w:hAnsi="宋体" w:eastAsia="方正仿宋_GBK" w:cs="Arial"/>
                <w:sz w:val="24"/>
                <w:lang w:val="en-US" w:eastAsia="zh-CN"/>
              </w:rPr>
              <w:t xml:space="preserve">187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00" w:type="dxa"/>
            <w:noWrap w:val="0"/>
            <w:vAlign w:val="center"/>
          </w:tcPr>
          <w:p>
            <w:pPr>
              <w:spacing w:line="400" w:lineRule="exact"/>
              <w:ind w:left="105"/>
              <w:rPr>
                <w:rFonts w:hint="eastAsia"/>
                <w:color w:val="000000"/>
                <w:sz w:val="24"/>
              </w:rPr>
            </w:pPr>
            <w:r>
              <w:rPr>
                <w:rFonts w:hint="eastAsia"/>
                <w:color w:val="000000"/>
                <w:sz w:val="24"/>
              </w:rPr>
              <w:t>6</w:t>
            </w:r>
          </w:p>
        </w:tc>
        <w:tc>
          <w:tcPr>
            <w:tcW w:w="7920" w:type="dxa"/>
            <w:noWrap w:val="0"/>
            <w:vAlign w:val="center"/>
          </w:tcPr>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交付地点：南京市清凉门大街188号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00" w:type="dxa"/>
            <w:noWrap w:val="0"/>
            <w:vAlign w:val="center"/>
          </w:tcPr>
          <w:p>
            <w:pPr>
              <w:spacing w:line="400" w:lineRule="exact"/>
              <w:ind w:left="105"/>
              <w:rPr>
                <w:rFonts w:hint="eastAsia"/>
                <w:color w:val="000000"/>
                <w:sz w:val="24"/>
              </w:rPr>
            </w:pPr>
            <w:r>
              <w:rPr>
                <w:rFonts w:hint="eastAsia"/>
                <w:color w:val="000000"/>
                <w:sz w:val="24"/>
              </w:rPr>
              <w:t>7</w:t>
            </w:r>
          </w:p>
        </w:tc>
        <w:tc>
          <w:tcPr>
            <w:tcW w:w="7920" w:type="dxa"/>
            <w:noWrap w:val="0"/>
            <w:vAlign w:val="top"/>
          </w:tcPr>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lang w:eastAsia="zh-CN"/>
              </w:rPr>
              <w:t>服务期限</w:t>
            </w:r>
            <w:r>
              <w:rPr>
                <w:rFonts w:hint="eastAsia" w:ascii="方正仿宋_GBK" w:hAnsi="宋体" w:eastAsia="方正仿宋_GBK" w:cs="Arial"/>
                <w:sz w:val="24"/>
              </w:rPr>
              <w:t>：合同签订</w:t>
            </w:r>
            <w:r>
              <w:rPr>
                <w:rFonts w:hint="eastAsia" w:ascii="方正仿宋_GBK" w:hAnsi="宋体" w:eastAsia="方正仿宋_GBK" w:cs="Arial"/>
                <w:sz w:val="24"/>
                <w:lang w:eastAsia="zh-CN"/>
              </w:rPr>
              <w:t>，经甲方通知施工</w:t>
            </w:r>
            <w:r>
              <w:rPr>
                <w:rFonts w:hint="eastAsia" w:ascii="方正仿宋_GBK" w:hAnsi="宋体" w:eastAsia="方正仿宋_GBK" w:cs="Arial"/>
                <w:sz w:val="24"/>
              </w:rPr>
              <w:t>后</w:t>
            </w:r>
            <w:r>
              <w:rPr>
                <w:rFonts w:hint="eastAsia" w:ascii="方正仿宋_GBK" w:hAnsi="宋体" w:eastAsia="方正仿宋_GBK" w:cs="Arial"/>
                <w:sz w:val="24"/>
                <w:lang w:val="en-US" w:eastAsia="zh-CN"/>
              </w:rPr>
              <w:t>20天</w:t>
            </w:r>
            <w:r>
              <w:rPr>
                <w:rFonts w:hint="eastAsia" w:ascii="方正仿宋_GBK" w:hAnsi="宋体" w:eastAsia="方正仿宋_GBK" w:cs="Arial"/>
                <w:sz w:val="24"/>
              </w:rPr>
              <w:t>。</w:t>
            </w:r>
          </w:p>
        </w:tc>
      </w:tr>
    </w:tbl>
    <w:p>
      <w:pPr>
        <w:pStyle w:val="3"/>
        <w:jc w:val="center"/>
        <w:rPr>
          <w:rFonts w:hint="eastAsia"/>
        </w:rPr>
      </w:pPr>
      <w:r>
        <w:rPr>
          <w:color w:val="000000"/>
          <w:sz w:val="24"/>
        </w:rPr>
        <w:br w:type="page"/>
      </w:r>
      <w:bookmarkStart w:id="5" w:name="_Toc90484547"/>
      <w:r>
        <w:rPr>
          <w:rFonts w:hint="eastAsia"/>
        </w:rPr>
        <w:t>第三章 供应商资格要求</w:t>
      </w:r>
      <w:bookmarkEnd w:id="5"/>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一、</w:t>
      </w:r>
      <w:r>
        <w:rPr>
          <w:rFonts w:ascii="方正仿宋_GBK" w:hAnsi="宋体" w:eastAsia="方正仿宋_GBK" w:cs="Arial"/>
          <w:sz w:val="24"/>
        </w:rPr>
        <w:t>符合政府采购法第二十二条</w:t>
      </w:r>
      <w:r>
        <w:rPr>
          <w:rFonts w:hint="eastAsia" w:ascii="方正仿宋_GBK" w:hAnsi="宋体" w:eastAsia="方正仿宋_GBK" w:cs="Arial"/>
          <w:sz w:val="24"/>
        </w:rPr>
        <w:t>第一款</w:t>
      </w:r>
      <w:r>
        <w:rPr>
          <w:rFonts w:ascii="方正仿宋_GBK" w:hAnsi="宋体" w:eastAsia="方正仿宋_GBK" w:cs="Arial"/>
          <w:sz w:val="24"/>
        </w:rPr>
        <w:t>规定</w:t>
      </w:r>
      <w:r>
        <w:rPr>
          <w:rFonts w:hint="eastAsia" w:ascii="方正仿宋_GBK" w:hAnsi="宋体" w:eastAsia="方正仿宋_GBK" w:cs="Arial"/>
          <w:sz w:val="24"/>
        </w:rPr>
        <w:t>的条件，并提供下列材料</w:t>
      </w:r>
      <w:r>
        <w:rPr>
          <w:rFonts w:ascii="方正仿宋_GBK" w:hAnsi="宋体" w:eastAsia="方正仿宋_GBK" w:cs="Arial"/>
          <w:sz w:val="24"/>
        </w:rPr>
        <w:t>；</w:t>
      </w:r>
    </w:p>
    <w:p>
      <w:pPr>
        <w:snapToGrid w:val="0"/>
        <w:spacing w:line="400" w:lineRule="exact"/>
        <w:ind w:firstLine="480" w:firstLineChars="200"/>
        <w:rPr>
          <w:rFonts w:hint="eastAsia" w:ascii="方正仿宋_GBK" w:hAnsi="宋体" w:eastAsia="方正仿宋_GBK" w:cs="Arial"/>
          <w:i/>
          <w:iCs/>
          <w:sz w:val="24"/>
          <w:u w:val="single"/>
        </w:rPr>
      </w:pPr>
      <w:r>
        <w:rPr>
          <w:rFonts w:hint="eastAsia" w:ascii="方正仿宋_GBK" w:hAnsi="宋体" w:eastAsia="方正仿宋_GBK" w:cs="Arial"/>
          <w:i/>
          <w:iCs/>
          <w:sz w:val="24"/>
          <w:u w:val="single"/>
        </w:rPr>
        <w:t>1、具有独立承担民事责任的能力（提供法人或者其他组织的营业执照副本复印件）；</w:t>
      </w:r>
    </w:p>
    <w:p>
      <w:pPr>
        <w:snapToGrid w:val="0"/>
        <w:spacing w:line="400" w:lineRule="exact"/>
        <w:ind w:firstLine="480" w:firstLineChars="200"/>
        <w:rPr>
          <w:rFonts w:hint="default"/>
          <w:i/>
          <w:iCs/>
          <w:u w:val="single"/>
          <w:lang w:val="en-US" w:eastAsia="zh-CN"/>
        </w:rPr>
      </w:pPr>
      <w:r>
        <w:rPr>
          <w:rFonts w:hint="eastAsia" w:ascii="方正仿宋_GBK" w:hAnsi="宋体" w:eastAsia="方正仿宋_GBK" w:cs="Arial"/>
          <w:i/>
          <w:iCs/>
          <w:sz w:val="24"/>
          <w:u w:val="single"/>
          <w:lang w:val="en-US" w:eastAsia="zh-CN"/>
        </w:rPr>
        <w:t>2、具备消防设施工程专业承包贰级及以上有效资质</w:t>
      </w:r>
      <w:r>
        <w:rPr>
          <w:rFonts w:hint="eastAsia" w:ascii="方正仿宋_GBK" w:hAnsi="宋体" w:eastAsia="方正仿宋_GBK" w:cs="Arial"/>
          <w:i/>
          <w:iCs/>
          <w:sz w:val="24"/>
          <w:u w:val="single"/>
        </w:rPr>
        <w:t>（提供复印件</w:t>
      </w:r>
      <w:r>
        <w:rPr>
          <w:rFonts w:hint="eastAsia" w:ascii="方正仿宋_GBK" w:hAnsi="宋体" w:eastAsia="方正仿宋_GBK" w:cs="Arial"/>
          <w:i/>
          <w:iCs/>
          <w:sz w:val="24"/>
          <w:u w:val="single"/>
          <w:lang w:eastAsia="zh-CN"/>
        </w:rPr>
        <w:t>，加盖公章</w:t>
      </w:r>
      <w:r>
        <w:rPr>
          <w:rFonts w:hint="eastAsia" w:ascii="方正仿宋_GBK" w:hAnsi="宋体" w:eastAsia="方正仿宋_GBK" w:cs="Arial"/>
          <w:i/>
          <w:iCs/>
          <w:sz w:val="24"/>
          <w:u w:val="single"/>
        </w:rPr>
        <w:t>）</w:t>
      </w:r>
      <w:r>
        <w:rPr>
          <w:rFonts w:hint="eastAsia" w:ascii="方正仿宋_GBK" w:hAnsi="宋体" w:eastAsia="方正仿宋_GBK" w:cs="Arial"/>
          <w:i/>
          <w:iCs/>
          <w:sz w:val="24"/>
          <w:u w:val="single"/>
          <w:lang w:val="en-US" w:eastAsia="zh-CN"/>
        </w:rPr>
        <w:t>。</w:t>
      </w:r>
    </w:p>
    <w:p>
      <w:pPr>
        <w:snapToGrid w:val="0"/>
        <w:spacing w:line="400" w:lineRule="exact"/>
        <w:ind w:firstLine="480" w:firstLineChars="200"/>
        <w:rPr>
          <w:rFonts w:hint="eastAsia" w:ascii="方正仿宋_GBK" w:hAnsi="宋体" w:eastAsia="方正仿宋_GBK" w:cs="Arial"/>
          <w:i/>
          <w:iCs/>
          <w:sz w:val="24"/>
          <w:u w:val="single"/>
          <w:lang w:val="en-US" w:eastAsia="zh-CN"/>
        </w:rPr>
      </w:pPr>
      <w:r>
        <w:rPr>
          <w:rFonts w:hint="eastAsia" w:ascii="方正仿宋_GBK" w:hAnsi="宋体" w:eastAsia="方正仿宋_GBK" w:cs="Arial"/>
          <w:i/>
          <w:iCs/>
          <w:sz w:val="24"/>
          <w:u w:val="single"/>
          <w:lang w:val="en-US" w:eastAsia="zh-CN"/>
        </w:rPr>
        <w:t>3</w:t>
      </w:r>
      <w:r>
        <w:rPr>
          <w:rFonts w:hint="eastAsia" w:ascii="方正仿宋_GBK" w:hAnsi="宋体" w:eastAsia="方正仿宋_GBK" w:cs="Arial"/>
          <w:i/>
          <w:iCs/>
          <w:sz w:val="24"/>
          <w:u w:val="single"/>
        </w:rPr>
        <w:t>、截止投标日前3年内在经营活动中没有重大违法记录的书面声明</w:t>
      </w:r>
      <w:r>
        <w:rPr>
          <w:rFonts w:hint="eastAsia" w:ascii="方正仿宋_GBK" w:hAnsi="宋体" w:eastAsia="方正仿宋_GBK" w:cs="Arial"/>
          <w:i/>
          <w:iCs/>
          <w:sz w:val="24"/>
          <w:u w:val="single"/>
          <w:lang w:eastAsia="zh-CN"/>
        </w:rPr>
        <w:t>。</w:t>
      </w:r>
    </w:p>
    <w:p>
      <w:pPr>
        <w:snapToGrid w:val="0"/>
        <w:spacing w:line="400" w:lineRule="exact"/>
        <w:ind w:firstLine="480" w:firstLineChars="200"/>
        <w:rPr>
          <w:rFonts w:hint="eastAsia" w:ascii="方正仿宋_GBK" w:hAnsi="宋体" w:eastAsia="方正仿宋_GBK" w:cs="Arial"/>
          <w:sz w:val="24"/>
          <w:lang w:eastAsia="zh-CN"/>
        </w:rPr>
      </w:pPr>
      <w:r>
        <w:rPr>
          <w:rFonts w:hint="eastAsia" w:ascii="方正仿宋_GBK" w:hAnsi="宋体" w:eastAsia="方正仿宋_GBK" w:cs="Arial"/>
          <w:sz w:val="24"/>
          <w:lang w:val="en-US" w:eastAsia="zh-CN"/>
        </w:rPr>
        <w:t>4、</w:t>
      </w:r>
      <w:r>
        <w:rPr>
          <w:rFonts w:hint="eastAsia" w:ascii="方正仿宋_GBK" w:hAnsi="宋体" w:eastAsia="方正仿宋_GBK" w:cs="Arial"/>
          <w:sz w:val="24"/>
        </w:rPr>
        <w:t>本项目不接受联合体</w:t>
      </w:r>
      <w:r>
        <w:rPr>
          <w:rFonts w:hint="eastAsia" w:ascii="方正仿宋_GBK" w:hAnsi="宋体" w:eastAsia="方正仿宋_GBK" w:cs="Arial"/>
          <w:sz w:val="24"/>
          <w:lang w:eastAsia="zh-CN"/>
        </w:rPr>
        <w:t>。</w:t>
      </w:r>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二、本项目不接受联合体参与询价。</w:t>
      </w:r>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lang w:eastAsia="zh-CN"/>
        </w:rPr>
        <w:t>三</w:t>
      </w:r>
      <w:r>
        <w:rPr>
          <w:rFonts w:hint="eastAsia" w:ascii="方正仿宋_GBK" w:hAnsi="宋体" w:eastAsia="方正仿宋_GBK" w:cs="Arial"/>
          <w:sz w:val="24"/>
        </w:rPr>
        <w:t>、被认定为未实质性响应询价文件的响应文件的情形:</w:t>
      </w:r>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（1）未按照询价文件规定要求密封、签署或盖章的；</w:t>
      </w:r>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（2）供应商在报价时采用选择性报价；</w:t>
      </w:r>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（3）供应商不具备询价文件中规定资格要求的；</w:t>
      </w:r>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（4）不符合法律、法规和询价文件中规定的其他实质性要求和条件的（本询价文件中斜体且有下划线部分为实质性要求和条件）；</w:t>
      </w:r>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（5）其他法律、法规及本询价文件规定的属未实质性响应的响应文件的情形。</w:t>
      </w:r>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lang w:eastAsia="zh-CN"/>
        </w:rPr>
        <w:t>四、</w:t>
      </w:r>
      <w:r>
        <w:rPr>
          <w:rFonts w:hint="eastAsia" w:ascii="方正仿宋_GBK" w:hAnsi="宋体" w:eastAsia="方正仿宋_GBK" w:cs="Arial"/>
          <w:sz w:val="24"/>
        </w:rPr>
        <w:t>未实质性响应询价文件的响应文件按无效响应处理，询价小组将予以拒绝，供应商不得通过修改或撤销不合要求的偏离或保留而使其响应文件成为实质性响应的文件。</w:t>
      </w:r>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lang w:eastAsia="zh-CN"/>
        </w:rPr>
        <w:t>五、</w:t>
      </w:r>
      <w:r>
        <w:rPr>
          <w:rFonts w:hint="eastAsia" w:ascii="方正仿宋_GBK" w:hAnsi="宋体" w:eastAsia="方正仿宋_GBK" w:cs="Arial"/>
          <w:sz w:val="24"/>
        </w:rPr>
        <w:t>参加询价供应商应将询价响应文件密封，并按询价文件规定的时间地点提交询价响应文件。采购人对未密封的响应文件，将予以拒绝，作无效响应处理。采购人将拒绝在规定的提交询价响应文件截止时间后接收任何响应文件。</w:t>
      </w:r>
    </w:p>
    <w:p>
      <w:pPr>
        <w:pStyle w:val="5"/>
        <w:spacing w:before="0" w:after="0" w:line="360" w:lineRule="exact"/>
        <w:jc w:val="center"/>
        <w:rPr>
          <w:rFonts w:hint="eastAsia"/>
          <w:b w:val="0"/>
        </w:rPr>
      </w:pPr>
      <w:r>
        <w:rPr>
          <w:color w:val="000000"/>
        </w:rPr>
        <w:br w:type="page"/>
      </w:r>
      <w:r>
        <w:rPr>
          <w:rFonts w:hint="eastAsia"/>
          <w:b w:val="0"/>
        </w:rPr>
        <w:t xml:space="preserve">参加本采购活动前 3 年内在经营活动中没有重大违法记录的书面声明 </w:t>
      </w:r>
    </w:p>
    <w:p>
      <w:pPr>
        <w:spacing w:line="460" w:lineRule="exact"/>
        <w:rPr>
          <w:rFonts w:hint="eastAsia" w:ascii="宋体" w:hAnsi="宋体"/>
          <w:b/>
          <w:bCs/>
          <w:sz w:val="44"/>
          <w:szCs w:val="44"/>
        </w:rPr>
      </w:pPr>
      <w:r>
        <w:rPr>
          <w:rFonts w:hint="eastAsia" w:ascii="宋体" w:hAnsi="宋体"/>
          <w:b/>
          <w:bCs/>
          <w:sz w:val="24"/>
        </w:rPr>
        <w:t xml:space="preserve">                       </w:t>
      </w:r>
      <w:r>
        <w:rPr>
          <w:rFonts w:hint="eastAsia" w:ascii="宋体" w:hAnsi="宋体"/>
          <w:b/>
          <w:bCs/>
          <w:sz w:val="44"/>
          <w:szCs w:val="44"/>
        </w:rPr>
        <w:t xml:space="preserve">   </w:t>
      </w:r>
    </w:p>
    <w:p>
      <w:pPr>
        <w:spacing w:line="460" w:lineRule="exact"/>
        <w:ind w:firstLine="492"/>
        <w:rPr>
          <w:rFonts w:hint="eastAsia" w:ascii="方正仿宋_GBK" w:hAnsi="宋体" w:eastAsia="方正仿宋_GBK"/>
          <w:bCs/>
          <w:sz w:val="24"/>
        </w:rPr>
      </w:pPr>
      <w:r>
        <w:rPr>
          <w:rFonts w:hint="eastAsia" w:ascii="方正仿宋_GBK" w:hAnsi="宋体" w:eastAsia="方正仿宋_GBK"/>
          <w:bCs/>
          <w:sz w:val="24"/>
        </w:rPr>
        <w:t>我公司郑重声明：参加本次采购活动前 3 年内，我公司在经营活动中没有因违法经营受到刑事处罚或者责令停产停业、吊销许可证或者执照、较大数额罚款等行政处罚。</w:t>
      </w:r>
    </w:p>
    <w:p>
      <w:pPr>
        <w:spacing w:line="460" w:lineRule="exact"/>
        <w:ind w:firstLine="3840" w:firstLineChars="1600"/>
        <w:rPr>
          <w:rFonts w:hint="eastAsia" w:ascii="方正仿宋_GBK" w:hAnsi="宋体" w:eastAsia="方正仿宋_GBK"/>
          <w:bCs/>
          <w:sz w:val="24"/>
        </w:rPr>
      </w:pPr>
      <w:r>
        <w:rPr>
          <w:rFonts w:hint="eastAsia" w:ascii="方正仿宋_GBK" w:hAnsi="宋体" w:eastAsia="方正仿宋_GBK"/>
          <w:bCs/>
          <w:sz w:val="24"/>
        </w:rPr>
        <w:t>单位盖章：</w:t>
      </w:r>
    </w:p>
    <w:p>
      <w:pPr>
        <w:spacing w:line="460" w:lineRule="exact"/>
        <w:ind w:firstLine="6000" w:firstLineChars="2500"/>
        <w:rPr>
          <w:rFonts w:hint="eastAsia" w:ascii="方正仿宋_GBK" w:hAnsi="宋体" w:eastAsia="方正仿宋_GBK"/>
          <w:bCs/>
          <w:sz w:val="24"/>
        </w:rPr>
      </w:pPr>
      <w:r>
        <w:rPr>
          <w:rFonts w:hint="eastAsia" w:ascii="方正仿宋_GBK" w:hAnsi="宋体" w:eastAsia="方正仿宋_GBK"/>
          <w:bCs/>
          <w:sz w:val="24"/>
        </w:rPr>
        <w:t xml:space="preserve">年  月  日 </w:t>
      </w:r>
    </w:p>
    <w:p>
      <w:pPr>
        <w:spacing w:line="460" w:lineRule="exact"/>
        <w:rPr>
          <w:rFonts w:hint="eastAsia" w:ascii="宋体" w:hAnsi="宋体"/>
          <w:bCs/>
          <w:sz w:val="24"/>
        </w:rPr>
      </w:pPr>
    </w:p>
    <w:p>
      <w:pPr>
        <w:rPr>
          <w:rFonts w:hint="eastAsia"/>
        </w:rPr>
      </w:pPr>
      <w:bookmarkStart w:id="6" w:name="_Toc90484548"/>
      <w:r>
        <w:rPr>
          <w:rFonts w:hint="eastAsia"/>
        </w:rPr>
        <w:br w:type="page"/>
      </w:r>
    </w:p>
    <w:p>
      <w:pPr>
        <w:pStyle w:val="3"/>
        <w:jc w:val="center"/>
        <w:rPr>
          <w:rFonts w:hint="eastAsia"/>
        </w:rPr>
      </w:pPr>
      <w:r>
        <w:rPr>
          <w:rFonts w:hint="eastAsia"/>
        </w:rPr>
        <w:t>第四章 询价报价表</w:t>
      </w:r>
      <w:bookmarkEnd w:id="6"/>
    </w:p>
    <w:p>
      <w:pPr>
        <w:snapToGrid w:val="0"/>
        <w:spacing w:line="400" w:lineRule="exact"/>
        <w:ind w:firstLine="480" w:firstLineChars="200"/>
        <w:rPr>
          <w:rFonts w:hint="eastAsia" w:ascii="方正仿宋_GBK" w:hAnsi="宋体" w:eastAsia="方正仿宋_GBK" w:cs="Arial"/>
          <w:sz w:val="24"/>
        </w:rPr>
      </w:pPr>
      <w:r>
        <w:rPr>
          <w:rFonts w:hint="eastAsia" w:ascii="方正仿宋_GBK" w:hAnsi="宋体" w:eastAsia="方正仿宋_GBK" w:cs="Arial"/>
          <w:sz w:val="24"/>
        </w:rPr>
        <w:t>参加询价供应商全称（加盖公章）：</w:t>
      </w:r>
    </w:p>
    <w:tbl>
      <w:tblPr>
        <w:tblStyle w:val="11"/>
        <w:tblW w:w="8931" w:type="dxa"/>
        <w:tblInd w:w="-122" w:type="dxa"/>
        <w:tblLayout w:type="fixed"/>
        <w:tblCellMar>
          <w:top w:w="0" w:type="dxa"/>
          <w:left w:w="0" w:type="dxa"/>
          <w:bottom w:w="0" w:type="dxa"/>
          <w:right w:w="0" w:type="dxa"/>
        </w:tblCellMar>
      </w:tblPr>
      <w:tblGrid>
        <w:gridCol w:w="1276"/>
        <w:gridCol w:w="284"/>
        <w:gridCol w:w="2977"/>
        <w:gridCol w:w="850"/>
        <w:gridCol w:w="1090"/>
        <w:gridCol w:w="1036"/>
        <w:gridCol w:w="1418"/>
      </w:tblGrid>
      <w:tr>
        <w:tblPrEx>
          <w:tblCellMar>
            <w:top w:w="0" w:type="dxa"/>
            <w:left w:w="0" w:type="dxa"/>
            <w:bottom w:w="0" w:type="dxa"/>
            <w:right w:w="0" w:type="dxa"/>
          </w:tblCellMar>
        </w:tblPrEx>
        <w:trPr>
          <w:trHeight w:val="500" w:hRule="atLeast"/>
        </w:trPr>
        <w:tc>
          <w:tcPr>
            <w:tcW w:w="1560" w:type="dxa"/>
            <w:gridSpan w:val="2"/>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snapToGrid w:val="0"/>
              <w:spacing w:line="400" w:lineRule="exact"/>
              <w:rPr>
                <w:rFonts w:ascii="方正仿宋_GBK" w:hAnsi="宋体" w:eastAsia="方正仿宋_GBK" w:cs="Arial"/>
                <w:sz w:val="24"/>
              </w:rPr>
            </w:pPr>
            <w:r>
              <w:rPr>
                <w:rFonts w:hint="eastAsia" w:ascii="方正仿宋_GBK" w:hAnsi="宋体" w:eastAsia="方正仿宋_GBK" w:cs="Arial"/>
                <w:sz w:val="24"/>
              </w:rPr>
              <w:t>项目名称</w:t>
            </w:r>
          </w:p>
        </w:tc>
        <w:tc>
          <w:tcPr>
            <w:tcW w:w="2977"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napToGrid w:val="0"/>
              <w:spacing w:line="400" w:lineRule="exact"/>
              <w:ind w:firstLine="480" w:firstLineChars="200"/>
              <w:rPr>
                <w:rFonts w:hint="eastAsia" w:ascii="方正仿宋_GBK" w:hAnsi="宋体" w:eastAsia="方正仿宋_GBK" w:cs="Arial"/>
                <w:sz w:val="24"/>
                <w:lang w:eastAsia="zh-CN"/>
              </w:rPr>
            </w:pPr>
            <w:r>
              <w:rPr>
                <w:rFonts w:hint="eastAsia" w:ascii="方正仿宋_GBK" w:hAnsi="宋体" w:eastAsia="方正仿宋_GBK" w:cs="Arial"/>
                <w:sz w:val="24"/>
                <w:lang w:val="en-US" w:eastAsia="zh-CN"/>
              </w:rPr>
              <w:t>消防水泵控制柜更新</w:t>
            </w:r>
          </w:p>
        </w:tc>
        <w:tc>
          <w:tcPr>
            <w:tcW w:w="1940" w:type="dxa"/>
            <w:gridSpan w:val="2"/>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napToGrid w:val="0"/>
              <w:spacing w:line="400" w:lineRule="exact"/>
              <w:ind w:firstLine="480" w:firstLineChars="200"/>
              <w:rPr>
                <w:rFonts w:ascii="方正仿宋_GBK" w:hAnsi="宋体" w:eastAsia="方正仿宋_GBK" w:cs="Arial"/>
                <w:sz w:val="24"/>
              </w:rPr>
            </w:pPr>
            <w:r>
              <w:rPr>
                <w:rFonts w:hint="eastAsia" w:ascii="方正仿宋_GBK" w:hAnsi="宋体" w:eastAsia="方正仿宋_GBK" w:cs="Arial"/>
                <w:sz w:val="24"/>
              </w:rPr>
              <w:t>项目编号</w:t>
            </w:r>
          </w:p>
        </w:tc>
        <w:tc>
          <w:tcPr>
            <w:tcW w:w="2454" w:type="dxa"/>
            <w:gridSpan w:val="2"/>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snapToGrid w:val="0"/>
              <w:spacing w:line="400" w:lineRule="exact"/>
              <w:rPr>
                <w:rFonts w:hint="default" w:ascii="方正仿宋_GBK" w:hAnsi="宋体" w:eastAsia="方正仿宋_GBK" w:cs="Arial"/>
                <w:sz w:val="24"/>
                <w:lang w:val="en-US" w:eastAsia="zh-CN"/>
              </w:rPr>
            </w:pPr>
            <w:r>
              <w:rPr>
                <w:rFonts w:hint="eastAsia" w:ascii="方正仿宋_GBK" w:hAnsi="宋体" w:eastAsia="方正仿宋_GBK" w:cs="Arial"/>
                <w:color w:val="000000"/>
                <w:sz w:val="24"/>
                <w:lang w:eastAsia="zh-CN"/>
              </w:rPr>
              <w:t>方源集团</w:t>
            </w:r>
            <w:r>
              <w:rPr>
                <w:rFonts w:hint="eastAsia" w:ascii="方正仿宋_GBK" w:hAnsi="宋体" w:eastAsia="方正仿宋_GBK" w:cs="Arial"/>
                <w:sz w:val="24"/>
              </w:rPr>
              <w:t>JY-20</w:t>
            </w:r>
            <w:r>
              <w:rPr>
                <w:rFonts w:hint="eastAsia" w:ascii="方正仿宋_GBK" w:hAnsi="宋体" w:eastAsia="方正仿宋_GBK" w:cs="Arial"/>
                <w:sz w:val="24"/>
                <w:lang w:val="en-US" w:eastAsia="zh-CN"/>
              </w:rPr>
              <w:t>24</w:t>
            </w:r>
            <w:r>
              <w:rPr>
                <w:rFonts w:hint="eastAsia" w:ascii="方正仿宋_GBK" w:hAnsi="宋体" w:eastAsia="方正仿宋_GBK" w:cs="Arial"/>
                <w:sz w:val="24"/>
              </w:rPr>
              <w:t>-</w:t>
            </w:r>
            <w:r>
              <w:rPr>
                <w:rFonts w:hint="eastAsia" w:ascii="方正仿宋_GBK" w:hAnsi="宋体" w:eastAsia="方正仿宋_GBK" w:cs="Arial"/>
                <w:sz w:val="24"/>
                <w:lang w:val="en-US" w:eastAsia="zh-CN"/>
              </w:rPr>
              <w:t>04</w:t>
            </w:r>
          </w:p>
        </w:tc>
      </w:tr>
      <w:tr>
        <w:tblPrEx>
          <w:tblCellMar>
            <w:top w:w="0" w:type="dxa"/>
            <w:left w:w="0" w:type="dxa"/>
            <w:bottom w:w="0" w:type="dxa"/>
            <w:right w:w="0" w:type="dxa"/>
          </w:tblCellMar>
        </w:tblPrEx>
        <w:trPr>
          <w:trHeight w:val="555" w:hRule="atLeast"/>
        </w:trPr>
        <w:tc>
          <w:tcPr>
            <w:tcW w:w="1560" w:type="dxa"/>
            <w:gridSpan w:val="2"/>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snapToGrid w:val="0"/>
              <w:spacing w:line="400" w:lineRule="exact"/>
              <w:jc w:val="center"/>
              <w:rPr>
                <w:rFonts w:ascii="方正仿宋_GBK" w:hAnsi="宋体" w:eastAsia="方正仿宋_GBK" w:cs="Arial"/>
                <w:sz w:val="24"/>
              </w:rPr>
            </w:pPr>
            <w:r>
              <w:rPr>
                <w:rFonts w:hint="eastAsia" w:ascii="方正仿宋_GBK" w:hAnsi="宋体" w:eastAsia="方正仿宋_GBK" w:cs="Arial"/>
                <w:sz w:val="24"/>
              </w:rPr>
              <w:t>采购人</w:t>
            </w:r>
          </w:p>
        </w:tc>
        <w:tc>
          <w:tcPr>
            <w:tcW w:w="7371" w:type="dxa"/>
            <w:gridSpan w:val="5"/>
            <w:tcBorders>
              <w:top w:val="single" w:color="auto" w:sz="4" w:space="0"/>
              <w:left w:val="nil"/>
              <w:bottom w:val="single" w:color="auto" w:sz="4" w:space="0"/>
              <w:right w:val="single" w:color="000000" w:sz="4" w:space="0"/>
            </w:tcBorders>
            <w:noWrap w:val="0"/>
            <w:tcMar>
              <w:top w:w="20" w:type="dxa"/>
              <w:left w:w="20" w:type="dxa"/>
              <w:bottom w:w="0" w:type="dxa"/>
              <w:right w:w="20" w:type="dxa"/>
            </w:tcMar>
            <w:vAlign w:val="center"/>
          </w:tcPr>
          <w:p>
            <w:pPr>
              <w:snapToGrid w:val="0"/>
              <w:spacing w:line="400" w:lineRule="exact"/>
              <w:ind w:firstLine="0" w:firstLineChars="0"/>
              <w:jc w:val="both"/>
              <w:rPr>
                <w:rFonts w:hint="eastAsia" w:ascii="方正仿宋_GBK" w:hAnsi="宋体" w:eastAsia="方正仿宋_GBK" w:cs="Arial"/>
                <w:sz w:val="24"/>
                <w:lang w:eastAsia="zh-CN"/>
              </w:rPr>
            </w:pPr>
            <w:r>
              <w:rPr>
                <w:rFonts w:hint="eastAsia" w:ascii="方正仿宋_GBK" w:hAnsi="宋体" w:eastAsia="方正仿宋_GBK" w:cs="Arial"/>
                <w:sz w:val="24"/>
                <w:lang w:eastAsia="zh-CN"/>
              </w:rPr>
              <w:t>方源集团</w:t>
            </w:r>
          </w:p>
        </w:tc>
      </w:tr>
      <w:tr>
        <w:tblPrEx>
          <w:tblCellMar>
            <w:top w:w="0" w:type="dxa"/>
            <w:left w:w="0" w:type="dxa"/>
            <w:bottom w:w="0" w:type="dxa"/>
            <w:right w:w="0" w:type="dxa"/>
          </w:tblCellMar>
        </w:tblPrEx>
        <w:trPr>
          <w:trHeight w:val="615" w:hRule="atLeast"/>
        </w:trPr>
        <w:tc>
          <w:tcPr>
            <w:tcW w:w="1560" w:type="dxa"/>
            <w:gridSpan w:val="2"/>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snapToGrid w:val="0"/>
              <w:spacing w:line="400" w:lineRule="exact"/>
              <w:jc w:val="center"/>
              <w:rPr>
                <w:rFonts w:ascii="方正仿宋_GBK" w:hAnsi="宋体" w:eastAsia="方正仿宋_GBK" w:cs="Arial"/>
                <w:sz w:val="24"/>
              </w:rPr>
            </w:pPr>
            <w:r>
              <w:rPr>
                <w:rFonts w:hint="eastAsia" w:ascii="方正仿宋_GBK" w:hAnsi="宋体" w:eastAsia="方正仿宋_GBK" w:cs="Arial"/>
                <w:sz w:val="24"/>
              </w:rPr>
              <w:t>询价标的</w:t>
            </w:r>
          </w:p>
        </w:tc>
        <w:tc>
          <w:tcPr>
            <w:tcW w:w="2977"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snapToGrid w:val="0"/>
              <w:spacing w:line="400" w:lineRule="exact"/>
              <w:rPr>
                <w:rFonts w:ascii="方正仿宋_GBK" w:hAnsi="宋体" w:eastAsia="方正仿宋_GBK" w:cs="Arial"/>
                <w:sz w:val="24"/>
              </w:rPr>
            </w:pPr>
            <w:r>
              <w:rPr>
                <w:rFonts w:hint="eastAsia" w:ascii="方正仿宋_GBK" w:hAnsi="宋体" w:eastAsia="方正仿宋_GBK" w:cs="Arial"/>
                <w:sz w:val="24"/>
              </w:rPr>
              <w:t>详见需求清单</w:t>
            </w:r>
          </w:p>
        </w:tc>
        <w:tc>
          <w:tcPr>
            <w:tcW w:w="1940" w:type="dxa"/>
            <w:gridSpan w:val="2"/>
            <w:tcBorders>
              <w:top w:val="nil"/>
              <w:left w:val="nil"/>
              <w:bottom w:val="single" w:color="auto" w:sz="4" w:space="0"/>
              <w:right w:val="single" w:color="auto" w:sz="4" w:space="0"/>
            </w:tcBorders>
            <w:noWrap w:val="0"/>
            <w:tcMar>
              <w:top w:w="20" w:type="dxa"/>
              <w:left w:w="20" w:type="dxa"/>
              <w:bottom w:w="0" w:type="dxa"/>
              <w:right w:w="20" w:type="dxa"/>
            </w:tcMar>
            <w:vAlign w:val="center"/>
          </w:tcPr>
          <w:p>
            <w:pPr>
              <w:snapToGrid w:val="0"/>
              <w:spacing w:line="400" w:lineRule="exact"/>
              <w:ind w:firstLine="480" w:firstLineChars="200"/>
              <w:rPr>
                <w:rFonts w:ascii="方正仿宋_GBK" w:hAnsi="宋体" w:eastAsia="方正仿宋_GBK" w:cs="Arial"/>
                <w:sz w:val="24"/>
              </w:rPr>
            </w:pPr>
            <w:r>
              <w:rPr>
                <w:rFonts w:hint="eastAsia" w:ascii="方正仿宋_GBK" w:hAnsi="宋体" w:eastAsia="方正仿宋_GBK" w:cs="Arial"/>
                <w:sz w:val="24"/>
              </w:rPr>
              <w:t>数量</w:t>
            </w:r>
          </w:p>
        </w:tc>
        <w:tc>
          <w:tcPr>
            <w:tcW w:w="2454" w:type="dxa"/>
            <w:gridSpan w:val="2"/>
            <w:tcBorders>
              <w:top w:val="nil"/>
              <w:left w:val="nil"/>
              <w:bottom w:val="single" w:color="auto" w:sz="4" w:space="0"/>
              <w:right w:val="single" w:color="auto" w:sz="4" w:space="0"/>
            </w:tcBorders>
            <w:noWrap w:val="0"/>
            <w:tcMar>
              <w:top w:w="20" w:type="dxa"/>
              <w:left w:w="20" w:type="dxa"/>
              <w:bottom w:w="0" w:type="dxa"/>
              <w:right w:w="20" w:type="dxa"/>
            </w:tcMar>
            <w:vAlign w:val="center"/>
          </w:tcPr>
          <w:p>
            <w:pPr>
              <w:snapToGrid w:val="0"/>
              <w:spacing w:line="400" w:lineRule="exact"/>
              <w:ind w:firstLine="480" w:firstLineChars="200"/>
              <w:rPr>
                <w:rFonts w:hint="eastAsia" w:ascii="方正仿宋_GBK" w:hAnsi="宋体" w:eastAsia="方正仿宋_GBK" w:cs="Arial"/>
                <w:sz w:val="24"/>
                <w:lang w:eastAsia="zh-CN"/>
              </w:rPr>
            </w:pPr>
            <w:r>
              <w:rPr>
                <w:rFonts w:hint="eastAsia" w:ascii="方正仿宋_GBK" w:hAnsi="宋体" w:eastAsia="方正仿宋_GBK" w:cs="Arial"/>
                <w:sz w:val="24"/>
                <w:lang w:eastAsia="zh-CN"/>
              </w:rPr>
              <w:t>见需求清单</w:t>
            </w:r>
          </w:p>
        </w:tc>
      </w:tr>
      <w:tr>
        <w:tblPrEx>
          <w:tblCellMar>
            <w:top w:w="0" w:type="dxa"/>
            <w:left w:w="0" w:type="dxa"/>
            <w:bottom w:w="0" w:type="dxa"/>
            <w:right w:w="0" w:type="dxa"/>
          </w:tblCellMar>
        </w:tblPrEx>
        <w:trPr>
          <w:trHeight w:val="570" w:hRule="atLeast"/>
        </w:trPr>
        <w:tc>
          <w:tcPr>
            <w:tcW w:w="1560" w:type="dxa"/>
            <w:gridSpan w:val="2"/>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snapToGrid w:val="0"/>
              <w:spacing w:line="400" w:lineRule="exact"/>
              <w:jc w:val="center"/>
              <w:rPr>
                <w:rFonts w:ascii="方正仿宋_GBK" w:hAnsi="宋体" w:eastAsia="方正仿宋_GBK" w:cs="Arial"/>
                <w:sz w:val="24"/>
              </w:rPr>
            </w:pPr>
            <w:r>
              <w:rPr>
                <w:rFonts w:hint="eastAsia" w:ascii="方正仿宋_GBK" w:hAnsi="宋体" w:eastAsia="方正仿宋_GBK" w:cs="Arial"/>
                <w:sz w:val="24"/>
              </w:rPr>
              <w:t>截止时间</w:t>
            </w:r>
          </w:p>
        </w:tc>
        <w:tc>
          <w:tcPr>
            <w:tcW w:w="2977"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snapToGrid w:val="0"/>
              <w:spacing w:line="400" w:lineRule="exact"/>
              <w:ind w:firstLine="120" w:firstLineChars="50"/>
              <w:rPr>
                <w:rFonts w:hint="eastAsia" w:ascii="方正仿宋_GBK" w:hAnsi="宋体" w:eastAsia="方正仿宋_GBK" w:cs="Arial"/>
                <w:sz w:val="24"/>
                <w:lang w:eastAsia="zh-CN"/>
              </w:rPr>
            </w:pPr>
            <w:r>
              <w:rPr>
                <w:rFonts w:hint="eastAsia" w:ascii="方正仿宋_GBK" w:hAnsi="宋体" w:eastAsia="方正仿宋_GBK" w:cs="Arial"/>
                <w:sz w:val="24"/>
              </w:rPr>
              <w:t>202</w:t>
            </w:r>
            <w:r>
              <w:rPr>
                <w:rFonts w:hint="eastAsia" w:ascii="方正仿宋_GBK" w:hAnsi="宋体" w:eastAsia="方正仿宋_GBK" w:cs="Arial"/>
                <w:sz w:val="24"/>
                <w:lang w:val="en-US" w:eastAsia="zh-CN"/>
              </w:rPr>
              <w:t>4</w:t>
            </w:r>
            <w:r>
              <w:rPr>
                <w:rFonts w:hint="eastAsia" w:ascii="方正仿宋_GBK" w:hAnsi="宋体" w:eastAsia="方正仿宋_GBK" w:cs="Arial"/>
                <w:sz w:val="24"/>
              </w:rPr>
              <w:t>年</w:t>
            </w:r>
            <w:r>
              <w:rPr>
                <w:rFonts w:hint="eastAsia" w:ascii="方正仿宋_GBK" w:hAnsi="宋体" w:eastAsia="方正仿宋_GBK" w:cs="Arial"/>
                <w:sz w:val="24"/>
                <w:lang w:val="en-US" w:eastAsia="zh-CN"/>
              </w:rPr>
              <w:t>8月13日15</w:t>
            </w:r>
            <w:r>
              <w:rPr>
                <w:rFonts w:hint="eastAsia" w:ascii="方正仿宋_GBK" w:hAnsi="宋体" w:eastAsia="方正仿宋_GBK" w:cs="Arial"/>
                <w:sz w:val="24"/>
              </w:rPr>
              <w:t>时</w:t>
            </w:r>
            <w:r>
              <w:rPr>
                <w:rFonts w:hint="eastAsia" w:ascii="方正仿宋_GBK" w:hAnsi="宋体" w:eastAsia="方正仿宋_GBK" w:cs="Arial"/>
                <w:sz w:val="24"/>
                <w:lang w:eastAsia="zh-CN"/>
              </w:rPr>
              <w:t>前</w:t>
            </w:r>
          </w:p>
          <w:p>
            <w:pPr>
              <w:snapToGrid w:val="0"/>
              <w:spacing w:line="400" w:lineRule="exact"/>
              <w:ind w:firstLine="120" w:firstLineChars="50"/>
              <w:rPr>
                <w:rFonts w:hint="eastAsia" w:ascii="方正仿宋_GBK" w:hAnsi="宋体" w:eastAsia="方正仿宋_GBK" w:cs="Arial"/>
                <w:sz w:val="24"/>
                <w:lang w:eastAsia="zh-CN"/>
              </w:rPr>
            </w:pPr>
          </w:p>
        </w:tc>
        <w:tc>
          <w:tcPr>
            <w:tcW w:w="1940" w:type="dxa"/>
            <w:gridSpan w:val="2"/>
            <w:tcBorders>
              <w:top w:val="nil"/>
              <w:left w:val="nil"/>
              <w:bottom w:val="single" w:color="auto" w:sz="4" w:space="0"/>
              <w:right w:val="single" w:color="auto" w:sz="4" w:space="0"/>
            </w:tcBorders>
            <w:noWrap w:val="0"/>
            <w:tcMar>
              <w:top w:w="20" w:type="dxa"/>
              <w:left w:w="20" w:type="dxa"/>
              <w:bottom w:w="0" w:type="dxa"/>
              <w:right w:w="20" w:type="dxa"/>
            </w:tcMar>
            <w:vAlign w:val="center"/>
          </w:tcPr>
          <w:p>
            <w:pPr>
              <w:snapToGrid w:val="0"/>
              <w:spacing w:line="400" w:lineRule="exact"/>
              <w:ind w:firstLine="480" w:firstLineChars="200"/>
              <w:rPr>
                <w:rFonts w:ascii="方正仿宋_GBK" w:hAnsi="宋体" w:eastAsia="方正仿宋_GBK" w:cs="Arial"/>
                <w:sz w:val="24"/>
              </w:rPr>
            </w:pPr>
            <w:r>
              <w:rPr>
                <w:rFonts w:hint="eastAsia" w:ascii="方正仿宋_GBK" w:hAnsi="宋体" w:eastAsia="方正仿宋_GBK" w:cs="Arial"/>
                <w:sz w:val="24"/>
              </w:rPr>
              <w:t>询价地点</w:t>
            </w:r>
          </w:p>
        </w:tc>
        <w:tc>
          <w:tcPr>
            <w:tcW w:w="2454" w:type="dxa"/>
            <w:gridSpan w:val="2"/>
            <w:tcBorders>
              <w:top w:val="nil"/>
              <w:left w:val="nil"/>
              <w:bottom w:val="single" w:color="auto" w:sz="4" w:space="0"/>
              <w:right w:val="single" w:color="auto" w:sz="4" w:space="0"/>
            </w:tcBorders>
            <w:noWrap w:val="0"/>
            <w:tcMar>
              <w:top w:w="20" w:type="dxa"/>
              <w:left w:w="20" w:type="dxa"/>
              <w:bottom w:w="0" w:type="dxa"/>
              <w:right w:w="20" w:type="dxa"/>
            </w:tcMar>
            <w:vAlign w:val="center"/>
          </w:tcPr>
          <w:p>
            <w:pPr>
              <w:snapToGrid w:val="0"/>
              <w:spacing w:line="400" w:lineRule="exact"/>
              <w:ind w:firstLine="0" w:firstLineChars="0"/>
              <w:rPr>
                <w:rFonts w:hint="default" w:ascii="方正仿宋_GBK" w:hAnsi="宋体" w:eastAsia="方正仿宋_GBK" w:cs="Arial"/>
                <w:sz w:val="24"/>
                <w:lang w:val="en-US" w:eastAsia="zh-CN"/>
              </w:rPr>
            </w:pPr>
            <w:r>
              <w:rPr>
                <w:rFonts w:hint="eastAsia" w:ascii="方正仿宋_GBK" w:hAnsi="宋体" w:eastAsia="方正仿宋_GBK" w:cs="Arial"/>
                <w:sz w:val="24"/>
                <w:lang w:eastAsia="zh-CN"/>
              </w:rPr>
              <w:t>清凉门大街</w:t>
            </w:r>
            <w:r>
              <w:rPr>
                <w:rFonts w:hint="eastAsia" w:ascii="方正仿宋_GBK" w:hAnsi="宋体" w:eastAsia="方正仿宋_GBK" w:cs="Arial"/>
                <w:sz w:val="24"/>
                <w:lang w:val="en-US" w:eastAsia="zh-CN"/>
              </w:rPr>
              <w:t>188号709办公室</w:t>
            </w:r>
          </w:p>
        </w:tc>
      </w:tr>
      <w:tr>
        <w:tblPrEx>
          <w:tblCellMar>
            <w:top w:w="0" w:type="dxa"/>
            <w:left w:w="0" w:type="dxa"/>
            <w:bottom w:w="0" w:type="dxa"/>
            <w:right w:w="0" w:type="dxa"/>
          </w:tblCellMar>
        </w:tblPrEx>
        <w:trPr>
          <w:trHeight w:val="585" w:hRule="atLeast"/>
        </w:trPr>
        <w:tc>
          <w:tcPr>
            <w:tcW w:w="1560" w:type="dxa"/>
            <w:gridSpan w:val="2"/>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snapToGrid w:val="0"/>
              <w:spacing w:line="400" w:lineRule="exact"/>
              <w:jc w:val="center"/>
              <w:rPr>
                <w:rFonts w:ascii="方正仿宋_GBK" w:hAnsi="宋体" w:eastAsia="方正仿宋_GBK" w:cs="Arial"/>
                <w:sz w:val="24"/>
              </w:rPr>
            </w:pPr>
            <w:r>
              <w:rPr>
                <w:rFonts w:hint="eastAsia" w:ascii="方正仿宋_GBK" w:hAnsi="宋体" w:eastAsia="方正仿宋_GBK" w:cs="Arial"/>
                <w:sz w:val="24"/>
              </w:rPr>
              <w:t>供应商联系人</w:t>
            </w:r>
          </w:p>
        </w:tc>
        <w:tc>
          <w:tcPr>
            <w:tcW w:w="2977"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snapToGrid w:val="0"/>
              <w:spacing w:line="400" w:lineRule="exact"/>
              <w:ind w:firstLine="480" w:firstLineChars="200"/>
              <w:rPr>
                <w:rFonts w:ascii="方正仿宋_GBK" w:hAnsi="宋体" w:eastAsia="方正仿宋_GBK" w:cs="Arial"/>
                <w:sz w:val="24"/>
              </w:rPr>
            </w:pPr>
          </w:p>
        </w:tc>
        <w:tc>
          <w:tcPr>
            <w:tcW w:w="1940" w:type="dxa"/>
            <w:gridSpan w:val="2"/>
            <w:tcBorders>
              <w:top w:val="nil"/>
              <w:left w:val="nil"/>
              <w:bottom w:val="single" w:color="auto" w:sz="4" w:space="0"/>
              <w:right w:val="single" w:color="auto" w:sz="4" w:space="0"/>
            </w:tcBorders>
            <w:noWrap w:val="0"/>
            <w:tcMar>
              <w:top w:w="20" w:type="dxa"/>
              <w:left w:w="20" w:type="dxa"/>
              <w:bottom w:w="0" w:type="dxa"/>
              <w:right w:w="20" w:type="dxa"/>
            </w:tcMar>
            <w:vAlign w:val="center"/>
          </w:tcPr>
          <w:p>
            <w:pPr>
              <w:snapToGrid w:val="0"/>
              <w:spacing w:line="400" w:lineRule="exact"/>
              <w:ind w:firstLine="120" w:firstLineChars="50"/>
              <w:rPr>
                <w:rFonts w:ascii="方正仿宋_GBK" w:hAnsi="宋体" w:eastAsia="方正仿宋_GBK" w:cs="Arial"/>
                <w:sz w:val="24"/>
              </w:rPr>
            </w:pPr>
            <w:r>
              <w:rPr>
                <w:rFonts w:hint="eastAsia" w:ascii="方正仿宋_GBK" w:hAnsi="宋体" w:eastAsia="方正仿宋_GBK" w:cs="Arial"/>
                <w:sz w:val="24"/>
              </w:rPr>
              <w:t>供应商联系电话</w:t>
            </w:r>
          </w:p>
        </w:tc>
        <w:tc>
          <w:tcPr>
            <w:tcW w:w="2454" w:type="dxa"/>
            <w:gridSpan w:val="2"/>
            <w:tcBorders>
              <w:top w:val="nil"/>
              <w:left w:val="nil"/>
              <w:bottom w:val="single" w:color="auto" w:sz="4" w:space="0"/>
              <w:right w:val="single" w:color="auto" w:sz="4" w:space="0"/>
            </w:tcBorders>
            <w:noWrap w:val="0"/>
            <w:tcMar>
              <w:top w:w="20" w:type="dxa"/>
              <w:left w:w="20" w:type="dxa"/>
              <w:bottom w:w="0" w:type="dxa"/>
              <w:right w:w="20" w:type="dxa"/>
            </w:tcMar>
            <w:vAlign w:val="center"/>
          </w:tcPr>
          <w:p>
            <w:pPr>
              <w:snapToGrid w:val="0"/>
              <w:spacing w:line="400" w:lineRule="exact"/>
              <w:ind w:firstLine="480" w:firstLineChars="200"/>
              <w:rPr>
                <w:rFonts w:ascii="方正仿宋_GBK" w:hAnsi="宋体" w:eastAsia="方正仿宋_GBK" w:cs="Arial"/>
                <w:sz w:val="24"/>
              </w:rPr>
            </w:pPr>
          </w:p>
        </w:tc>
      </w:tr>
      <w:tr>
        <w:tblPrEx>
          <w:tblCellMar>
            <w:top w:w="0" w:type="dxa"/>
            <w:left w:w="0" w:type="dxa"/>
            <w:bottom w:w="0" w:type="dxa"/>
            <w:right w:w="0" w:type="dxa"/>
          </w:tblCellMar>
        </w:tblPrEx>
        <w:trPr>
          <w:trHeight w:val="922" w:hRule="atLeast"/>
        </w:trPr>
        <w:tc>
          <w:tcPr>
            <w:tcW w:w="5387" w:type="dxa"/>
            <w:gridSpan w:val="4"/>
            <w:tcBorders>
              <w:top w:val="single" w:color="auto" w:sz="4" w:space="0"/>
              <w:left w:val="single" w:color="auto" w:sz="4" w:space="0"/>
              <w:bottom w:val="single" w:color="auto" w:sz="4" w:space="0"/>
              <w:right w:val="single" w:color="000000" w:sz="4" w:space="0"/>
            </w:tcBorders>
            <w:noWrap w:val="0"/>
            <w:tcMar>
              <w:top w:w="20" w:type="dxa"/>
              <w:left w:w="20" w:type="dxa"/>
              <w:bottom w:w="0" w:type="dxa"/>
              <w:right w:w="20" w:type="dxa"/>
            </w:tcMar>
            <w:vAlign w:val="center"/>
          </w:tcPr>
          <w:p>
            <w:pPr>
              <w:snapToGrid w:val="0"/>
              <w:spacing w:line="400" w:lineRule="exact"/>
              <w:ind w:firstLine="480" w:firstLineChars="200"/>
              <w:jc w:val="center"/>
              <w:rPr>
                <w:rFonts w:ascii="方正仿宋_GBK" w:hAnsi="宋体" w:eastAsia="方正仿宋_GBK" w:cs="Arial"/>
                <w:sz w:val="24"/>
              </w:rPr>
            </w:pPr>
            <w:r>
              <w:rPr>
                <w:rFonts w:hint="eastAsia" w:ascii="方正仿宋_GBK" w:hAnsi="宋体" w:eastAsia="方正仿宋_GBK" w:cs="Arial"/>
                <w:sz w:val="24"/>
              </w:rPr>
              <w:t>项目需求 (技术要求)</w:t>
            </w:r>
          </w:p>
        </w:tc>
        <w:tc>
          <w:tcPr>
            <w:tcW w:w="2126" w:type="dxa"/>
            <w:gridSpan w:val="2"/>
            <w:tcBorders>
              <w:top w:val="nil"/>
              <w:left w:val="nil"/>
              <w:bottom w:val="single" w:color="auto" w:sz="4" w:space="0"/>
              <w:right w:val="single" w:color="auto" w:sz="4" w:space="0"/>
            </w:tcBorders>
            <w:noWrap w:val="0"/>
            <w:tcMar>
              <w:top w:w="20" w:type="dxa"/>
              <w:left w:w="20" w:type="dxa"/>
              <w:bottom w:w="0" w:type="dxa"/>
              <w:right w:w="20" w:type="dxa"/>
            </w:tcMar>
            <w:vAlign w:val="center"/>
          </w:tcPr>
          <w:p>
            <w:pPr>
              <w:snapToGrid w:val="0"/>
              <w:spacing w:line="400" w:lineRule="exact"/>
              <w:jc w:val="center"/>
              <w:rPr>
                <w:rFonts w:ascii="方正仿宋_GBK" w:hAnsi="宋体" w:eastAsia="方正仿宋_GBK" w:cs="Arial"/>
                <w:sz w:val="24"/>
              </w:rPr>
            </w:pPr>
            <w:r>
              <w:rPr>
                <w:rFonts w:hint="eastAsia" w:ascii="方正仿宋_GBK" w:hAnsi="宋体" w:eastAsia="方正仿宋_GBK" w:cs="Arial"/>
                <w:sz w:val="24"/>
              </w:rPr>
              <w:t>响应情况</w:t>
            </w:r>
          </w:p>
        </w:tc>
        <w:tc>
          <w:tcPr>
            <w:tcW w:w="1418"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snapToGrid w:val="0"/>
              <w:spacing w:line="400" w:lineRule="exact"/>
              <w:ind w:firstLine="480" w:firstLineChars="200"/>
              <w:rPr>
                <w:rFonts w:hint="eastAsia" w:ascii="方正仿宋_GBK" w:hAnsi="宋体" w:eastAsia="方正仿宋_GBK" w:cs="Arial"/>
                <w:sz w:val="24"/>
                <w:lang w:eastAsia="zh-CN"/>
              </w:rPr>
            </w:pPr>
            <w:r>
              <w:rPr>
                <w:rFonts w:hint="eastAsia" w:ascii="方正仿宋_GBK" w:hAnsi="宋体" w:eastAsia="方正仿宋_GBK" w:cs="Arial"/>
                <w:sz w:val="24"/>
                <w:lang w:eastAsia="zh-CN"/>
              </w:rPr>
              <w:t>备注</w:t>
            </w:r>
          </w:p>
        </w:tc>
      </w:tr>
      <w:tr>
        <w:tblPrEx>
          <w:tblCellMar>
            <w:top w:w="0" w:type="dxa"/>
            <w:left w:w="0" w:type="dxa"/>
            <w:bottom w:w="0" w:type="dxa"/>
            <w:right w:w="0" w:type="dxa"/>
          </w:tblCellMar>
        </w:tblPrEx>
        <w:trPr>
          <w:trHeight w:val="539" w:hRule="atLeast"/>
        </w:trPr>
        <w:tc>
          <w:tcPr>
            <w:tcW w:w="5387" w:type="dxa"/>
            <w:gridSpan w:val="4"/>
            <w:tcBorders>
              <w:top w:val="nil"/>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spacing w:line="400" w:lineRule="exact"/>
              <w:jc w:val="center"/>
              <w:rPr>
                <w:rFonts w:hint="eastAsia" w:eastAsia="宋体"/>
                <w:lang w:eastAsia="zh-CN"/>
              </w:rPr>
            </w:pPr>
            <w:r>
              <w:rPr>
                <w:rFonts w:hint="eastAsia"/>
                <w:lang w:eastAsia="zh-CN"/>
              </w:rPr>
              <w:t>详见以下需求附件</w:t>
            </w:r>
          </w:p>
        </w:tc>
        <w:tc>
          <w:tcPr>
            <w:tcW w:w="2126" w:type="dxa"/>
            <w:gridSpan w:val="2"/>
            <w:tcBorders>
              <w:top w:val="nil"/>
              <w:left w:val="nil"/>
              <w:bottom w:val="single" w:color="auto" w:sz="4" w:space="0"/>
              <w:right w:val="single" w:color="auto" w:sz="4" w:space="0"/>
            </w:tcBorders>
            <w:noWrap w:val="0"/>
            <w:tcMar>
              <w:top w:w="20" w:type="dxa"/>
              <w:left w:w="20" w:type="dxa"/>
              <w:bottom w:w="0" w:type="dxa"/>
              <w:right w:w="20" w:type="dxa"/>
            </w:tcMar>
            <w:vAlign w:val="center"/>
          </w:tcPr>
          <w:p>
            <w:pPr>
              <w:snapToGrid w:val="0"/>
              <w:spacing w:line="360" w:lineRule="exact"/>
              <w:ind w:firstLine="480" w:firstLineChars="200"/>
              <w:rPr>
                <w:rFonts w:ascii="方正仿宋_GBK" w:hAnsi="宋体" w:eastAsia="方正仿宋_GBK" w:cs="Arial"/>
                <w:sz w:val="24"/>
              </w:rPr>
            </w:pPr>
            <w:r>
              <w:rPr>
                <w:rFonts w:hint="eastAsia" w:ascii="方正仿宋_GBK" w:hAnsi="宋体" w:eastAsia="方正仿宋_GBK" w:cs="Arial"/>
                <w:sz w:val="24"/>
              </w:rPr>
              <w:t xml:space="preserve">     　</w:t>
            </w:r>
          </w:p>
        </w:tc>
        <w:tc>
          <w:tcPr>
            <w:tcW w:w="1418" w:type="dxa"/>
            <w:tcBorders>
              <w:top w:val="nil"/>
              <w:left w:val="nil"/>
              <w:bottom w:val="single" w:color="auto" w:sz="4" w:space="0"/>
              <w:right w:val="single" w:color="auto" w:sz="4" w:space="0"/>
            </w:tcBorders>
            <w:noWrap w:val="0"/>
            <w:tcMar>
              <w:top w:w="20" w:type="dxa"/>
              <w:left w:w="20" w:type="dxa"/>
              <w:bottom w:w="0" w:type="dxa"/>
              <w:right w:w="20" w:type="dxa"/>
            </w:tcMar>
            <w:vAlign w:val="center"/>
          </w:tcPr>
          <w:p>
            <w:pPr>
              <w:snapToGrid w:val="0"/>
              <w:spacing w:line="360" w:lineRule="exact"/>
              <w:ind w:firstLine="480" w:firstLineChars="200"/>
              <w:rPr>
                <w:rFonts w:ascii="方正仿宋_GBK" w:hAnsi="宋体" w:eastAsia="方正仿宋_GBK" w:cs="Arial"/>
                <w:sz w:val="24"/>
              </w:rPr>
            </w:pPr>
            <w:r>
              <w:rPr>
                <w:rFonts w:hint="eastAsia" w:ascii="方正仿宋_GBK" w:hAnsi="宋体" w:eastAsia="方正仿宋_GBK" w:cs="Arial"/>
                <w:sz w:val="24"/>
              </w:rPr>
              <w:t>　</w:t>
            </w:r>
          </w:p>
        </w:tc>
      </w:tr>
      <w:tr>
        <w:tblPrEx>
          <w:tblCellMar>
            <w:top w:w="0" w:type="dxa"/>
            <w:left w:w="0" w:type="dxa"/>
            <w:bottom w:w="0" w:type="dxa"/>
            <w:right w:w="0" w:type="dxa"/>
          </w:tblCellMar>
        </w:tblPrEx>
        <w:trPr>
          <w:trHeight w:val="90" w:hRule="atLeast"/>
        </w:trPr>
        <w:tc>
          <w:tcPr>
            <w:tcW w:w="1276"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snapToGrid w:val="0"/>
              <w:spacing w:line="400" w:lineRule="exact"/>
              <w:rPr>
                <w:rFonts w:hint="eastAsia" w:ascii="方正仿宋_GBK" w:hAnsi="宋体" w:eastAsia="方正仿宋_GBK" w:cs="Arial"/>
                <w:sz w:val="24"/>
              </w:rPr>
            </w:pPr>
            <w:r>
              <w:rPr>
                <w:rFonts w:hint="eastAsia" w:ascii="方正仿宋_GBK" w:hAnsi="宋体" w:eastAsia="方正仿宋_GBK" w:cs="Arial"/>
                <w:sz w:val="24"/>
              </w:rPr>
              <w:t>商务条款</w:t>
            </w:r>
          </w:p>
        </w:tc>
        <w:tc>
          <w:tcPr>
            <w:tcW w:w="7655" w:type="dxa"/>
            <w:gridSpan w:val="6"/>
            <w:tcBorders>
              <w:top w:val="single" w:color="auto" w:sz="4" w:space="0"/>
              <w:left w:val="nil"/>
              <w:bottom w:val="single" w:color="auto" w:sz="4" w:space="0"/>
              <w:right w:val="single" w:color="000000" w:sz="4" w:space="0"/>
            </w:tcBorders>
            <w:noWrap w:val="0"/>
            <w:tcMar>
              <w:top w:w="20" w:type="dxa"/>
              <w:left w:w="20" w:type="dxa"/>
              <w:bottom w:w="0" w:type="dxa"/>
              <w:right w:w="20" w:type="dxa"/>
            </w:tcMar>
            <w:vAlign w:val="center"/>
          </w:tcPr>
          <w:p>
            <w:pPr>
              <w:snapToGrid w:val="0"/>
              <w:spacing w:line="400" w:lineRule="exact"/>
              <w:ind w:firstLine="480" w:firstLineChars="200"/>
              <w:rPr>
                <w:rFonts w:hint="eastAsia" w:ascii="方正仿宋_GBK" w:hAnsi="宋体" w:eastAsia="方正仿宋_GBK" w:cs="Arial"/>
                <w:sz w:val="24"/>
                <w:lang w:val="en-US" w:eastAsia="zh-CN"/>
              </w:rPr>
            </w:pPr>
            <w:r>
              <w:rPr>
                <w:rFonts w:hint="eastAsia" w:ascii="方正仿宋_GBK" w:hAnsi="宋体" w:eastAsia="方正仿宋_GBK" w:cs="Arial"/>
                <w:sz w:val="24"/>
                <w:lang w:val="en-US" w:eastAsia="zh-CN"/>
              </w:rPr>
              <w:t>1.投标书按所列工程量清单进行报价，写明单价和总价。</w:t>
            </w:r>
          </w:p>
          <w:p>
            <w:pPr>
              <w:snapToGrid w:val="0"/>
              <w:spacing w:line="400" w:lineRule="exact"/>
              <w:ind w:firstLine="480" w:firstLineChars="200"/>
              <w:rPr>
                <w:rFonts w:hint="eastAsia" w:ascii="方正仿宋_GBK" w:hAnsi="宋体" w:eastAsia="方正仿宋_GBK" w:cs="Arial"/>
                <w:sz w:val="24"/>
                <w:lang w:val="en-US" w:eastAsia="zh-CN"/>
              </w:rPr>
            </w:pPr>
            <w:r>
              <w:rPr>
                <w:rFonts w:hint="eastAsia" w:ascii="方正仿宋_GBK" w:hAnsi="宋体" w:eastAsia="方正仿宋_GBK" w:cs="Arial"/>
                <w:sz w:val="24"/>
                <w:lang w:val="en-US" w:eastAsia="zh-CN"/>
              </w:rPr>
              <w:t>2.所投报价包含但不仅限于：此次施工项目中的主附材料、人工、车辆机械、设备、运输、税费等。</w:t>
            </w:r>
          </w:p>
          <w:p>
            <w:pPr>
              <w:snapToGrid w:val="0"/>
              <w:spacing w:line="400" w:lineRule="exact"/>
              <w:ind w:firstLine="480" w:firstLineChars="200"/>
              <w:rPr>
                <w:rFonts w:hint="eastAsia" w:ascii="方正仿宋_GBK" w:hAnsi="宋体" w:eastAsia="方正仿宋_GBK" w:cs="Arial"/>
                <w:sz w:val="24"/>
                <w:lang w:val="en-US" w:eastAsia="zh-CN"/>
              </w:rPr>
            </w:pPr>
            <w:r>
              <w:rPr>
                <w:rFonts w:hint="eastAsia" w:ascii="方正仿宋_GBK" w:hAnsi="宋体" w:eastAsia="方正仿宋_GBK" w:cs="Arial"/>
                <w:sz w:val="24"/>
                <w:lang w:val="en-US" w:eastAsia="zh-CN"/>
              </w:rPr>
              <w:t>3. 本项目内容包含拆除原有3台控制柜并做抵扣处理(含清运），承接单位在投标文件中明确拆除后的废品价值，在报价中予以抵扣。</w:t>
            </w:r>
          </w:p>
        </w:tc>
      </w:tr>
      <w:tr>
        <w:tblPrEx>
          <w:tblCellMar>
            <w:top w:w="0" w:type="dxa"/>
            <w:left w:w="0" w:type="dxa"/>
            <w:bottom w:w="0" w:type="dxa"/>
            <w:right w:w="0" w:type="dxa"/>
          </w:tblCellMar>
        </w:tblPrEx>
        <w:trPr>
          <w:trHeight w:val="2423" w:hRule="atLeast"/>
        </w:trPr>
        <w:tc>
          <w:tcPr>
            <w:tcW w:w="1276"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snapToGrid w:val="0"/>
              <w:spacing w:line="400" w:lineRule="exact"/>
              <w:rPr>
                <w:rFonts w:ascii="方正仿宋_GBK" w:hAnsi="宋体" w:eastAsia="方正仿宋_GBK" w:cs="Arial"/>
                <w:sz w:val="24"/>
              </w:rPr>
            </w:pPr>
            <w:r>
              <w:rPr>
                <w:rFonts w:hint="eastAsia" w:ascii="方正仿宋_GBK" w:hAnsi="宋体" w:eastAsia="方正仿宋_GBK" w:cs="Arial"/>
                <w:sz w:val="24"/>
              </w:rPr>
              <w:t>询价过程及确定成交</w:t>
            </w:r>
          </w:p>
        </w:tc>
        <w:tc>
          <w:tcPr>
            <w:tcW w:w="7655" w:type="dxa"/>
            <w:gridSpan w:val="6"/>
            <w:tcBorders>
              <w:top w:val="single" w:color="auto" w:sz="4" w:space="0"/>
              <w:left w:val="nil"/>
              <w:bottom w:val="single" w:color="auto" w:sz="4" w:space="0"/>
              <w:right w:val="single" w:color="000000" w:sz="4" w:space="0"/>
            </w:tcBorders>
            <w:noWrap w:val="0"/>
            <w:tcMar>
              <w:top w:w="20" w:type="dxa"/>
              <w:left w:w="20" w:type="dxa"/>
              <w:bottom w:w="0" w:type="dxa"/>
              <w:right w:w="20" w:type="dxa"/>
            </w:tcMar>
            <w:vAlign w:val="center"/>
          </w:tcPr>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方正仿宋_GBK" w:hAnsi="宋体" w:eastAsia="方正仿宋_GBK" w:cs="Arial"/>
                <w:sz w:val="24"/>
              </w:rPr>
            </w:pPr>
            <w:r>
              <w:rPr>
                <w:rFonts w:hint="eastAsia" w:ascii="方正仿宋_GBK" w:hAnsi="宋体" w:eastAsia="方正仿宋_GBK" w:cs="Arial"/>
                <w:sz w:val="24"/>
              </w:rPr>
              <w:t>1、参加询价采购活动的供应商，应当按照询价文件的规定一次报出不得更改的价格。</w:t>
            </w:r>
          </w:p>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ascii="方正仿宋_GBK" w:hAnsi="宋体" w:eastAsia="方正仿宋_GBK" w:cs="Arial"/>
                <w:sz w:val="24"/>
              </w:rPr>
            </w:pPr>
            <w:r>
              <w:rPr>
                <w:rFonts w:hint="eastAsia" w:ascii="方正仿宋_GBK" w:hAnsi="宋体" w:eastAsia="方正仿宋_GBK" w:cs="Arial"/>
                <w:sz w:val="24"/>
              </w:rPr>
              <w:t>2、询价小组应当从质量和服务均能满足采购文件实质性响应要求的供应商中，按照报价由低到高的顺序推荐1名成交候选人</w:t>
            </w:r>
            <w:r>
              <w:rPr>
                <w:rFonts w:hint="eastAsia" w:ascii="方正仿宋_GBK" w:hAnsi="宋体" w:eastAsia="方正仿宋_GBK" w:cs="Arial"/>
                <w:sz w:val="24"/>
                <w:lang w:eastAsia="zh-CN"/>
              </w:rPr>
              <w:t>。</w:t>
            </w:r>
            <w:r>
              <w:rPr>
                <w:rFonts w:hint="eastAsia" w:ascii="方正仿宋_GBK" w:hAnsi="宋体" w:eastAsia="方正仿宋_GBK" w:cs="Arial"/>
                <w:sz w:val="24"/>
              </w:rPr>
              <w:t>采购人确定成交供应商后，将在 “江苏监狱网”发布成交结果公告，公告期限为1个工作日。</w:t>
            </w:r>
          </w:p>
        </w:tc>
      </w:tr>
    </w:tbl>
    <w:p>
      <w:pPr>
        <w:rPr>
          <w:rFonts w:hint="eastAsia" w:ascii="宋体" w:hAnsi="宋体"/>
          <w:b/>
          <w:lang w:eastAsia="zh-CN"/>
        </w:rPr>
      </w:pPr>
      <w:r>
        <w:rPr>
          <w:rFonts w:hint="eastAsia" w:ascii="宋体" w:hAnsi="宋体"/>
          <w:b/>
          <w:lang w:eastAsia="zh-CN"/>
        </w:rPr>
        <w:br w:type="page"/>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4536"/>
        <w:gridCol w:w="851"/>
        <w:gridCol w:w="1276"/>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方正仿宋_GBK" w:hAnsi="宋体" w:eastAsia="方正仿宋_GBK" w:cs="Arial"/>
                <w:sz w:val="24"/>
              </w:rPr>
            </w:pPr>
            <w:bookmarkStart w:id="7" w:name="_Toc90484549"/>
            <w:r>
              <w:rPr>
                <w:rFonts w:hint="eastAsia" w:ascii="方正仿宋_GBK" w:hAnsi="宋体" w:eastAsia="方正仿宋_GBK" w:cs="Arial"/>
                <w:sz w:val="24"/>
              </w:rPr>
              <w:t>序号</w:t>
            </w:r>
          </w:p>
        </w:tc>
        <w:tc>
          <w:tcPr>
            <w:tcW w:w="4536" w:type="dxa"/>
          </w:tcPr>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方正仿宋_GBK" w:hAnsi="宋体" w:eastAsia="方正仿宋_GBK" w:cs="Arial"/>
                <w:sz w:val="24"/>
              </w:rPr>
            </w:pPr>
            <w:r>
              <w:rPr>
                <w:rFonts w:hint="eastAsia" w:ascii="方正仿宋_GBK" w:hAnsi="宋体" w:eastAsia="方正仿宋_GBK" w:cs="Arial"/>
                <w:sz w:val="24"/>
              </w:rPr>
              <w:t>名称规格</w:t>
            </w:r>
          </w:p>
        </w:tc>
        <w:tc>
          <w:tcPr>
            <w:tcW w:w="851" w:type="dxa"/>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方正仿宋_GBK" w:hAnsi="宋体" w:eastAsia="方正仿宋_GBK" w:cs="Arial"/>
                <w:sz w:val="24"/>
              </w:rPr>
            </w:pPr>
            <w:r>
              <w:rPr>
                <w:rFonts w:hint="eastAsia" w:ascii="方正仿宋_GBK" w:hAnsi="宋体" w:eastAsia="方正仿宋_GBK" w:cs="Arial"/>
                <w:sz w:val="24"/>
              </w:rPr>
              <w:t>数量</w:t>
            </w:r>
          </w:p>
        </w:tc>
        <w:tc>
          <w:tcPr>
            <w:tcW w:w="1276" w:type="dxa"/>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方正仿宋_GBK" w:hAnsi="宋体" w:eastAsia="方正仿宋_GBK" w:cs="Arial"/>
                <w:sz w:val="24"/>
              </w:rPr>
            </w:pPr>
            <w:r>
              <w:rPr>
                <w:rFonts w:hint="eastAsia" w:ascii="方正仿宋_GBK" w:hAnsi="宋体" w:eastAsia="方正仿宋_GBK" w:cs="Arial"/>
                <w:sz w:val="24"/>
              </w:rPr>
              <w:t>单价（元）</w:t>
            </w:r>
          </w:p>
        </w:tc>
        <w:tc>
          <w:tcPr>
            <w:tcW w:w="1184" w:type="dxa"/>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方正仿宋_GBK" w:hAnsi="宋体" w:eastAsia="方正仿宋_GBK" w:cs="Arial"/>
                <w:sz w:val="24"/>
              </w:rPr>
            </w:pPr>
            <w:r>
              <w:rPr>
                <w:rFonts w:hint="eastAsia" w:ascii="方正仿宋_GBK" w:hAnsi="宋体" w:eastAsia="方正仿宋_GBK" w:cs="Arial"/>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方正仿宋_GBK" w:hAnsi="宋体" w:eastAsia="方正仿宋_GBK" w:cs="Arial"/>
                <w:sz w:val="24"/>
              </w:rPr>
            </w:pPr>
            <w:r>
              <w:rPr>
                <w:rFonts w:hint="eastAsia" w:ascii="方正仿宋_GBK" w:hAnsi="宋体" w:eastAsia="方正仿宋_GBK" w:cs="Arial"/>
                <w:sz w:val="24"/>
              </w:rPr>
              <w:t>1</w:t>
            </w:r>
          </w:p>
        </w:tc>
        <w:tc>
          <w:tcPr>
            <w:tcW w:w="4536" w:type="dxa"/>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方正仿宋_GBK" w:hAnsi="宋体" w:eastAsia="方正仿宋_GBK" w:cs="Arial"/>
                <w:sz w:val="24"/>
              </w:rPr>
            </w:pPr>
            <w:r>
              <w:rPr>
                <w:rFonts w:hint="eastAsia" w:ascii="方正仿宋_GBK" w:hAnsi="宋体" w:eastAsia="方正仿宋_GBK" w:cs="Arial"/>
                <w:sz w:val="24"/>
              </w:rPr>
              <w:t>原控制柜拆除电源柜、消火栓泵控制柜、喷淋水泵控制柜</w:t>
            </w:r>
          </w:p>
        </w:tc>
        <w:tc>
          <w:tcPr>
            <w:tcW w:w="851" w:type="dxa"/>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方正仿宋_GBK" w:hAnsi="宋体" w:eastAsia="方正仿宋_GBK" w:cs="Arial"/>
                <w:sz w:val="24"/>
              </w:rPr>
            </w:pPr>
            <w:r>
              <w:rPr>
                <w:rFonts w:hint="eastAsia" w:ascii="方正仿宋_GBK" w:hAnsi="宋体" w:eastAsia="方正仿宋_GBK" w:cs="Arial"/>
                <w:sz w:val="24"/>
              </w:rPr>
              <w:t>3套</w:t>
            </w:r>
          </w:p>
        </w:tc>
        <w:tc>
          <w:tcPr>
            <w:tcW w:w="1276" w:type="dxa"/>
          </w:tcPr>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方正仿宋_GBK" w:hAnsi="宋体" w:eastAsia="方正仿宋_GBK" w:cs="Arial"/>
                <w:sz w:val="24"/>
              </w:rPr>
            </w:pPr>
          </w:p>
        </w:tc>
        <w:tc>
          <w:tcPr>
            <w:tcW w:w="1184" w:type="dxa"/>
          </w:tcPr>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方正仿宋_GBK" w:hAnsi="宋体" w:eastAsia="方正仿宋_GBK"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方正仿宋_GBK" w:hAnsi="宋体" w:eastAsia="方正仿宋_GBK" w:cs="Arial"/>
                <w:sz w:val="24"/>
              </w:rPr>
            </w:pPr>
            <w:r>
              <w:rPr>
                <w:rFonts w:hint="eastAsia" w:ascii="方正仿宋_GBK" w:hAnsi="宋体" w:eastAsia="方正仿宋_GBK" w:cs="Arial"/>
                <w:sz w:val="24"/>
              </w:rPr>
              <w:t>2</w:t>
            </w:r>
          </w:p>
        </w:tc>
        <w:tc>
          <w:tcPr>
            <w:tcW w:w="4536" w:type="dxa"/>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方正仿宋_GBK" w:hAnsi="宋体" w:eastAsia="方正仿宋_GBK" w:cs="Arial"/>
                <w:sz w:val="24"/>
              </w:rPr>
            </w:pPr>
            <w:r>
              <w:rPr>
                <w:rFonts w:hint="eastAsia" w:ascii="方正仿宋_GBK" w:hAnsi="宋体" w:eastAsia="方正仿宋_GBK" w:cs="Arial"/>
                <w:sz w:val="24"/>
              </w:rPr>
              <w:t>柜底坑采用水水泥砂浆填实，铺地砖</w:t>
            </w:r>
          </w:p>
        </w:tc>
        <w:tc>
          <w:tcPr>
            <w:tcW w:w="851" w:type="dxa"/>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方正仿宋_GBK" w:hAnsi="宋体" w:eastAsia="方正仿宋_GBK" w:cs="Arial"/>
                <w:sz w:val="24"/>
              </w:rPr>
            </w:pPr>
            <w:r>
              <w:rPr>
                <w:rFonts w:hint="eastAsia" w:ascii="方正仿宋_GBK" w:hAnsi="宋体" w:eastAsia="方正仿宋_GBK" w:cs="Arial"/>
                <w:sz w:val="24"/>
              </w:rPr>
              <w:t>2平米</w:t>
            </w:r>
          </w:p>
        </w:tc>
        <w:tc>
          <w:tcPr>
            <w:tcW w:w="1276" w:type="dxa"/>
          </w:tcPr>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方正仿宋_GBK" w:hAnsi="宋体" w:eastAsia="方正仿宋_GBK" w:cs="Arial"/>
                <w:sz w:val="24"/>
              </w:rPr>
            </w:pPr>
          </w:p>
        </w:tc>
        <w:tc>
          <w:tcPr>
            <w:tcW w:w="1184" w:type="dxa"/>
          </w:tcPr>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方正仿宋_GBK" w:hAnsi="宋体" w:eastAsia="方正仿宋_GBK"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方正仿宋_GBK" w:hAnsi="宋体" w:eastAsia="方正仿宋_GBK" w:cs="Arial"/>
                <w:sz w:val="24"/>
              </w:rPr>
            </w:pPr>
            <w:r>
              <w:rPr>
                <w:rFonts w:hint="eastAsia" w:ascii="方正仿宋_GBK" w:hAnsi="宋体" w:eastAsia="方正仿宋_GBK" w:cs="Arial"/>
                <w:sz w:val="24"/>
              </w:rPr>
              <w:t>3</w:t>
            </w:r>
          </w:p>
        </w:tc>
        <w:tc>
          <w:tcPr>
            <w:tcW w:w="4536" w:type="dxa"/>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方正仿宋_GBK" w:hAnsi="宋体" w:eastAsia="方正仿宋_GBK" w:cs="Arial"/>
                <w:sz w:val="24"/>
              </w:rPr>
            </w:pPr>
            <w:r>
              <w:rPr>
                <w:rFonts w:hint="eastAsia" w:ascii="方正仿宋_GBK" w:hAnsi="宋体" w:eastAsia="方正仿宋_GBK" w:cs="Arial"/>
                <w:sz w:val="24"/>
              </w:rPr>
              <w:t>电源控制柜：总容量300A，分三路总闸开关，容量分别为150A、150A、60A（配2路三相25A、4路单相16A开关）；配件建议品牌：施耐德、正泰、常开），柜体材料采用国标镀锌金属板材制作，板材厚度不小于1.0 MM，</w:t>
            </w:r>
          </w:p>
        </w:tc>
        <w:tc>
          <w:tcPr>
            <w:tcW w:w="851" w:type="dxa"/>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方正仿宋_GBK" w:hAnsi="宋体" w:eastAsia="方正仿宋_GBK" w:cs="Arial"/>
                <w:sz w:val="24"/>
              </w:rPr>
            </w:pPr>
            <w:r>
              <w:rPr>
                <w:rFonts w:hint="eastAsia" w:ascii="方正仿宋_GBK" w:hAnsi="宋体" w:eastAsia="方正仿宋_GBK" w:cs="Arial"/>
                <w:sz w:val="24"/>
              </w:rPr>
              <w:t>1套</w:t>
            </w:r>
          </w:p>
        </w:tc>
        <w:tc>
          <w:tcPr>
            <w:tcW w:w="1276" w:type="dxa"/>
          </w:tcPr>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方正仿宋_GBK" w:hAnsi="宋体" w:eastAsia="方正仿宋_GBK" w:cs="Arial"/>
                <w:sz w:val="24"/>
              </w:rPr>
            </w:pPr>
          </w:p>
        </w:tc>
        <w:tc>
          <w:tcPr>
            <w:tcW w:w="1184" w:type="dxa"/>
          </w:tcPr>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方正仿宋_GBK" w:hAnsi="宋体" w:eastAsia="方正仿宋_GBK"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方正仿宋_GBK" w:hAnsi="宋体" w:eastAsia="方正仿宋_GBK" w:cs="Arial"/>
                <w:sz w:val="24"/>
              </w:rPr>
            </w:pPr>
            <w:r>
              <w:rPr>
                <w:rFonts w:hint="eastAsia" w:ascii="方正仿宋_GBK" w:hAnsi="宋体" w:eastAsia="方正仿宋_GBK" w:cs="Arial"/>
                <w:sz w:val="24"/>
              </w:rPr>
              <w:t>4</w:t>
            </w:r>
          </w:p>
        </w:tc>
        <w:tc>
          <w:tcPr>
            <w:tcW w:w="4536" w:type="dxa"/>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方正仿宋_GBK" w:hAnsi="宋体" w:eastAsia="方正仿宋_GBK" w:cs="Arial"/>
                <w:sz w:val="24"/>
              </w:rPr>
            </w:pPr>
            <w:r>
              <w:rPr>
                <w:rFonts w:hint="eastAsia" w:ascii="方正仿宋_GBK" w:hAnsi="宋体" w:eastAsia="方正仿宋_GBK" w:cs="Arial"/>
                <w:sz w:val="24"/>
              </w:rPr>
              <w:t>消火栓水泵控制柜：容量100A，两组互为主备，配件建议品牌：施耐德、正泰、常开），柜体材料采用国标镀锌金属板材制作，板材厚度不小于1.0 MM</w:t>
            </w:r>
            <w:bookmarkStart w:id="9" w:name="_GoBack"/>
            <w:bookmarkEnd w:id="9"/>
          </w:p>
        </w:tc>
        <w:tc>
          <w:tcPr>
            <w:tcW w:w="851" w:type="dxa"/>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方正仿宋_GBK" w:hAnsi="宋体" w:eastAsia="方正仿宋_GBK" w:cs="Arial"/>
                <w:sz w:val="24"/>
              </w:rPr>
            </w:pPr>
            <w:r>
              <w:rPr>
                <w:rFonts w:hint="eastAsia" w:ascii="方正仿宋_GBK" w:hAnsi="宋体" w:eastAsia="方正仿宋_GBK" w:cs="Arial"/>
                <w:sz w:val="24"/>
              </w:rPr>
              <w:t>1套</w:t>
            </w:r>
          </w:p>
        </w:tc>
        <w:tc>
          <w:tcPr>
            <w:tcW w:w="1276" w:type="dxa"/>
          </w:tcPr>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方正仿宋_GBK" w:hAnsi="宋体" w:eastAsia="方正仿宋_GBK" w:cs="Arial"/>
                <w:sz w:val="24"/>
              </w:rPr>
            </w:pPr>
          </w:p>
        </w:tc>
        <w:tc>
          <w:tcPr>
            <w:tcW w:w="1184" w:type="dxa"/>
          </w:tcPr>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方正仿宋_GBK" w:hAnsi="宋体" w:eastAsia="方正仿宋_GBK"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方正仿宋_GBK" w:hAnsi="宋体" w:eastAsia="方正仿宋_GBK" w:cs="Arial"/>
                <w:sz w:val="24"/>
              </w:rPr>
            </w:pPr>
            <w:r>
              <w:rPr>
                <w:rFonts w:hint="eastAsia" w:ascii="方正仿宋_GBK" w:hAnsi="宋体" w:eastAsia="方正仿宋_GBK" w:cs="Arial"/>
                <w:sz w:val="24"/>
              </w:rPr>
              <w:t>5</w:t>
            </w:r>
          </w:p>
        </w:tc>
        <w:tc>
          <w:tcPr>
            <w:tcW w:w="4536" w:type="dxa"/>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方正仿宋_GBK" w:hAnsi="宋体" w:eastAsia="方正仿宋_GBK" w:cs="Arial"/>
                <w:sz w:val="24"/>
              </w:rPr>
            </w:pPr>
            <w:r>
              <w:rPr>
                <w:rFonts w:hint="eastAsia" w:ascii="方正仿宋_GBK" w:hAnsi="宋体" w:eastAsia="方正仿宋_GBK" w:cs="Arial"/>
                <w:sz w:val="24"/>
              </w:rPr>
              <w:t>喷淋水泵控制柜：容量100A，两组互为主备，配件建议品牌：施耐德、正泰、常开），柜体材料采用国标镀锌金属板材制作，板材厚度不小于1.0 MM</w:t>
            </w:r>
          </w:p>
        </w:tc>
        <w:tc>
          <w:tcPr>
            <w:tcW w:w="851" w:type="dxa"/>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方正仿宋_GBK" w:hAnsi="宋体" w:eastAsia="方正仿宋_GBK" w:cs="Arial"/>
                <w:sz w:val="24"/>
              </w:rPr>
            </w:pPr>
            <w:r>
              <w:rPr>
                <w:rFonts w:hint="eastAsia" w:ascii="方正仿宋_GBK" w:hAnsi="宋体" w:eastAsia="方正仿宋_GBK" w:cs="Arial"/>
                <w:sz w:val="24"/>
              </w:rPr>
              <w:t>1套</w:t>
            </w:r>
          </w:p>
        </w:tc>
        <w:tc>
          <w:tcPr>
            <w:tcW w:w="1276" w:type="dxa"/>
          </w:tcPr>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方正仿宋_GBK" w:hAnsi="宋体" w:eastAsia="方正仿宋_GBK" w:cs="Arial"/>
                <w:sz w:val="24"/>
              </w:rPr>
            </w:pPr>
          </w:p>
        </w:tc>
        <w:tc>
          <w:tcPr>
            <w:tcW w:w="1184" w:type="dxa"/>
          </w:tcPr>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方正仿宋_GBK" w:hAnsi="宋体" w:eastAsia="方正仿宋_GBK"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方正仿宋_GBK" w:hAnsi="宋体" w:eastAsia="方正仿宋_GBK" w:cs="Arial"/>
                <w:sz w:val="24"/>
              </w:rPr>
            </w:pPr>
            <w:r>
              <w:rPr>
                <w:rFonts w:hint="eastAsia" w:ascii="方正仿宋_GBK" w:hAnsi="宋体" w:eastAsia="方正仿宋_GBK" w:cs="Arial"/>
                <w:sz w:val="24"/>
              </w:rPr>
              <w:t>6</w:t>
            </w:r>
          </w:p>
        </w:tc>
        <w:tc>
          <w:tcPr>
            <w:tcW w:w="4536" w:type="dxa"/>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方正仿宋_GBK" w:hAnsi="宋体" w:eastAsia="方正仿宋_GBK" w:cs="Arial"/>
                <w:sz w:val="24"/>
              </w:rPr>
            </w:pPr>
            <w:r>
              <w:rPr>
                <w:rFonts w:hint="eastAsia" w:ascii="方正仿宋_GBK" w:hAnsi="宋体" w:eastAsia="方正仿宋_GBK" w:cs="Arial"/>
                <w:sz w:val="24"/>
              </w:rPr>
              <w:t>远程控制转换箱（配套消防主机、喷淋压力开关、消火栓低压开关远程启动和自动启动），柜体材料采用国标镀锌金属板材制作，板材厚度不小于1.0 MM</w:t>
            </w:r>
          </w:p>
        </w:tc>
        <w:tc>
          <w:tcPr>
            <w:tcW w:w="851" w:type="dxa"/>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方正仿宋_GBK" w:hAnsi="宋体" w:eastAsia="方正仿宋_GBK" w:cs="Arial"/>
                <w:sz w:val="24"/>
              </w:rPr>
            </w:pPr>
            <w:r>
              <w:rPr>
                <w:rFonts w:hint="eastAsia" w:ascii="方正仿宋_GBK" w:hAnsi="宋体" w:eastAsia="方正仿宋_GBK" w:cs="Arial"/>
                <w:sz w:val="24"/>
              </w:rPr>
              <w:t>1套</w:t>
            </w:r>
          </w:p>
        </w:tc>
        <w:tc>
          <w:tcPr>
            <w:tcW w:w="1276" w:type="dxa"/>
          </w:tcPr>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方正仿宋_GBK" w:hAnsi="宋体" w:eastAsia="方正仿宋_GBK" w:cs="Arial"/>
                <w:sz w:val="24"/>
              </w:rPr>
            </w:pPr>
          </w:p>
        </w:tc>
        <w:tc>
          <w:tcPr>
            <w:tcW w:w="1184" w:type="dxa"/>
          </w:tcPr>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方正仿宋_GBK" w:hAnsi="宋体" w:eastAsia="方正仿宋_GBK"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方正仿宋_GBK" w:hAnsi="宋体" w:eastAsia="方正仿宋_GBK" w:cs="Arial"/>
                <w:sz w:val="24"/>
              </w:rPr>
            </w:pPr>
            <w:r>
              <w:rPr>
                <w:rFonts w:hint="eastAsia" w:ascii="方正仿宋_GBK" w:hAnsi="宋体" w:eastAsia="方正仿宋_GBK" w:cs="Arial"/>
                <w:sz w:val="24"/>
              </w:rPr>
              <w:t>7</w:t>
            </w:r>
          </w:p>
        </w:tc>
        <w:tc>
          <w:tcPr>
            <w:tcW w:w="4536" w:type="dxa"/>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方正仿宋_GBK" w:hAnsi="宋体" w:eastAsia="方正仿宋_GBK" w:cs="Arial"/>
                <w:sz w:val="24"/>
              </w:rPr>
            </w:pPr>
            <w:r>
              <w:rPr>
                <w:rFonts w:hint="eastAsia" w:ascii="方正仿宋_GBK" w:hAnsi="宋体" w:eastAsia="方正仿宋_GBK" w:cs="Arial"/>
                <w:sz w:val="24"/>
              </w:rPr>
              <w:t>消火栓泵出水管低压开关连锁启动装置安装（包括设备、线材、管材等）</w:t>
            </w:r>
          </w:p>
        </w:tc>
        <w:tc>
          <w:tcPr>
            <w:tcW w:w="851" w:type="dxa"/>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方正仿宋_GBK" w:hAnsi="宋体" w:eastAsia="方正仿宋_GBK" w:cs="Arial"/>
                <w:sz w:val="24"/>
              </w:rPr>
            </w:pPr>
            <w:r>
              <w:rPr>
                <w:rFonts w:hint="eastAsia" w:ascii="方正仿宋_GBK" w:hAnsi="宋体" w:eastAsia="方正仿宋_GBK" w:cs="Arial"/>
                <w:sz w:val="24"/>
              </w:rPr>
              <w:t>1套</w:t>
            </w:r>
          </w:p>
        </w:tc>
        <w:tc>
          <w:tcPr>
            <w:tcW w:w="1276" w:type="dxa"/>
          </w:tcPr>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方正仿宋_GBK" w:hAnsi="宋体" w:eastAsia="方正仿宋_GBK" w:cs="Arial"/>
                <w:sz w:val="24"/>
              </w:rPr>
            </w:pPr>
          </w:p>
        </w:tc>
        <w:tc>
          <w:tcPr>
            <w:tcW w:w="1184" w:type="dxa"/>
          </w:tcPr>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方正仿宋_GBK" w:hAnsi="宋体" w:eastAsia="方正仿宋_GBK"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方正仿宋_GBK" w:hAnsi="宋体" w:eastAsia="方正仿宋_GBK" w:cs="Arial"/>
                <w:sz w:val="24"/>
              </w:rPr>
            </w:pPr>
            <w:r>
              <w:rPr>
                <w:rFonts w:hint="eastAsia" w:ascii="方正仿宋_GBK" w:hAnsi="宋体" w:eastAsia="方正仿宋_GBK" w:cs="Arial"/>
                <w:sz w:val="24"/>
              </w:rPr>
              <w:t>8</w:t>
            </w:r>
          </w:p>
        </w:tc>
        <w:tc>
          <w:tcPr>
            <w:tcW w:w="4536" w:type="dxa"/>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方正仿宋_GBK" w:hAnsi="宋体" w:eastAsia="方正仿宋_GBK" w:cs="Arial"/>
                <w:sz w:val="24"/>
              </w:rPr>
            </w:pPr>
            <w:r>
              <w:rPr>
                <w:rFonts w:hint="eastAsia" w:ascii="方正仿宋_GBK" w:hAnsi="宋体" w:eastAsia="方正仿宋_GBK" w:cs="Arial"/>
                <w:sz w:val="24"/>
              </w:rPr>
              <w:t>系统连接调试</w:t>
            </w:r>
          </w:p>
        </w:tc>
        <w:tc>
          <w:tcPr>
            <w:tcW w:w="851" w:type="dxa"/>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方正仿宋_GBK" w:hAnsi="宋体" w:eastAsia="方正仿宋_GBK" w:cs="Arial"/>
                <w:sz w:val="24"/>
              </w:rPr>
            </w:pPr>
            <w:r>
              <w:rPr>
                <w:rFonts w:hint="eastAsia" w:ascii="方正仿宋_GBK" w:hAnsi="宋体" w:eastAsia="方正仿宋_GBK" w:cs="Arial"/>
                <w:sz w:val="24"/>
              </w:rPr>
              <w:t>1项</w:t>
            </w:r>
          </w:p>
        </w:tc>
        <w:tc>
          <w:tcPr>
            <w:tcW w:w="1276" w:type="dxa"/>
          </w:tcPr>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方正仿宋_GBK" w:hAnsi="宋体" w:eastAsia="方正仿宋_GBK" w:cs="Arial"/>
                <w:sz w:val="24"/>
              </w:rPr>
            </w:pPr>
          </w:p>
        </w:tc>
        <w:tc>
          <w:tcPr>
            <w:tcW w:w="1184" w:type="dxa"/>
          </w:tcPr>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方正仿宋_GBK" w:hAnsi="宋体" w:eastAsia="方正仿宋_GBK"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方正仿宋_GBK" w:hAnsi="宋体" w:eastAsia="方正仿宋_GBK" w:cs="Arial"/>
                <w:sz w:val="24"/>
                <w:lang w:val="en-US" w:eastAsia="zh-CN"/>
              </w:rPr>
            </w:pPr>
            <w:r>
              <w:rPr>
                <w:rFonts w:hint="eastAsia" w:ascii="方正仿宋_GBK" w:hAnsi="宋体" w:eastAsia="方正仿宋_GBK" w:cs="Arial"/>
                <w:sz w:val="24"/>
                <w:lang w:val="en-US" w:eastAsia="zh-CN"/>
              </w:rPr>
              <w:t>9</w:t>
            </w:r>
          </w:p>
        </w:tc>
        <w:tc>
          <w:tcPr>
            <w:tcW w:w="453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jc w:val="center"/>
              <w:textAlignment w:val="auto"/>
              <w:rPr>
                <w:rFonts w:hint="eastAsia" w:ascii="方正仿宋_GBK" w:hAnsi="宋体" w:eastAsia="方正仿宋_GBK" w:cs="Arial"/>
                <w:sz w:val="24"/>
              </w:rPr>
            </w:pPr>
            <w:r>
              <w:rPr>
                <w:rFonts w:hint="eastAsia" w:ascii="方正仿宋_GBK" w:hAnsi="宋体" w:eastAsia="方正仿宋_GBK" w:cs="Arial"/>
                <w:sz w:val="24"/>
                <w:lang w:val="en-US" w:eastAsia="zh-CN"/>
              </w:rPr>
              <w:t>3台控制柜抵扣价格（元）</w:t>
            </w:r>
          </w:p>
        </w:tc>
        <w:tc>
          <w:tcPr>
            <w:tcW w:w="3311" w:type="dxa"/>
            <w:gridSpan w:val="3"/>
          </w:tcPr>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jc w:val="right"/>
              <w:textAlignment w:val="auto"/>
              <w:rPr>
                <w:rFonts w:hint="eastAsia" w:ascii="方正仿宋_GBK" w:hAnsi="宋体" w:eastAsia="方正仿宋_GBK" w:cs="Arial"/>
                <w:sz w:val="24"/>
                <w:lang w:eastAsia="zh-CN"/>
              </w:rPr>
            </w:pPr>
          </w:p>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jc w:val="right"/>
              <w:textAlignment w:val="auto"/>
              <w:rPr>
                <w:rFonts w:hint="eastAsia" w:ascii="方正仿宋_GBK" w:hAnsi="宋体" w:eastAsia="方正仿宋_GBK" w:cs="Arial"/>
                <w:sz w:val="24"/>
                <w:lang w:eastAsia="zh-CN"/>
              </w:rPr>
            </w:pPr>
          </w:p>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jc w:val="right"/>
              <w:textAlignment w:val="auto"/>
              <w:rPr>
                <w:rFonts w:hint="eastAsia" w:ascii="方正仿宋_GBK" w:hAnsi="宋体" w:eastAsia="方正仿宋_GBK" w:cs="Arial"/>
                <w:sz w:val="24"/>
                <w:lang w:eastAsia="zh-CN"/>
              </w:rPr>
            </w:pPr>
            <w:r>
              <w:rPr>
                <w:rFonts w:hint="eastAsia" w:ascii="方正仿宋_GBK" w:hAnsi="宋体" w:eastAsia="方正仿宋_GBK" w:cs="Arial"/>
                <w:sz w:val="24"/>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default" w:ascii="方正仿宋_GBK" w:hAnsi="宋体" w:eastAsia="方正仿宋_GBK" w:cs="Arial"/>
                <w:sz w:val="24"/>
                <w:lang w:val="en-US" w:eastAsia="zh-CN"/>
              </w:rPr>
            </w:pPr>
            <w:r>
              <w:rPr>
                <w:rFonts w:hint="eastAsia" w:ascii="方正仿宋_GBK" w:hAnsi="宋体" w:eastAsia="方正仿宋_GBK" w:cs="Arial"/>
                <w:sz w:val="24"/>
                <w:lang w:val="en-US" w:eastAsia="zh-CN"/>
              </w:rPr>
              <w:t>10</w:t>
            </w:r>
          </w:p>
        </w:tc>
        <w:tc>
          <w:tcPr>
            <w:tcW w:w="4536"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方正仿宋_GBK" w:hAnsi="宋体" w:eastAsia="方正仿宋_GBK" w:cs="Arial"/>
                <w:sz w:val="24"/>
              </w:rPr>
            </w:pPr>
            <w:r>
              <w:rPr>
                <w:rFonts w:hint="eastAsia" w:ascii="方正仿宋_GBK" w:hAnsi="宋体" w:eastAsia="方正仿宋_GBK" w:cs="Arial"/>
                <w:sz w:val="24"/>
              </w:rPr>
              <w:t>总报价（元</w:t>
            </w:r>
            <w:r>
              <w:rPr>
                <w:rFonts w:hint="eastAsia" w:ascii="方正仿宋_GBK" w:hAnsi="宋体" w:eastAsia="方正仿宋_GBK" w:cs="Arial"/>
                <w:sz w:val="24"/>
                <w:lang w:eastAsia="zh-CN"/>
              </w:rPr>
              <w:t>）</w:t>
            </w:r>
            <w:r>
              <w:rPr>
                <w:rFonts w:hint="eastAsia" w:ascii="方正仿宋_GBK" w:hAnsi="宋体" w:eastAsia="方正仿宋_GBK" w:cs="Arial"/>
                <w:sz w:val="20"/>
                <w:szCs w:val="21"/>
                <w:lang w:eastAsia="zh-CN"/>
              </w:rPr>
              <w:t>以此报价作为最终报价参加评比</w:t>
            </w:r>
          </w:p>
        </w:tc>
        <w:tc>
          <w:tcPr>
            <w:tcW w:w="3311" w:type="dxa"/>
            <w:gridSpan w:val="3"/>
          </w:tcPr>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jc w:val="right"/>
              <w:textAlignment w:val="auto"/>
              <w:rPr>
                <w:rFonts w:hint="eastAsia" w:ascii="方正仿宋_GBK" w:hAnsi="宋体" w:eastAsia="方正仿宋_GBK" w:cs="Arial"/>
                <w:sz w:val="24"/>
                <w:lang w:eastAsia="zh-CN"/>
              </w:rPr>
            </w:pPr>
          </w:p>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jc w:val="right"/>
              <w:textAlignment w:val="auto"/>
              <w:rPr>
                <w:rFonts w:hint="eastAsia" w:ascii="方正仿宋_GBK" w:hAnsi="宋体" w:eastAsia="方正仿宋_GBK" w:cs="Arial"/>
                <w:sz w:val="24"/>
                <w:lang w:eastAsia="zh-CN"/>
              </w:rPr>
            </w:pPr>
          </w:p>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jc w:val="right"/>
              <w:textAlignment w:val="auto"/>
              <w:rPr>
                <w:rFonts w:hint="eastAsia" w:ascii="方正仿宋_GBK" w:hAnsi="宋体" w:eastAsia="方正仿宋_GBK" w:cs="Arial"/>
                <w:sz w:val="24"/>
                <w:lang w:eastAsia="zh-CN"/>
              </w:rPr>
            </w:pPr>
            <w:r>
              <w:rPr>
                <w:rFonts w:hint="eastAsia" w:ascii="方正仿宋_GBK" w:hAnsi="宋体" w:eastAsia="方正仿宋_GBK" w:cs="Arial"/>
                <w:sz w:val="24"/>
                <w:lang w:eastAsia="zh-CN"/>
              </w:rPr>
              <w:t>元</w:t>
            </w:r>
          </w:p>
        </w:tc>
      </w:tr>
    </w:tbl>
    <w:p>
      <w:pPr>
        <w:rPr>
          <w:rFonts w:hint="eastAsia" w:ascii="方正黑体_GBK" w:hAnsi="方正黑体_GBK" w:eastAsia="方正黑体_GBK" w:cs="方正黑体_GBK"/>
          <w:szCs w:val="22"/>
        </w:rPr>
      </w:pPr>
      <w:r>
        <w:rPr>
          <w:rFonts w:hint="eastAsia" w:ascii="方正黑体_GBK" w:hAnsi="方正黑体_GBK" w:eastAsia="方正黑体_GBK" w:cs="方正黑体_GBK"/>
          <w:szCs w:val="22"/>
        </w:rPr>
        <w:br w:type="page"/>
      </w:r>
    </w:p>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方正黑体_GBK" w:hAnsi="方正黑体_GBK" w:eastAsia="方正黑体_GBK" w:cs="方正黑体_GBK"/>
          <w:szCs w:val="22"/>
        </w:rPr>
      </w:pPr>
      <w:r>
        <w:rPr>
          <w:rFonts w:hint="eastAsia" w:ascii="方正黑体_GBK" w:hAnsi="方正黑体_GBK" w:eastAsia="方正黑体_GBK" w:cs="方正黑体_GBK"/>
          <w:szCs w:val="22"/>
        </w:rPr>
        <w:t>附件：</w:t>
      </w:r>
    </w:p>
    <w:p>
      <w:pPr>
        <w:keepNext w:val="0"/>
        <w:keepLines w:val="0"/>
        <w:pageBreakBefore w:val="0"/>
        <w:widowControl w:val="0"/>
        <w:kinsoku/>
        <w:wordWrap/>
        <w:overflowPunct/>
        <w:topLinePunct w:val="0"/>
        <w:autoSpaceDE/>
        <w:autoSpaceDN/>
        <w:bidi w:val="0"/>
        <w:adjustRightInd/>
        <w:snapToGrid w:val="0"/>
        <w:spacing w:line="340" w:lineRule="exact"/>
        <w:ind w:firstLine="560" w:firstLineChars="200"/>
        <w:jc w:val="center"/>
        <w:textAlignment w:val="auto"/>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消防水泵控制柜更新需求</w:t>
      </w:r>
    </w:p>
    <w:p>
      <w:pPr>
        <w:keepNext w:val="0"/>
        <w:keepLines w:val="0"/>
        <w:pageBreakBefore w:val="0"/>
        <w:widowControl w:val="0"/>
        <w:kinsoku/>
        <w:wordWrap/>
        <w:overflowPunct/>
        <w:topLinePunct w:val="0"/>
        <w:autoSpaceDE/>
        <w:autoSpaceDN/>
        <w:bidi w:val="0"/>
        <w:adjustRightInd/>
        <w:snapToGrid w:val="0"/>
        <w:spacing w:line="340" w:lineRule="exact"/>
        <w:ind w:firstLine="481" w:firstLineChars="200"/>
        <w:textAlignment w:val="auto"/>
        <w:rPr>
          <w:rFonts w:hint="eastAsia" w:ascii="方正仿宋_GBK" w:hAnsi="宋体" w:eastAsia="方正仿宋_GBK" w:cs="Arial"/>
          <w:b/>
          <w:bCs/>
          <w:sz w:val="24"/>
        </w:rPr>
      </w:pPr>
      <w:r>
        <w:rPr>
          <w:rFonts w:hint="eastAsia" w:ascii="方正仿宋_GBK" w:hAnsi="宋体" w:eastAsia="方正仿宋_GBK" w:cs="Arial"/>
          <w:b/>
          <w:bCs/>
          <w:sz w:val="24"/>
          <w:lang w:eastAsia="zh-CN"/>
        </w:rPr>
        <w:t>一、</w:t>
      </w:r>
      <w:r>
        <w:rPr>
          <w:rFonts w:hint="eastAsia" w:ascii="方正仿宋_GBK" w:hAnsi="宋体" w:eastAsia="方正仿宋_GBK" w:cs="Arial"/>
          <w:b/>
          <w:bCs/>
          <w:sz w:val="24"/>
        </w:rPr>
        <w:t>项目地点</w:t>
      </w:r>
    </w:p>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方正仿宋_GBK" w:hAnsi="宋体" w:eastAsia="方正仿宋_GBK" w:cs="Arial"/>
          <w:sz w:val="24"/>
        </w:rPr>
      </w:pPr>
      <w:r>
        <w:rPr>
          <w:rFonts w:hint="eastAsia" w:ascii="方正仿宋_GBK" w:hAnsi="宋体" w:eastAsia="方正仿宋_GBK" w:cs="Arial"/>
          <w:sz w:val="24"/>
        </w:rPr>
        <w:t>南京市鼓楼区清凉门大街188号，裕国大厦。</w:t>
      </w:r>
    </w:p>
    <w:p>
      <w:pPr>
        <w:keepNext w:val="0"/>
        <w:keepLines w:val="0"/>
        <w:pageBreakBefore w:val="0"/>
        <w:widowControl w:val="0"/>
        <w:kinsoku/>
        <w:wordWrap/>
        <w:overflowPunct/>
        <w:topLinePunct w:val="0"/>
        <w:autoSpaceDE/>
        <w:autoSpaceDN/>
        <w:bidi w:val="0"/>
        <w:adjustRightInd/>
        <w:snapToGrid w:val="0"/>
        <w:spacing w:line="340" w:lineRule="exact"/>
        <w:ind w:firstLine="481" w:firstLineChars="200"/>
        <w:textAlignment w:val="auto"/>
        <w:rPr>
          <w:rFonts w:hint="eastAsia" w:ascii="方正仿宋_GBK" w:hAnsi="宋体" w:eastAsia="方正仿宋_GBK" w:cs="Arial"/>
          <w:b/>
          <w:bCs/>
          <w:sz w:val="24"/>
        </w:rPr>
      </w:pPr>
      <w:r>
        <w:rPr>
          <w:rFonts w:hint="eastAsia" w:ascii="方正仿宋_GBK" w:hAnsi="宋体" w:eastAsia="方正仿宋_GBK" w:cs="Arial"/>
          <w:b/>
          <w:bCs/>
          <w:sz w:val="24"/>
          <w:lang w:eastAsia="zh-CN"/>
        </w:rPr>
        <w:t>二、</w:t>
      </w:r>
      <w:r>
        <w:rPr>
          <w:rFonts w:hint="eastAsia" w:ascii="方正仿宋_GBK" w:hAnsi="宋体" w:eastAsia="方正仿宋_GBK" w:cs="Arial"/>
          <w:b/>
          <w:bCs/>
          <w:sz w:val="24"/>
        </w:rPr>
        <w:t>基本状况</w:t>
      </w:r>
    </w:p>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方正仿宋_GBK" w:hAnsi="宋体" w:eastAsia="方正仿宋_GBK" w:cs="Arial"/>
          <w:sz w:val="24"/>
        </w:rPr>
      </w:pPr>
      <w:r>
        <w:rPr>
          <w:rFonts w:hint="eastAsia" w:ascii="方正仿宋_GBK" w:hAnsi="宋体" w:eastAsia="方正仿宋_GBK" w:cs="Arial"/>
          <w:sz w:val="24"/>
        </w:rPr>
        <w:t>消防水系统已安装运行30年时间，其中水泵及控制柜（包含消火栓水泵及控制柜、消防喷淋水泵及控制柜），达不到现在的消防规范要求，属淘汰产品。目前水泵控制柜的线路和部件老化锈腐严重，不能正常启动。需对消防水泵控制柜进行更新，并增加消防泵房室内消火栓泵出水管低压开关连锁启动装置。</w:t>
      </w:r>
    </w:p>
    <w:p>
      <w:pPr>
        <w:keepNext w:val="0"/>
        <w:keepLines w:val="0"/>
        <w:pageBreakBefore w:val="0"/>
        <w:widowControl w:val="0"/>
        <w:kinsoku/>
        <w:wordWrap/>
        <w:overflowPunct/>
        <w:topLinePunct w:val="0"/>
        <w:autoSpaceDE/>
        <w:autoSpaceDN/>
        <w:bidi w:val="0"/>
        <w:adjustRightInd/>
        <w:snapToGrid w:val="0"/>
        <w:spacing w:line="340" w:lineRule="exact"/>
        <w:ind w:firstLine="481" w:firstLineChars="200"/>
        <w:textAlignment w:val="auto"/>
        <w:rPr>
          <w:rFonts w:hint="eastAsia" w:ascii="方正仿宋_GBK" w:hAnsi="宋体" w:eastAsia="方正仿宋_GBK" w:cs="Arial"/>
          <w:b/>
          <w:bCs/>
          <w:sz w:val="24"/>
        </w:rPr>
      </w:pPr>
      <w:r>
        <w:rPr>
          <w:rFonts w:hint="eastAsia" w:ascii="方正仿宋_GBK" w:hAnsi="宋体" w:eastAsia="方正仿宋_GBK" w:cs="Arial"/>
          <w:b/>
          <w:bCs/>
          <w:sz w:val="24"/>
        </w:rPr>
        <w:t>三.施工方案及要求</w:t>
      </w:r>
    </w:p>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方正仿宋_GBK" w:hAnsi="宋体" w:eastAsia="方正仿宋_GBK" w:cs="Arial"/>
          <w:sz w:val="24"/>
        </w:rPr>
      </w:pPr>
      <w:r>
        <w:rPr>
          <w:rFonts w:hint="eastAsia" w:ascii="方正仿宋_GBK" w:hAnsi="宋体" w:eastAsia="方正仿宋_GBK" w:cs="Arial"/>
          <w:sz w:val="24"/>
        </w:rPr>
        <w:t>1.保留系统原有主电源线路和水泵设备线路。</w:t>
      </w:r>
    </w:p>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方正仿宋_GBK" w:hAnsi="宋体" w:eastAsia="方正仿宋_GBK" w:cs="Arial"/>
          <w:sz w:val="24"/>
        </w:rPr>
      </w:pPr>
      <w:r>
        <w:rPr>
          <w:rFonts w:hint="eastAsia" w:ascii="方正仿宋_GBK" w:hAnsi="宋体" w:eastAsia="方正仿宋_GBK" w:cs="Arial"/>
          <w:sz w:val="24"/>
        </w:rPr>
        <w:t>2.拆除1台电源柜和2台控制柜。</w:t>
      </w:r>
    </w:p>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方正仿宋_GBK" w:hAnsi="宋体" w:eastAsia="方正仿宋_GBK" w:cs="Arial"/>
          <w:sz w:val="24"/>
        </w:rPr>
      </w:pPr>
      <w:r>
        <w:rPr>
          <w:rFonts w:hint="eastAsia" w:ascii="方正仿宋_GBK" w:hAnsi="宋体" w:eastAsia="方正仿宋_GBK" w:cs="Arial"/>
          <w:sz w:val="24"/>
        </w:rPr>
        <w:t>3. 柜底坑采用水泥砂浆填实，铺地砖，注意用尼龙管保护设备线路。</w:t>
      </w:r>
    </w:p>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方正仿宋_GBK" w:hAnsi="宋体" w:eastAsia="方正仿宋_GBK" w:cs="Arial"/>
          <w:sz w:val="24"/>
        </w:rPr>
      </w:pPr>
      <w:r>
        <w:rPr>
          <w:rFonts w:hint="eastAsia" w:ascii="方正仿宋_GBK" w:hAnsi="宋体" w:eastAsia="方正仿宋_GBK" w:cs="Arial"/>
          <w:sz w:val="24"/>
        </w:rPr>
        <w:t>4. 新置1台电源控制柜：总容量300A，分三路总闸开关，容量分别为150A、150A、60A（配2路三相25A、4路单相16A开关）。</w:t>
      </w:r>
    </w:p>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方正仿宋_GBK" w:hAnsi="宋体" w:eastAsia="方正仿宋_GBK" w:cs="Arial"/>
          <w:sz w:val="24"/>
        </w:rPr>
      </w:pPr>
      <w:r>
        <w:rPr>
          <w:rFonts w:hint="eastAsia" w:ascii="方正仿宋_GBK" w:hAnsi="宋体" w:eastAsia="方正仿宋_GBK" w:cs="Arial"/>
          <w:sz w:val="24"/>
        </w:rPr>
        <w:t xml:space="preserve"> 5. 新置1台消火栓水泵控制柜：容量100A，控制设备为两组消火栓水泵，两组互为主备。消防新规CCCF一对一认证，提供国家消防检测报告 身份识别AB签.</w:t>
      </w:r>
    </w:p>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方正仿宋_GBK" w:hAnsi="宋体" w:eastAsia="方正仿宋_GBK" w:cs="Arial"/>
          <w:sz w:val="24"/>
        </w:rPr>
      </w:pPr>
      <w:r>
        <w:rPr>
          <w:rFonts w:hint="eastAsia" w:ascii="方正仿宋_GBK" w:hAnsi="宋体" w:eastAsia="方正仿宋_GBK" w:cs="Arial"/>
          <w:sz w:val="24"/>
        </w:rPr>
        <w:t>6. 新置1台喷淋水泵控制柜：容量100A，控制设备为两组喷淋水泵，两组互为主备。消防新规CCCF一对一认证，提供国家消防检测报告 身份识别AB签.</w:t>
      </w:r>
    </w:p>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方正仿宋_GBK" w:hAnsi="宋体" w:eastAsia="方正仿宋_GBK" w:cs="Arial"/>
          <w:sz w:val="24"/>
        </w:rPr>
      </w:pPr>
      <w:r>
        <w:rPr>
          <w:rFonts w:hint="eastAsia" w:ascii="方正仿宋_GBK" w:hAnsi="宋体" w:eastAsia="方正仿宋_GBK" w:cs="Arial"/>
          <w:sz w:val="24"/>
        </w:rPr>
        <w:t>7. 新置1台远程控制转换箱，主要功能是配套消防主机联动及反馈、喷淋压力开关启停及反馈、消火栓低压开关远程启停和自动启停及反馈。（在用消防主机型号为“松江JB9108A）</w:t>
      </w:r>
    </w:p>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方正仿宋_GBK" w:hAnsi="宋体" w:eastAsia="方正仿宋_GBK" w:cs="Arial"/>
          <w:sz w:val="24"/>
        </w:rPr>
      </w:pPr>
      <w:r>
        <w:rPr>
          <w:rFonts w:hint="eastAsia" w:ascii="方正仿宋_GBK" w:hAnsi="宋体" w:eastAsia="方正仿宋_GBK" w:cs="Arial"/>
          <w:sz w:val="24"/>
        </w:rPr>
        <w:t>8. 安装消火栓泵出水管低压开关连锁启动装置。</w:t>
      </w:r>
    </w:p>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方正仿宋_GBK" w:hAnsi="宋体" w:eastAsia="方正仿宋_GBK" w:cs="Arial"/>
          <w:sz w:val="24"/>
        </w:rPr>
      </w:pPr>
      <w:r>
        <w:rPr>
          <w:rFonts w:hint="eastAsia" w:ascii="方正仿宋_GBK" w:hAnsi="宋体" w:eastAsia="方正仿宋_GBK" w:cs="Arial"/>
          <w:sz w:val="24"/>
        </w:rPr>
        <w:t>9.原有非消防设备用电线路和控制部件的恢复，包括材料和人工，需达到原先功能要求。</w:t>
      </w:r>
    </w:p>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方正仿宋_GBK" w:hAnsi="宋体" w:eastAsia="方正仿宋_GBK" w:cs="Arial"/>
          <w:sz w:val="24"/>
        </w:rPr>
      </w:pPr>
      <w:r>
        <w:rPr>
          <w:rFonts w:hint="eastAsia" w:ascii="方正仿宋_GBK" w:hAnsi="宋体" w:eastAsia="方正仿宋_GBK" w:cs="Arial"/>
          <w:sz w:val="24"/>
        </w:rPr>
        <w:t>10.系统安装调试。</w:t>
      </w:r>
    </w:p>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方正仿宋_GBK" w:hAnsi="宋体" w:eastAsia="方正仿宋_GBK" w:cs="Arial"/>
          <w:sz w:val="24"/>
        </w:rPr>
      </w:pPr>
      <w:r>
        <w:rPr>
          <w:rFonts w:hint="eastAsia" w:ascii="方正仿宋_GBK" w:hAnsi="宋体" w:eastAsia="方正仿宋_GBK" w:cs="Arial"/>
          <w:sz w:val="24"/>
        </w:rPr>
        <w:t>11.电源柜、消火栓控制柜、喷淋水泵控制柜、远程控制转换箱，施工单位须提供相应图纸（柜体尺寸图、二次回路图、柜内部件布置图、远程控制系统图等），甲方认可后按图定制或购置，进入甲方施工现场之前须由甲方对以上设备进行预验收，合格后方可进行安装。</w:t>
      </w:r>
    </w:p>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方正仿宋_GBK" w:hAnsi="宋体" w:eastAsia="方正仿宋_GBK" w:cs="Arial"/>
          <w:sz w:val="24"/>
        </w:rPr>
      </w:pPr>
      <w:r>
        <w:rPr>
          <w:rFonts w:hint="eastAsia" w:ascii="方正仿宋_GBK" w:hAnsi="宋体" w:eastAsia="方正仿宋_GBK" w:cs="Arial"/>
          <w:sz w:val="24"/>
        </w:rPr>
        <w:t>12.电源柜、控制柜制作安装参照标准：GB6245-2006。</w:t>
      </w:r>
    </w:p>
    <w:p>
      <w:pPr>
        <w:keepNext w:val="0"/>
        <w:keepLines w:val="0"/>
        <w:pageBreakBefore w:val="0"/>
        <w:widowControl w:val="0"/>
        <w:kinsoku/>
        <w:wordWrap/>
        <w:overflowPunct/>
        <w:topLinePunct w:val="0"/>
        <w:autoSpaceDE/>
        <w:autoSpaceDN/>
        <w:bidi w:val="0"/>
        <w:adjustRightInd/>
        <w:snapToGrid w:val="0"/>
        <w:spacing w:line="340" w:lineRule="exact"/>
        <w:ind w:firstLine="481" w:firstLineChars="200"/>
        <w:textAlignment w:val="auto"/>
        <w:rPr>
          <w:rFonts w:hint="eastAsia" w:ascii="方正仿宋_GBK" w:hAnsi="宋体" w:eastAsia="方正仿宋_GBK" w:cs="Arial"/>
          <w:b/>
          <w:bCs/>
          <w:sz w:val="24"/>
        </w:rPr>
      </w:pPr>
      <w:r>
        <w:rPr>
          <w:rFonts w:hint="eastAsia" w:ascii="方正仿宋_GBK" w:hAnsi="宋体" w:eastAsia="方正仿宋_GBK" w:cs="Arial"/>
          <w:b/>
          <w:bCs/>
          <w:sz w:val="24"/>
          <w:lang w:eastAsia="zh-CN"/>
        </w:rPr>
        <w:t>四</w:t>
      </w:r>
      <w:r>
        <w:rPr>
          <w:rFonts w:hint="eastAsia" w:ascii="方正仿宋_GBK" w:hAnsi="宋体" w:eastAsia="方正仿宋_GBK" w:cs="Arial"/>
          <w:b/>
          <w:bCs/>
          <w:sz w:val="24"/>
        </w:rPr>
        <w:t>.报价要求</w:t>
      </w:r>
    </w:p>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方正仿宋_GBK" w:hAnsi="宋体" w:eastAsia="方正仿宋_GBK" w:cs="Arial"/>
          <w:sz w:val="24"/>
        </w:rPr>
      </w:pPr>
      <w:r>
        <w:rPr>
          <w:rFonts w:hint="eastAsia" w:ascii="方正仿宋_GBK" w:hAnsi="宋体" w:eastAsia="方正仿宋_GBK" w:cs="Arial"/>
          <w:sz w:val="24"/>
        </w:rPr>
        <w:t>1.投标书按所列工程量清单进行报价，写明单价和总价。</w:t>
      </w:r>
    </w:p>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方正仿宋_GBK" w:hAnsi="宋体" w:eastAsia="方正仿宋_GBK" w:cs="Arial"/>
          <w:sz w:val="24"/>
        </w:rPr>
      </w:pPr>
      <w:r>
        <w:rPr>
          <w:rFonts w:hint="eastAsia" w:ascii="方正仿宋_GBK" w:hAnsi="宋体" w:eastAsia="方正仿宋_GBK" w:cs="Arial"/>
          <w:sz w:val="24"/>
        </w:rPr>
        <w:t>2.所投报价包含但不仅限于：此次施工项目中的主附材料、人工、车辆机械、设备、运输、税费等。</w:t>
      </w:r>
    </w:p>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方正仿宋_GBK" w:hAnsi="宋体" w:eastAsia="方正仿宋_GBK" w:cs="Arial"/>
          <w:sz w:val="24"/>
        </w:rPr>
      </w:pPr>
      <w:r>
        <w:rPr>
          <w:rFonts w:hint="eastAsia" w:ascii="方正仿宋_GBK" w:hAnsi="宋体" w:eastAsia="方正仿宋_GBK" w:cs="Arial"/>
          <w:sz w:val="24"/>
        </w:rPr>
        <w:t>3. 本项目内容包含拆除原有3台控制柜并做抵扣处理(含清运），承接单位在投标文件中明确拆除后的废品价值，在报价中予以抵扣。</w:t>
      </w:r>
    </w:p>
    <w:p>
      <w:pPr>
        <w:keepNext w:val="0"/>
        <w:keepLines w:val="0"/>
        <w:pageBreakBefore w:val="0"/>
        <w:widowControl w:val="0"/>
        <w:kinsoku/>
        <w:wordWrap/>
        <w:overflowPunct/>
        <w:topLinePunct w:val="0"/>
        <w:autoSpaceDE/>
        <w:autoSpaceDN/>
        <w:bidi w:val="0"/>
        <w:adjustRightInd/>
        <w:snapToGrid w:val="0"/>
        <w:spacing w:line="340" w:lineRule="exact"/>
        <w:ind w:firstLine="481" w:firstLineChars="200"/>
        <w:textAlignment w:val="auto"/>
        <w:rPr>
          <w:rFonts w:hint="eastAsia" w:ascii="方正仿宋_GBK" w:hAnsi="宋体" w:eastAsia="方正仿宋_GBK" w:cs="Arial"/>
          <w:b/>
          <w:bCs/>
          <w:sz w:val="24"/>
        </w:rPr>
      </w:pPr>
      <w:r>
        <w:rPr>
          <w:rFonts w:hint="eastAsia" w:ascii="方正仿宋_GBK" w:hAnsi="宋体" w:eastAsia="方正仿宋_GBK" w:cs="Arial"/>
          <w:b/>
          <w:bCs/>
          <w:sz w:val="24"/>
        </w:rPr>
        <w:t>五. 工程验收</w:t>
      </w:r>
    </w:p>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方正仿宋_GBK" w:hAnsi="宋体" w:eastAsia="方正仿宋_GBK" w:cs="Arial"/>
          <w:sz w:val="24"/>
        </w:rPr>
      </w:pPr>
      <w:r>
        <w:rPr>
          <w:rFonts w:hint="eastAsia" w:ascii="方正仿宋_GBK" w:hAnsi="宋体" w:eastAsia="方正仿宋_GBK" w:cs="Arial"/>
          <w:sz w:val="24"/>
        </w:rPr>
        <w:t>工程完工后15日内由甲方组织相关人员进行验收，验收合格后出具验收合格意见书。</w:t>
      </w:r>
    </w:p>
    <w:p>
      <w:pPr>
        <w:keepNext w:val="0"/>
        <w:keepLines w:val="0"/>
        <w:pageBreakBefore w:val="0"/>
        <w:widowControl w:val="0"/>
        <w:kinsoku/>
        <w:wordWrap/>
        <w:overflowPunct/>
        <w:topLinePunct w:val="0"/>
        <w:autoSpaceDE/>
        <w:autoSpaceDN/>
        <w:bidi w:val="0"/>
        <w:adjustRightInd/>
        <w:snapToGrid w:val="0"/>
        <w:spacing w:line="340" w:lineRule="exact"/>
        <w:ind w:firstLine="481" w:firstLineChars="200"/>
        <w:textAlignment w:val="auto"/>
        <w:rPr>
          <w:rFonts w:hint="eastAsia" w:ascii="方正仿宋_GBK" w:hAnsi="宋体" w:eastAsia="方正仿宋_GBK" w:cs="Arial"/>
          <w:b/>
          <w:bCs/>
          <w:sz w:val="24"/>
        </w:rPr>
      </w:pPr>
      <w:r>
        <w:rPr>
          <w:rFonts w:hint="eastAsia" w:ascii="方正仿宋_GBK" w:hAnsi="宋体" w:eastAsia="方正仿宋_GBK" w:cs="Arial"/>
          <w:b/>
          <w:bCs/>
          <w:sz w:val="24"/>
        </w:rPr>
        <w:t>六.工期</w:t>
      </w:r>
    </w:p>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方正仿宋_GBK" w:hAnsi="宋体" w:eastAsia="方正仿宋_GBK" w:cs="Arial"/>
          <w:sz w:val="24"/>
        </w:rPr>
      </w:pPr>
      <w:r>
        <w:rPr>
          <w:rFonts w:hint="eastAsia" w:ascii="方正仿宋_GBK" w:hAnsi="宋体" w:eastAsia="方正仿宋_GBK" w:cs="Arial"/>
          <w:sz w:val="24"/>
        </w:rPr>
        <w:t>合同签订</w:t>
      </w:r>
      <w:r>
        <w:rPr>
          <w:rFonts w:hint="eastAsia" w:ascii="方正仿宋_GBK" w:hAnsi="宋体" w:eastAsia="方正仿宋_GBK" w:cs="Arial"/>
          <w:sz w:val="24"/>
          <w:lang w:eastAsia="zh-CN"/>
        </w:rPr>
        <w:t>，经甲方通知施工</w:t>
      </w:r>
      <w:r>
        <w:rPr>
          <w:rFonts w:hint="eastAsia" w:ascii="方正仿宋_GBK" w:hAnsi="宋体" w:eastAsia="方正仿宋_GBK" w:cs="Arial"/>
          <w:sz w:val="24"/>
        </w:rPr>
        <w:t>后20天完成合同内容，系统正常运行。</w:t>
      </w:r>
    </w:p>
    <w:p>
      <w:pPr>
        <w:keepNext w:val="0"/>
        <w:keepLines w:val="0"/>
        <w:pageBreakBefore w:val="0"/>
        <w:widowControl w:val="0"/>
        <w:kinsoku/>
        <w:wordWrap/>
        <w:overflowPunct/>
        <w:topLinePunct w:val="0"/>
        <w:autoSpaceDE/>
        <w:autoSpaceDN/>
        <w:bidi w:val="0"/>
        <w:adjustRightInd/>
        <w:snapToGrid w:val="0"/>
        <w:spacing w:line="340" w:lineRule="exact"/>
        <w:ind w:firstLine="481" w:firstLineChars="200"/>
        <w:textAlignment w:val="auto"/>
        <w:rPr>
          <w:rFonts w:hint="eastAsia" w:ascii="方正仿宋_GBK" w:hAnsi="宋体" w:eastAsia="方正仿宋_GBK" w:cs="Arial"/>
          <w:b/>
          <w:bCs/>
          <w:sz w:val="24"/>
        </w:rPr>
      </w:pPr>
      <w:r>
        <w:rPr>
          <w:rFonts w:hint="eastAsia" w:ascii="方正仿宋_GBK" w:hAnsi="宋体" w:eastAsia="方正仿宋_GBK" w:cs="Arial"/>
          <w:b/>
          <w:bCs/>
          <w:sz w:val="24"/>
        </w:rPr>
        <w:t>七.工程量清单</w:t>
      </w:r>
    </w:p>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jc w:val="center"/>
        <w:textAlignment w:val="auto"/>
        <w:rPr>
          <w:rFonts w:hint="eastAsia" w:ascii="方正仿宋_GBK" w:hAnsi="宋体" w:eastAsia="方正仿宋_GBK" w:cs="Arial"/>
          <w:sz w:val="24"/>
        </w:rPr>
      </w:pPr>
      <w:r>
        <w:rPr>
          <w:rFonts w:hint="eastAsia" w:ascii="方正仿宋_GBK" w:hAnsi="宋体" w:eastAsia="方正仿宋_GBK" w:cs="Arial"/>
          <w:sz w:val="24"/>
        </w:rPr>
        <w:t>消防水泵控制柜更新预算清单</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4536"/>
        <w:gridCol w:w="851"/>
        <w:gridCol w:w="1276"/>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方正仿宋_GBK" w:hAnsi="宋体" w:eastAsia="方正仿宋_GBK" w:cs="Arial"/>
                <w:sz w:val="24"/>
              </w:rPr>
            </w:pPr>
            <w:r>
              <w:rPr>
                <w:rFonts w:hint="eastAsia" w:ascii="方正仿宋_GBK" w:hAnsi="宋体" w:eastAsia="方正仿宋_GBK" w:cs="Arial"/>
                <w:sz w:val="24"/>
              </w:rPr>
              <w:t>序号</w:t>
            </w:r>
          </w:p>
        </w:tc>
        <w:tc>
          <w:tcPr>
            <w:tcW w:w="4536" w:type="dxa"/>
          </w:tcPr>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方正仿宋_GBK" w:hAnsi="宋体" w:eastAsia="方正仿宋_GBK" w:cs="Arial"/>
                <w:sz w:val="24"/>
              </w:rPr>
            </w:pPr>
            <w:r>
              <w:rPr>
                <w:rFonts w:hint="eastAsia" w:ascii="方正仿宋_GBK" w:hAnsi="宋体" w:eastAsia="方正仿宋_GBK" w:cs="Arial"/>
                <w:sz w:val="24"/>
              </w:rPr>
              <w:t>名称规格</w:t>
            </w:r>
          </w:p>
        </w:tc>
        <w:tc>
          <w:tcPr>
            <w:tcW w:w="851" w:type="dxa"/>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方正仿宋_GBK" w:hAnsi="宋体" w:eastAsia="方正仿宋_GBK" w:cs="Arial"/>
                <w:sz w:val="24"/>
              </w:rPr>
            </w:pPr>
            <w:r>
              <w:rPr>
                <w:rFonts w:hint="eastAsia" w:ascii="方正仿宋_GBK" w:hAnsi="宋体" w:eastAsia="方正仿宋_GBK" w:cs="Arial"/>
                <w:sz w:val="24"/>
              </w:rPr>
              <w:t>数量</w:t>
            </w:r>
          </w:p>
        </w:tc>
        <w:tc>
          <w:tcPr>
            <w:tcW w:w="1276" w:type="dxa"/>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方正仿宋_GBK" w:hAnsi="宋体" w:eastAsia="方正仿宋_GBK" w:cs="Arial"/>
                <w:sz w:val="24"/>
              </w:rPr>
            </w:pPr>
            <w:r>
              <w:rPr>
                <w:rFonts w:hint="eastAsia" w:ascii="方正仿宋_GBK" w:hAnsi="宋体" w:eastAsia="方正仿宋_GBK" w:cs="Arial"/>
                <w:sz w:val="24"/>
              </w:rPr>
              <w:t>单价（元）</w:t>
            </w:r>
          </w:p>
        </w:tc>
        <w:tc>
          <w:tcPr>
            <w:tcW w:w="1184" w:type="dxa"/>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方正仿宋_GBK" w:hAnsi="宋体" w:eastAsia="方正仿宋_GBK" w:cs="Arial"/>
                <w:sz w:val="24"/>
              </w:rPr>
            </w:pPr>
            <w:r>
              <w:rPr>
                <w:rFonts w:hint="eastAsia" w:ascii="方正仿宋_GBK" w:hAnsi="宋体" w:eastAsia="方正仿宋_GBK" w:cs="Arial"/>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方正仿宋_GBK" w:hAnsi="宋体" w:eastAsia="方正仿宋_GBK" w:cs="Arial"/>
                <w:sz w:val="24"/>
              </w:rPr>
            </w:pPr>
            <w:r>
              <w:rPr>
                <w:rFonts w:hint="eastAsia" w:ascii="方正仿宋_GBK" w:hAnsi="宋体" w:eastAsia="方正仿宋_GBK" w:cs="Arial"/>
                <w:sz w:val="24"/>
              </w:rPr>
              <w:t>1</w:t>
            </w:r>
          </w:p>
        </w:tc>
        <w:tc>
          <w:tcPr>
            <w:tcW w:w="4536" w:type="dxa"/>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方正仿宋_GBK" w:hAnsi="宋体" w:eastAsia="方正仿宋_GBK" w:cs="Arial"/>
                <w:sz w:val="24"/>
              </w:rPr>
            </w:pPr>
            <w:r>
              <w:rPr>
                <w:rFonts w:hint="eastAsia" w:ascii="方正仿宋_GBK" w:hAnsi="宋体" w:eastAsia="方正仿宋_GBK" w:cs="Arial"/>
                <w:sz w:val="24"/>
              </w:rPr>
              <w:t>原控制柜拆除电源柜、消火栓泵控制柜、喷淋水泵控制柜</w:t>
            </w:r>
          </w:p>
        </w:tc>
        <w:tc>
          <w:tcPr>
            <w:tcW w:w="851" w:type="dxa"/>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方正仿宋_GBK" w:hAnsi="宋体" w:eastAsia="方正仿宋_GBK" w:cs="Arial"/>
                <w:sz w:val="24"/>
              </w:rPr>
            </w:pPr>
            <w:r>
              <w:rPr>
                <w:rFonts w:hint="eastAsia" w:ascii="方正仿宋_GBK" w:hAnsi="宋体" w:eastAsia="方正仿宋_GBK" w:cs="Arial"/>
                <w:sz w:val="24"/>
              </w:rPr>
              <w:t>3套</w:t>
            </w:r>
          </w:p>
        </w:tc>
        <w:tc>
          <w:tcPr>
            <w:tcW w:w="1276" w:type="dxa"/>
          </w:tcPr>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方正仿宋_GBK" w:hAnsi="宋体" w:eastAsia="方正仿宋_GBK" w:cs="Arial"/>
                <w:sz w:val="24"/>
              </w:rPr>
            </w:pPr>
          </w:p>
        </w:tc>
        <w:tc>
          <w:tcPr>
            <w:tcW w:w="1184" w:type="dxa"/>
          </w:tcPr>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方正仿宋_GBK" w:hAnsi="宋体" w:eastAsia="方正仿宋_GBK"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方正仿宋_GBK" w:hAnsi="宋体" w:eastAsia="方正仿宋_GBK" w:cs="Arial"/>
                <w:sz w:val="24"/>
              </w:rPr>
            </w:pPr>
            <w:r>
              <w:rPr>
                <w:rFonts w:hint="eastAsia" w:ascii="方正仿宋_GBK" w:hAnsi="宋体" w:eastAsia="方正仿宋_GBK" w:cs="Arial"/>
                <w:sz w:val="24"/>
              </w:rPr>
              <w:t>2</w:t>
            </w:r>
          </w:p>
        </w:tc>
        <w:tc>
          <w:tcPr>
            <w:tcW w:w="4536" w:type="dxa"/>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方正仿宋_GBK" w:hAnsi="宋体" w:eastAsia="方正仿宋_GBK" w:cs="Arial"/>
                <w:sz w:val="24"/>
              </w:rPr>
            </w:pPr>
            <w:r>
              <w:rPr>
                <w:rFonts w:hint="eastAsia" w:ascii="方正仿宋_GBK" w:hAnsi="宋体" w:eastAsia="方正仿宋_GBK" w:cs="Arial"/>
                <w:sz w:val="24"/>
              </w:rPr>
              <w:t>柜底坑采用水水泥砂浆填实，铺地砖</w:t>
            </w:r>
          </w:p>
        </w:tc>
        <w:tc>
          <w:tcPr>
            <w:tcW w:w="851" w:type="dxa"/>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方正仿宋_GBK" w:hAnsi="宋体" w:eastAsia="方正仿宋_GBK" w:cs="Arial"/>
                <w:sz w:val="24"/>
              </w:rPr>
            </w:pPr>
            <w:r>
              <w:rPr>
                <w:rFonts w:hint="eastAsia" w:ascii="方正仿宋_GBK" w:hAnsi="宋体" w:eastAsia="方正仿宋_GBK" w:cs="Arial"/>
                <w:sz w:val="24"/>
              </w:rPr>
              <w:t>2平米</w:t>
            </w:r>
          </w:p>
        </w:tc>
        <w:tc>
          <w:tcPr>
            <w:tcW w:w="1276" w:type="dxa"/>
          </w:tcPr>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方正仿宋_GBK" w:hAnsi="宋体" w:eastAsia="方正仿宋_GBK" w:cs="Arial"/>
                <w:sz w:val="24"/>
              </w:rPr>
            </w:pPr>
          </w:p>
        </w:tc>
        <w:tc>
          <w:tcPr>
            <w:tcW w:w="1184" w:type="dxa"/>
          </w:tcPr>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方正仿宋_GBK" w:hAnsi="宋体" w:eastAsia="方正仿宋_GBK"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方正仿宋_GBK" w:hAnsi="宋体" w:eastAsia="方正仿宋_GBK" w:cs="Arial"/>
                <w:sz w:val="24"/>
              </w:rPr>
            </w:pPr>
            <w:r>
              <w:rPr>
                <w:rFonts w:hint="eastAsia" w:ascii="方正仿宋_GBK" w:hAnsi="宋体" w:eastAsia="方正仿宋_GBK" w:cs="Arial"/>
                <w:sz w:val="24"/>
              </w:rPr>
              <w:t>3</w:t>
            </w:r>
          </w:p>
        </w:tc>
        <w:tc>
          <w:tcPr>
            <w:tcW w:w="4536" w:type="dxa"/>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方正仿宋_GBK" w:hAnsi="宋体" w:eastAsia="方正仿宋_GBK" w:cs="Arial"/>
                <w:sz w:val="24"/>
              </w:rPr>
            </w:pPr>
            <w:r>
              <w:rPr>
                <w:rFonts w:hint="eastAsia" w:ascii="方正仿宋_GBK" w:hAnsi="宋体" w:eastAsia="方正仿宋_GBK" w:cs="Arial"/>
                <w:sz w:val="24"/>
              </w:rPr>
              <w:t>电源控制柜：总容量300A，分三路总闸开关，容量分别为150A、150A、60A（配2路三相25A、4路单相16A开关）；配件建议品牌：施耐德、正泰、常开），柜体材料采用国标镀锌金属板材制作，板材厚度不小于1.0 MM，</w:t>
            </w:r>
          </w:p>
        </w:tc>
        <w:tc>
          <w:tcPr>
            <w:tcW w:w="851" w:type="dxa"/>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方正仿宋_GBK" w:hAnsi="宋体" w:eastAsia="方正仿宋_GBK" w:cs="Arial"/>
                <w:sz w:val="24"/>
              </w:rPr>
            </w:pPr>
            <w:r>
              <w:rPr>
                <w:rFonts w:hint="eastAsia" w:ascii="方正仿宋_GBK" w:hAnsi="宋体" w:eastAsia="方正仿宋_GBK" w:cs="Arial"/>
                <w:sz w:val="24"/>
              </w:rPr>
              <w:t>1套</w:t>
            </w:r>
          </w:p>
        </w:tc>
        <w:tc>
          <w:tcPr>
            <w:tcW w:w="1276" w:type="dxa"/>
          </w:tcPr>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方正仿宋_GBK" w:hAnsi="宋体" w:eastAsia="方正仿宋_GBK" w:cs="Arial"/>
                <w:sz w:val="24"/>
              </w:rPr>
            </w:pPr>
          </w:p>
        </w:tc>
        <w:tc>
          <w:tcPr>
            <w:tcW w:w="1184" w:type="dxa"/>
          </w:tcPr>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方正仿宋_GBK" w:hAnsi="宋体" w:eastAsia="方正仿宋_GBK"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方正仿宋_GBK" w:hAnsi="宋体" w:eastAsia="方正仿宋_GBK" w:cs="Arial"/>
                <w:sz w:val="24"/>
              </w:rPr>
            </w:pPr>
            <w:r>
              <w:rPr>
                <w:rFonts w:hint="eastAsia" w:ascii="方正仿宋_GBK" w:hAnsi="宋体" w:eastAsia="方正仿宋_GBK" w:cs="Arial"/>
                <w:sz w:val="24"/>
              </w:rPr>
              <w:t>4</w:t>
            </w:r>
          </w:p>
        </w:tc>
        <w:tc>
          <w:tcPr>
            <w:tcW w:w="4536" w:type="dxa"/>
          </w:tcPr>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方正仿宋_GBK" w:hAnsi="宋体" w:eastAsia="方正仿宋_GBK" w:cs="Arial"/>
                <w:sz w:val="24"/>
              </w:rPr>
            </w:pPr>
            <w:r>
              <w:rPr>
                <w:rFonts w:hint="eastAsia" w:ascii="方正仿宋_GBK" w:hAnsi="宋体" w:eastAsia="方正仿宋_GBK" w:cs="Arial"/>
                <w:sz w:val="24"/>
              </w:rPr>
              <w:t>消火栓水泵控制柜：容量100A，两组互为主备，配件建议品牌：施耐德、正泰、常开），柜体材料采用国标镀锌金属板材制作，板材厚度不小于1.0 MM</w:t>
            </w:r>
          </w:p>
        </w:tc>
        <w:tc>
          <w:tcPr>
            <w:tcW w:w="851" w:type="dxa"/>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方正仿宋_GBK" w:hAnsi="宋体" w:eastAsia="方正仿宋_GBK" w:cs="Arial"/>
                <w:sz w:val="24"/>
              </w:rPr>
            </w:pPr>
            <w:r>
              <w:rPr>
                <w:rFonts w:hint="eastAsia" w:ascii="方正仿宋_GBK" w:hAnsi="宋体" w:eastAsia="方正仿宋_GBK" w:cs="Arial"/>
                <w:sz w:val="24"/>
              </w:rPr>
              <w:t>1套</w:t>
            </w:r>
          </w:p>
        </w:tc>
        <w:tc>
          <w:tcPr>
            <w:tcW w:w="1276" w:type="dxa"/>
          </w:tcPr>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方正仿宋_GBK" w:hAnsi="宋体" w:eastAsia="方正仿宋_GBK" w:cs="Arial"/>
                <w:sz w:val="24"/>
              </w:rPr>
            </w:pPr>
          </w:p>
        </w:tc>
        <w:tc>
          <w:tcPr>
            <w:tcW w:w="1184" w:type="dxa"/>
          </w:tcPr>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方正仿宋_GBK" w:hAnsi="宋体" w:eastAsia="方正仿宋_GBK"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方正仿宋_GBK" w:hAnsi="宋体" w:eastAsia="方正仿宋_GBK" w:cs="Arial"/>
                <w:sz w:val="24"/>
              </w:rPr>
            </w:pPr>
            <w:r>
              <w:rPr>
                <w:rFonts w:hint="eastAsia" w:ascii="方正仿宋_GBK" w:hAnsi="宋体" w:eastAsia="方正仿宋_GBK" w:cs="Arial"/>
                <w:sz w:val="24"/>
              </w:rPr>
              <w:t>5</w:t>
            </w:r>
          </w:p>
        </w:tc>
        <w:tc>
          <w:tcPr>
            <w:tcW w:w="4536" w:type="dxa"/>
          </w:tcPr>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方正仿宋_GBK" w:hAnsi="宋体" w:eastAsia="方正仿宋_GBK" w:cs="Arial"/>
                <w:sz w:val="24"/>
              </w:rPr>
            </w:pPr>
            <w:r>
              <w:rPr>
                <w:rFonts w:hint="eastAsia" w:ascii="方正仿宋_GBK" w:hAnsi="宋体" w:eastAsia="方正仿宋_GBK" w:cs="Arial"/>
                <w:sz w:val="24"/>
              </w:rPr>
              <w:t>喷淋水泵控制柜：容量100A，两组互为主备，配件建议品牌：施耐德、正泰、常开），柜体材料采用国标镀锌金属板材制作，板材厚度不小于1.0 MM</w:t>
            </w:r>
          </w:p>
        </w:tc>
        <w:tc>
          <w:tcPr>
            <w:tcW w:w="851" w:type="dxa"/>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方正仿宋_GBK" w:hAnsi="宋体" w:eastAsia="方正仿宋_GBK" w:cs="Arial"/>
                <w:sz w:val="24"/>
              </w:rPr>
            </w:pPr>
            <w:r>
              <w:rPr>
                <w:rFonts w:hint="eastAsia" w:ascii="方正仿宋_GBK" w:hAnsi="宋体" w:eastAsia="方正仿宋_GBK" w:cs="Arial"/>
                <w:sz w:val="24"/>
              </w:rPr>
              <w:t>1套</w:t>
            </w:r>
          </w:p>
        </w:tc>
        <w:tc>
          <w:tcPr>
            <w:tcW w:w="1276" w:type="dxa"/>
          </w:tcPr>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方正仿宋_GBK" w:hAnsi="宋体" w:eastAsia="方正仿宋_GBK" w:cs="Arial"/>
                <w:sz w:val="24"/>
              </w:rPr>
            </w:pPr>
          </w:p>
        </w:tc>
        <w:tc>
          <w:tcPr>
            <w:tcW w:w="1184" w:type="dxa"/>
          </w:tcPr>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方正仿宋_GBK" w:hAnsi="宋体" w:eastAsia="方正仿宋_GBK"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方正仿宋_GBK" w:hAnsi="宋体" w:eastAsia="方正仿宋_GBK" w:cs="Arial"/>
                <w:sz w:val="24"/>
              </w:rPr>
            </w:pPr>
            <w:r>
              <w:rPr>
                <w:rFonts w:hint="eastAsia" w:ascii="方正仿宋_GBK" w:hAnsi="宋体" w:eastAsia="方正仿宋_GBK" w:cs="Arial"/>
                <w:sz w:val="24"/>
              </w:rPr>
              <w:t>6</w:t>
            </w:r>
          </w:p>
        </w:tc>
        <w:tc>
          <w:tcPr>
            <w:tcW w:w="4536" w:type="dxa"/>
          </w:tcPr>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方正仿宋_GBK" w:hAnsi="宋体" w:eastAsia="方正仿宋_GBK" w:cs="Arial"/>
                <w:sz w:val="24"/>
              </w:rPr>
            </w:pPr>
            <w:r>
              <w:rPr>
                <w:rFonts w:hint="eastAsia" w:ascii="方正仿宋_GBK" w:hAnsi="宋体" w:eastAsia="方正仿宋_GBK" w:cs="Arial"/>
                <w:sz w:val="24"/>
              </w:rPr>
              <w:t>远程控制转换箱（配套消防主机、喷淋压力开关、消火栓低压开关远程启动和自动启动），柜体材料采用国标镀锌金属板材制作，板材厚度不小于1.0 MM</w:t>
            </w:r>
          </w:p>
        </w:tc>
        <w:tc>
          <w:tcPr>
            <w:tcW w:w="851" w:type="dxa"/>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方正仿宋_GBK" w:hAnsi="宋体" w:eastAsia="方正仿宋_GBK" w:cs="Arial"/>
                <w:sz w:val="24"/>
              </w:rPr>
            </w:pPr>
            <w:r>
              <w:rPr>
                <w:rFonts w:hint="eastAsia" w:ascii="方正仿宋_GBK" w:hAnsi="宋体" w:eastAsia="方正仿宋_GBK" w:cs="Arial"/>
                <w:sz w:val="24"/>
              </w:rPr>
              <w:t>1套</w:t>
            </w:r>
          </w:p>
        </w:tc>
        <w:tc>
          <w:tcPr>
            <w:tcW w:w="1276" w:type="dxa"/>
          </w:tcPr>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方正仿宋_GBK" w:hAnsi="宋体" w:eastAsia="方正仿宋_GBK" w:cs="Arial"/>
                <w:sz w:val="24"/>
              </w:rPr>
            </w:pPr>
          </w:p>
        </w:tc>
        <w:tc>
          <w:tcPr>
            <w:tcW w:w="1184" w:type="dxa"/>
          </w:tcPr>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方正仿宋_GBK" w:hAnsi="宋体" w:eastAsia="方正仿宋_GBK"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方正仿宋_GBK" w:hAnsi="宋体" w:eastAsia="方正仿宋_GBK" w:cs="Arial"/>
                <w:sz w:val="24"/>
              </w:rPr>
            </w:pPr>
            <w:r>
              <w:rPr>
                <w:rFonts w:hint="eastAsia" w:ascii="方正仿宋_GBK" w:hAnsi="宋体" w:eastAsia="方正仿宋_GBK" w:cs="Arial"/>
                <w:sz w:val="24"/>
              </w:rPr>
              <w:t>7</w:t>
            </w:r>
          </w:p>
        </w:tc>
        <w:tc>
          <w:tcPr>
            <w:tcW w:w="4536" w:type="dxa"/>
          </w:tcPr>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方正仿宋_GBK" w:hAnsi="宋体" w:eastAsia="方正仿宋_GBK" w:cs="Arial"/>
                <w:sz w:val="24"/>
              </w:rPr>
            </w:pPr>
            <w:r>
              <w:rPr>
                <w:rFonts w:hint="eastAsia" w:ascii="方正仿宋_GBK" w:hAnsi="宋体" w:eastAsia="方正仿宋_GBK" w:cs="Arial"/>
                <w:sz w:val="24"/>
              </w:rPr>
              <w:t>消火栓泵出水管低压开关连锁启动装置安装（包括设备、线材、管材等）</w:t>
            </w:r>
          </w:p>
        </w:tc>
        <w:tc>
          <w:tcPr>
            <w:tcW w:w="851" w:type="dxa"/>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方正仿宋_GBK" w:hAnsi="宋体" w:eastAsia="方正仿宋_GBK" w:cs="Arial"/>
                <w:sz w:val="24"/>
              </w:rPr>
            </w:pPr>
            <w:r>
              <w:rPr>
                <w:rFonts w:hint="eastAsia" w:ascii="方正仿宋_GBK" w:hAnsi="宋体" w:eastAsia="方正仿宋_GBK" w:cs="Arial"/>
                <w:sz w:val="24"/>
              </w:rPr>
              <w:t>1套</w:t>
            </w:r>
          </w:p>
        </w:tc>
        <w:tc>
          <w:tcPr>
            <w:tcW w:w="1276" w:type="dxa"/>
          </w:tcPr>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方正仿宋_GBK" w:hAnsi="宋体" w:eastAsia="方正仿宋_GBK" w:cs="Arial"/>
                <w:sz w:val="24"/>
              </w:rPr>
            </w:pPr>
          </w:p>
        </w:tc>
        <w:tc>
          <w:tcPr>
            <w:tcW w:w="1184" w:type="dxa"/>
          </w:tcPr>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方正仿宋_GBK" w:hAnsi="宋体" w:eastAsia="方正仿宋_GBK"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方正仿宋_GBK" w:hAnsi="宋体" w:eastAsia="方正仿宋_GBK" w:cs="Arial"/>
                <w:sz w:val="24"/>
              </w:rPr>
            </w:pPr>
            <w:r>
              <w:rPr>
                <w:rFonts w:hint="eastAsia" w:ascii="方正仿宋_GBK" w:hAnsi="宋体" w:eastAsia="方正仿宋_GBK" w:cs="Arial"/>
                <w:sz w:val="24"/>
              </w:rPr>
              <w:t>8</w:t>
            </w:r>
          </w:p>
        </w:tc>
        <w:tc>
          <w:tcPr>
            <w:tcW w:w="4536" w:type="dxa"/>
          </w:tcPr>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方正仿宋_GBK" w:hAnsi="宋体" w:eastAsia="方正仿宋_GBK" w:cs="Arial"/>
                <w:sz w:val="24"/>
              </w:rPr>
            </w:pPr>
            <w:r>
              <w:rPr>
                <w:rFonts w:hint="eastAsia" w:ascii="方正仿宋_GBK" w:hAnsi="宋体" w:eastAsia="方正仿宋_GBK" w:cs="Arial"/>
                <w:sz w:val="24"/>
              </w:rPr>
              <w:t>系统连接调试</w:t>
            </w:r>
          </w:p>
        </w:tc>
        <w:tc>
          <w:tcPr>
            <w:tcW w:w="851" w:type="dxa"/>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方正仿宋_GBK" w:hAnsi="宋体" w:eastAsia="方正仿宋_GBK" w:cs="Arial"/>
                <w:sz w:val="24"/>
              </w:rPr>
            </w:pPr>
            <w:r>
              <w:rPr>
                <w:rFonts w:hint="eastAsia" w:ascii="方正仿宋_GBK" w:hAnsi="宋体" w:eastAsia="方正仿宋_GBK" w:cs="Arial"/>
                <w:sz w:val="24"/>
              </w:rPr>
              <w:t>1项</w:t>
            </w:r>
          </w:p>
        </w:tc>
        <w:tc>
          <w:tcPr>
            <w:tcW w:w="1276" w:type="dxa"/>
          </w:tcPr>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方正仿宋_GBK" w:hAnsi="宋体" w:eastAsia="方正仿宋_GBK" w:cs="Arial"/>
                <w:sz w:val="24"/>
              </w:rPr>
            </w:pPr>
          </w:p>
        </w:tc>
        <w:tc>
          <w:tcPr>
            <w:tcW w:w="1184" w:type="dxa"/>
          </w:tcPr>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方正仿宋_GBK" w:hAnsi="宋体" w:eastAsia="方正仿宋_GBK" w:cs="Arial"/>
                <w:sz w:val="24"/>
              </w:rPr>
            </w:pPr>
          </w:p>
        </w:tc>
      </w:tr>
    </w:tbl>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方正仿宋_GBK" w:hAnsi="宋体" w:eastAsia="方正仿宋_GBK" w:cs="Arial"/>
          <w:sz w:val="24"/>
        </w:rPr>
      </w:pPr>
    </w:p>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方正仿宋_GBK" w:hAnsi="宋体" w:eastAsia="方正仿宋_GBK" w:cs="Arial"/>
          <w:sz w:val="24"/>
        </w:rPr>
      </w:pPr>
    </w:p>
    <w:p>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方正仿宋_GBK" w:hAnsi="宋体" w:eastAsia="方正仿宋_GBK" w:cs="Arial"/>
          <w:sz w:val="24"/>
        </w:rPr>
      </w:pPr>
      <w:r>
        <w:rPr>
          <w:rFonts w:hint="eastAsia" w:ascii="方正仿宋_GBK" w:hAnsi="宋体" w:eastAsia="方正仿宋_GBK" w:cs="Arial"/>
          <w:sz w:val="24"/>
        </w:rPr>
        <w:br w:type="page"/>
      </w:r>
    </w:p>
    <w:p>
      <w:pPr>
        <w:pStyle w:val="16"/>
        <w:spacing w:line="360" w:lineRule="exact"/>
        <w:ind w:left="0" w:leftChars="0" w:firstLine="0" w:firstLineChars="0"/>
        <w:jc w:val="center"/>
        <w:rPr>
          <w:rFonts w:hint="eastAsia"/>
          <w:b/>
        </w:rPr>
      </w:pPr>
      <w:r>
        <w:rPr>
          <w:rFonts w:hint="eastAsia"/>
          <w:b/>
        </w:rPr>
        <w:t>第五章 合同格式</w:t>
      </w:r>
      <w:bookmarkEnd w:id="7"/>
    </w:p>
    <w:p>
      <w:pPr>
        <w:snapToGrid w:val="0"/>
        <w:spacing w:line="400" w:lineRule="exact"/>
        <w:ind w:firstLine="560" w:firstLineChars="200"/>
        <w:jc w:val="center"/>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采购合同</w:t>
      </w:r>
    </w:p>
    <w:p>
      <w:pPr>
        <w:pStyle w:val="8"/>
        <w:snapToGrid w:val="0"/>
        <w:spacing w:line="400" w:lineRule="exact"/>
        <w:ind w:firstLine="560" w:firstLineChars="200"/>
        <w:rPr>
          <w:rFonts w:hint="eastAsia" w:ascii="方正仿宋_GBK" w:hAnsi="方正仿宋_GBK" w:eastAsia="方正仿宋_GBK" w:cs="方正仿宋_GBK"/>
          <w:kern w:val="2"/>
          <w:sz w:val="28"/>
          <w:szCs w:val="28"/>
          <w:lang w:val="en-US" w:eastAsia="zh-CN" w:bidi="ar-SA"/>
        </w:rPr>
      </w:pPr>
    </w:p>
    <w:p>
      <w:pPr>
        <w:pStyle w:val="8"/>
        <w:snapToGrid w:val="0"/>
        <w:spacing w:line="400" w:lineRule="exact"/>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合同编号：方源集团JY-2024-04            </w:t>
      </w:r>
    </w:p>
    <w:p>
      <w:pPr>
        <w:pStyle w:val="8"/>
        <w:snapToGrid w:val="0"/>
        <w:spacing w:line="400" w:lineRule="exact"/>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甲方：江苏方源集团有限公司            </w:t>
      </w:r>
    </w:p>
    <w:p>
      <w:pPr>
        <w:pStyle w:val="8"/>
        <w:snapToGrid w:val="0"/>
        <w:spacing w:line="400" w:lineRule="exact"/>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住所地：南京市清凉门大街188号    </w:t>
      </w:r>
    </w:p>
    <w:p>
      <w:pPr>
        <w:pStyle w:val="8"/>
        <w:snapToGrid w:val="0"/>
        <w:spacing w:line="400" w:lineRule="exact"/>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法定代表人（授权委托人）：潘道田</w:t>
      </w:r>
    </w:p>
    <w:p>
      <w:pPr>
        <w:pStyle w:val="8"/>
        <w:snapToGrid w:val="0"/>
        <w:spacing w:line="400" w:lineRule="exact"/>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电话：025-86265187               </w:t>
      </w:r>
    </w:p>
    <w:p>
      <w:pPr>
        <w:pStyle w:val="8"/>
        <w:snapToGrid w:val="0"/>
        <w:spacing w:line="400" w:lineRule="exact"/>
        <w:ind w:firstLine="560" w:firstLineChars="200"/>
        <w:rPr>
          <w:rFonts w:hint="eastAsia" w:ascii="方正仿宋_GBK" w:hAnsi="方正仿宋_GBK" w:eastAsia="方正仿宋_GBK" w:cs="方正仿宋_GBK"/>
          <w:kern w:val="2"/>
          <w:sz w:val="28"/>
          <w:szCs w:val="28"/>
          <w:lang w:val="en-US" w:eastAsia="zh-CN" w:bidi="ar-SA"/>
        </w:rPr>
      </w:pPr>
    </w:p>
    <w:p>
      <w:pPr>
        <w:pStyle w:val="8"/>
        <w:snapToGrid w:val="0"/>
        <w:spacing w:line="400" w:lineRule="exact"/>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乙方： </w:t>
      </w:r>
    </w:p>
    <w:p>
      <w:pPr>
        <w:pStyle w:val="8"/>
        <w:snapToGrid w:val="0"/>
        <w:spacing w:line="400" w:lineRule="exact"/>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住所地：</w:t>
      </w:r>
    </w:p>
    <w:p>
      <w:pPr>
        <w:pStyle w:val="8"/>
        <w:snapToGrid w:val="0"/>
        <w:spacing w:line="400" w:lineRule="exact"/>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法定代表人：</w:t>
      </w:r>
    </w:p>
    <w:p>
      <w:pPr>
        <w:pStyle w:val="8"/>
        <w:snapToGrid w:val="0"/>
        <w:spacing w:line="400" w:lineRule="exact"/>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电话：</w:t>
      </w:r>
    </w:p>
    <w:p>
      <w:pPr>
        <w:pStyle w:val="8"/>
        <w:snapToGrid w:val="0"/>
        <w:spacing w:line="400" w:lineRule="exact"/>
        <w:ind w:firstLine="560" w:firstLineChars="200"/>
        <w:rPr>
          <w:rFonts w:hint="eastAsia" w:ascii="方正仿宋_GBK" w:hAnsi="方正仿宋_GBK" w:eastAsia="方正仿宋_GBK" w:cs="方正仿宋_GBK"/>
          <w:kern w:val="2"/>
          <w:sz w:val="28"/>
          <w:szCs w:val="28"/>
          <w:lang w:val="en-US" w:eastAsia="zh-CN" w:bidi="ar-SA"/>
        </w:rPr>
      </w:pPr>
    </w:p>
    <w:p>
      <w:pPr>
        <w:pStyle w:val="8"/>
        <w:snapToGrid w:val="0"/>
        <w:spacing w:line="400" w:lineRule="exact"/>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甲、乙双方根据消防水泵控制柜更新服务项目采购结果，签署本合同。</w:t>
      </w:r>
    </w:p>
    <w:p>
      <w:pPr>
        <w:keepNext w:val="0"/>
        <w:keepLines w:val="0"/>
        <w:pageBreakBefore w:val="0"/>
        <w:widowControl w:val="0"/>
        <w:kinsoku/>
        <w:wordWrap/>
        <w:overflowPunct/>
        <w:topLinePunct w:val="0"/>
        <w:autoSpaceDE/>
        <w:autoSpaceDN/>
        <w:bidi w:val="0"/>
        <w:adjustRightInd/>
        <w:snapToGrid w:val="0"/>
        <w:spacing w:line="340" w:lineRule="exact"/>
        <w:ind w:firstLine="562"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bCs/>
          <w:sz w:val="28"/>
          <w:szCs w:val="28"/>
          <w:lang w:val="en-US" w:eastAsia="zh-CN"/>
        </w:rPr>
        <w:t>一、施工地点：</w:t>
      </w:r>
      <w:r>
        <w:rPr>
          <w:rFonts w:hint="eastAsia" w:ascii="方正仿宋_GBK" w:hAnsi="方正仿宋_GBK" w:eastAsia="方正仿宋_GBK" w:cs="方正仿宋_GBK"/>
          <w:sz w:val="28"/>
          <w:szCs w:val="28"/>
          <w:lang w:val="en-US" w:eastAsia="zh-CN"/>
        </w:rPr>
        <w:t>南京市鼓楼区清凉门大街188号</w:t>
      </w:r>
    </w:p>
    <w:p>
      <w:pPr>
        <w:keepNext w:val="0"/>
        <w:keepLines w:val="0"/>
        <w:pageBreakBefore w:val="0"/>
        <w:widowControl w:val="0"/>
        <w:kinsoku/>
        <w:wordWrap/>
        <w:overflowPunct/>
        <w:topLinePunct w:val="0"/>
        <w:autoSpaceDE/>
        <w:autoSpaceDN/>
        <w:bidi w:val="0"/>
        <w:adjustRightInd/>
        <w:snapToGrid w:val="0"/>
        <w:spacing w:line="340" w:lineRule="exact"/>
        <w:ind w:firstLine="562" w:firstLineChars="200"/>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eastAsia="zh-CN"/>
        </w:rPr>
        <w:t>二</w:t>
      </w:r>
      <w:r>
        <w:rPr>
          <w:rFonts w:hint="eastAsia" w:ascii="方正仿宋_GBK" w:hAnsi="方正仿宋_GBK" w:eastAsia="方正仿宋_GBK" w:cs="方正仿宋_GBK"/>
          <w:b/>
          <w:bCs/>
          <w:sz w:val="28"/>
          <w:szCs w:val="28"/>
        </w:rPr>
        <w:t>.施工方案及要求</w:t>
      </w:r>
    </w:p>
    <w:p>
      <w:pPr>
        <w:keepNext w:val="0"/>
        <w:keepLines w:val="0"/>
        <w:pageBreakBefore w:val="0"/>
        <w:widowControl w:val="0"/>
        <w:kinsoku/>
        <w:wordWrap/>
        <w:overflowPunct/>
        <w:topLinePunct w:val="0"/>
        <w:autoSpaceDE/>
        <w:autoSpaceDN/>
        <w:bidi w:val="0"/>
        <w:adjustRightInd/>
        <w:snapToGrid w:val="0"/>
        <w:spacing w:line="34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1.保留系统原有主电源线路和水泵设备线路。</w:t>
      </w:r>
    </w:p>
    <w:p>
      <w:pPr>
        <w:keepNext w:val="0"/>
        <w:keepLines w:val="0"/>
        <w:pageBreakBefore w:val="0"/>
        <w:widowControl w:val="0"/>
        <w:kinsoku/>
        <w:wordWrap/>
        <w:overflowPunct/>
        <w:topLinePunct w:val="0"/>
        <w:autoSpaceDE/>
        <w:autoSpaceDN/>
        <w:bidi w:val="0"/>
        <w:adjustRightInd/>
        <w:snapToGrid w:val="0"/>
        <w:spacing w:line="34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2.拆除1台电源柜和2台控制柜。</w:t>
      </w:r>
    </w:p>
    <w:p>
      <w:pPr>
        <w:keepNext w:val="0"/>
        <w:keepLines w:val="0"/>
        <w:pageBreakBefore w:val="0"/>
        <w:widowControl w:val="0"/>
        <w:kinsoku/>
        <w:wordWrap/>
        <w:overflowPunct/>
        <w:topLinePunct w:val="0"/>
        <w:autoSpaceDE/>
        <w:autoSpaceDN/>
        <w:bidi w:val="0"/>
        <w:adjustRightInd/>
        <w:snapToGrid w:val="0"/>
        <w:spacing w:line="34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 柜底坑采用水泥砂浆填实，铺地砖，注意用尼龙管保护设备线路。</w:t>
      </w:r>
    </w:p>
    <w:p>
      <w:pPr>
        <w:keepNext w:val="0"/>
        <w:keepLines w:val="0"/>
        <w:pageBreakBefore w:val="0"/>
        <w:widowControl w:val="0"/>
        <w:kinsoku/>
        <w:wordWrap/>
        <w:overflowPunct/>
        <w:topLinePunct w:val="0"/>
        <w:autoSpaceDE/>
        <w:autoSpaceDN/>
        <w:bidi w:val="0"/>
        <w:adjustRightInd/>
        <w:snapToGrid w:val="0"/>
        <w:spacing w:line="34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 新置1台电源控制柜：总容量300A，分三路总闸开关，容量分别为150A、150A、60A（配2路三相25A、4路单相16A开关）。</w:t>
      </w:r>
    </w:p>
    <w:p>
      <w:pPr>
        <w:keepNext w:val="0"/>
        <w:keepLines w:val="0"/>
        <w:pageBreakBefore w:val="0"/>
        <w:widowControl w:val="0"/>
        <w:kinsoku/>
        <w:wordWrap/>
        <w:overflowPunct/>
        <w:topLinePunct w:val="0"/>
        <w:autoSpaceDE/>
        <w:autoSpaceDN/>
        <w:bidi w:val="0"/>
        <w:adjustRightInd/>
        <w:snapToGrid w:val="0"/>
        <w:spacing w:line="34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5. 新置1台消火栓水泵控制柜：容量100A，控制设备为两组消火栓水泵，两组互为主备。消防新规CCCF一对一认证，提供国家消防检测报告 身份识别AB签.</w:t>
      </w:r>
    </w:p>
    <w:p>
      <w:pPr>
        <w:keepNext w:val="0"/>
        <w:keepLines w:val="0"/>
        <w:pageBreakBefore w:val="0"/>
        <w:widowControl w:val="0"/>
        <w:kinsoku/>
        <w:wordWrap/>
        <w:overflowPunct/>
        <w:topLinePunct w:val="0"/>
        <w:autoSpaceDE/>
        <w:autoSpaceDN/>
        <w:bidi w:val="0"/>
        <w:adjustRightInd/>
        <w:snapToGrid w:val="0"/>
        <w:spacing w:line="34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 新置1台喷淋水泵控制柜：容量100A，控制设备为两组喷淋水泵，两组互为主备。消防新规CCCF一对一认证，提供国家消防检测报告 身份识别AB签.</w:t>
      </w:r>
    </w:p>
    <w:p>
      <w:pPr>
        <w:keepNext w:val="0"/>
        <w:keepLines w:val="0"/>
        <w:pageBreakBefore w:val="0"/>
        <w:widowControl w:val="0"/>
        <w:kinsoku/>
        <w:wordWrap/>
        <w:overflowPunct/>
        <w:topLinePunct w:val="0"/>
        <w:autoSpaceDE/>
        <w:autoSpaceDN/>
        <w:bidi w:val="0"/>
        <w:adjustRightInd/>
        <w:snapToGrid w:val="0"/>
        <w:spacing w:line="34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 新置1台远程控制转换箱，主要功能是配套消防主机联动及反馈、喷淋压力开关启停及反馈、消火栓低压开关远程启停和自动启停及反馈。（在用消防主机型号为“松江JB9108A）</w:t>
      </w:r>
    </w:p>
    <w:p>
      <w:pPr>
        <w:keepNext w:val="0"/>
        <w:keepLines w:val="0"/>
        <w:pageBreakBefore w:val="0"/>
        <w:widowControl w:val="0"/>
        <w:kinsoku/>
        <w:wordWrap/>
        <w:overflowPunct/>
        <w:topLinePunct w:val="0"/>
        <w:autoSpaceDE/>
        <w:autoSpaceDN/>
        <w:bidi w:val="0"/>
        <w:adjustRightInd/>
        <w:snapToGrid w:val="0"/>
        <w:spacing w:line="34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 安装消火栓泵出水管低压开关连锁启动装置。</w:t>
      </w:r>
    </w:p>
    <w:p>
      <w:pPr>
        <w:keepNext w:val="0"/>
        <w:keepLines w:val="0"/>
        <w:pageBreakBefore w:val="0"/>
        <w:widowControl w:val="0"/>
        <w:kinsoku/>
        <w:wordWrap/>
        <w:overflowPunct/>
        <w:topLinePunct w:val="0"/>
        <w:autoSpaceDE/>
        <w:autoSpaceDN/>
        <w:bidi w:val="0"/>
        <w:adjustRightInd/>
        <w:snapToGrid w:val="0"/>
        <w:spacing w:line="34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9.原有非消防设备用电线路和控制部件的恢复，包括材料和人工，需达到原先功能要求。</w:t>
      </w:r>
    </w:p>
    <w:p>
      <w:pPr>
        <w:keepNext w:val="0"/>
        <w:keepLines w:val="0"/>
        <w:pageBreakBefore w:val="0"/>
        <w:widowControl w:val="0"/>
        <w:kinsoku/>
        <w:wordWrap/>
        <w:overflowPunct/>
        <w:topLinePunct w:val="0"/>
        <w:autoSpaceDE/>
        <w:autoSpaceDN/>
        <w:bidi w:val="0"/>
        <w:adjustRightInd/>
        <w:snapToGrid w:val="0"/>
        <w:spacing w:line="34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10.系统安装调试。</w:t>
      </w:r>
    </w:p>
    <w:p>
      <w:pPr>
        <w:keepNext w:val="0"/>
        <w:keepLines w:val="0"/>
        <w:pageBreakBefore w:val="0"/>
        <w:widowControl w:val="0"/>
        <w:kinsoku/>
        <w:wordWrap/>
        <w:overflowPunct/>
        <w:topLinePunct w:val="0"/>
        <w:autoSpaceDE/>
        <w:autoSpaceDN/>
        <w:bidi w:val="0"/>
        <w:adjustRightInd/>
        <w:snapToGrid w:val="0"/>
        <w:spacing w:line="34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电源柜、消火栓控制柜、喷淋水泵控制柜、远程控制转换箱，施工单位须提供相应图纸（柜体尺寸图、二次回路图、柜内部件布置图、远程控制系统图等），甲方认可后按图定制或购置，进入甲方施工现场之前须由甲方对以上设备进行预验收，合格后方可进行安装。</w:t>
      </w:r>
    </w:p>
    <w:p>
      <w:pPr>
        <w:keepNext w:val="0"/>
        <w:keepLines w:val="0"/>
        <w:pageBreakBefore w:val="0"/>
        <w:widowControl w:val="0"/>
        <w:kinsoku/>
        <w:wordWrap/>
        <w:overflowPunct/>
        <w:topLinePunct w:val="0"/>
        <w:autoSpaceDE/>
        <w:autoSpaceDN/>
        <w:bidi w:val="0"/>
        <w:adjustRightInd/>
        <w:snapToGrid w:val="0"/>
        <w:spacing w:line="34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12.电源柜、控制柜制作安装参照标准：GB6245-2006。</w:t>
      </w:r>
    </w:p>
    <w:p>
      <w:pPr>
        <w:keepNext w:val="0"/>
        <w:keepLines w:val="0"/>
        <w:pageBreakBefore w:val="0"/>
        <w:widowControl w:val="0"/>
        <w:kinsoku/>
        <w:wordWrap/>
        <w:overflowPunct/>
        <w:topLinePunct w:val="0"/>
        <w:autoSpaceDE/>
        <w:autoSpaceDN/>
        <w:bidi w:val="0"/>
        <w:adjustRightInd/>
        <w:snapToGrid w:val="0"/>
        <w:spacing w:line="340" w:lineRule="exact"/>
        <w:ind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13.</w:t>
      </w:r>
      <w:r>
        <w:rPr>
          <w:rFonts w:hint="eastAsia" w:ascii="方正仿宋_GBK" w:hAnsi="方正仿宋_GBK" w:eastAsia="方正仿宋_GBK" w:cs="方正仿宋_GBK"/>
          <w:sz w:val="28"/>
          <w:szCs w:val="28"/>
        </w:rPr>
        <w:t>消防水泵控制柜更新</w:t>
      </w:r>
      <w:r>
        <w:rPr>
          <w:rFonts w:hint="eastAsia" w:ascii="方正仿宋_GBK" w:hAnsi="方正仿宋_GBK" w:eastAsia="方正仿宋_GBK" w:cs="方正仿宋_GBK"/>
          <w:sz w:val="28"/>
          <w:szCs w:val="28"/>
          <w:lang w:eastAsia="zh-CN"/>
        </w:rPr>
        <w:t>工程量</w:t>
      </w:r>
      <w:r>
        <w:rPr>
          <w:rFonts w:hint="eastAsia" w:ascii="方正仿宋_GBK" w:hAnsi="方正仿宋_GBK" w:eastAsia="方正仿宋_GBK" w:cs="方正仿宋_GBK"/>
          <w:sz w:val="28"/>
          <w:szCs w:val="28"/>
        </w:rPr>
        <w:t>清单</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6411"/>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6411" w:type="dxa"/>
          </w:tcPr>
          <w:p>
            <w:pPr>
              <w:keepNext w:val="0"/>
              <w:keepLines w:val="0"/>
              <w:pageBreakBefore w:val="0"/>
              <w:widowControl w:val="0"/>
              <w:kinsoku/>
              <w:wordWrap/>
              <w:overflowPunct/>
              <w:topLinePunct w:val="0"/>
              <w:autoSpaceDE/>
              <w:autoSpaceDN/>
              <w:bidi w:val="0"/>
              <w:adjustRightInd/>
              <w:snapToGrid w:val="0"/>
              <w:spacing w:line="340" w:lineRule="exact"/>
              <w:ind w:firstLine="560" w:firstLineChars="200"/>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名称规格</w:t>
            </w:r>
          </w:p>
        </w:tc>
        <w:tc>
          <w:tcPr>
            <w:tcW w:w="1824" w:type="dxa"/>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6411" w:type="dxa"/>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原控制柜拆除电源柜、消火栓泵控制柜、喷淋水泵控制柜</w:t>
            </w:r>
          </w:p>
        </w:tc>
        <w:tc>
          <w:tcPr>
            <w:tcW w:w="1824" w:type="dxa"/>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c>
          <w:tcPr>
            <w:tcW w:w="6411" w:type="dxa"/>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柜底坑采用水水泥砂浆填实，铺地砖</w:t>
            </w:r>
          </w:p>
        </w:tc>
        <w:tc>
          <w:tcPr>
            <w:tcW w:w="1824" w:type="dxa"/>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p>
        </w:tc>
        <w:tc>
          <w:tcPr>
            <w:tcW w:w="6411" w:type="dxa"/>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电源控制柜：总容量300A，分三路总闸开关，容量分别为150A、150A、60A（配2路三相25A、4路单相16A开关）；配件建议品牌：施耐德、正泰、常开），柜体材料采用国标镀锌金属板材制作，板材厚度不小于1.0 MM，</w:t>
            </w:r>
          </w:p>
        </w:tc>
        <w:tc>
          <w:tcPr>
            <w:tcW w:w="1824" w:type="dxa"/>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p>
        </w:tc>
        <w:tc>
          <w:tcPr>
            <w:tcW w:w="6411" w:type="dxa"/>
          </w:tcPr>
          <w:p>
            <w:pPr>
              <w:keepNext w:val="0"/>
              <w:keepLines w:val="0"/>
              <w:pageBreakBefore w:val="0"/>
              <w:widowControl w:val="0"/>
              <w:kinsoku/>
              <w:wordWrap/>
              <w:overflowPunct/>
              <w:topLinePunct w:val="0"/>
              <w:autoSpaceDE/>
              <w:autoSpaceDN/>
              <w:bidi w:val="0"/>
              <w:adjustRightInd/>
              <w:snapToGrid w:val="0"/>
              <w:spacing w:line="34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消火栓水泵控制柜：容量100A，两组互为主备，配件建议品牌：施耐德、正泰、常开），柜体材料采用国标镀锌金属板材制作，板材厚度不小于1.0 MM</w:t>
            </w:r>
          </w:p>
        </w:tc>
        <w:tc>
          <w:tcPr>
            <w:tcW w:w="1824" w:type="dxa"/>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w:t>
            </w:r>
          </w:p>
        </w:tc>
        <w:tc>
          <w:tcPr>
            <w:tcW w:w="6411" w:type="dxa"/>
          </w:tcPr>
          <w:p>
            <w:pPr>
              <w:keepNext w:val="0"/>
              <w:keepLines w:val="0"/>
              <w:pageBreakBefore w:val="0"/>
              <w:widowControl w:val="0"/>
              <w:kinsoku/>
              <w:wordWrap/>
              <w:overflowPunct/>
              <w:topLinePunct w:val="0"/>
              <w:autoSpaceDE/>
              <w:autoSpaceDN/>
              <w:bidi w:val="0"/>
              <w:adjustRightInd/>
              <w:snapToGrid w:val="0"/>
              <w:spacing w:line="34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喷淋水泵控制柜：容量100A，两组互为主备，配件建议品牌：施耐德、正泰、常开），柜体材料采用国标镀锌金属板材制作，板材厚度不小于1.0 MM</w:t>
            </w:r>
          </w:p>
        </w:tc>
        <w:tc>
          <w:tcPr>
            <w:tcW w:w="1824" w:type="dxa"/>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w:t>
            </w:r>
          </w:p>
        </w:tc>
        <w:tc>
          <w:tcPr>
            <w:tcW w:w="6411" w:type="dxa"/>
          </w:tcPr>
          <w:p>
            <w:pPr>
              <w:keepNext w:val="0"/>
              <w:keepLines w:val="0"/>
              <w:pageBreakBefore w:val="0"/>
              <w:widowControl w:val="0"/>
              <w:kinsoku/>
              <w:wordWrap/>
              <w:overflowPunct/>
              <w:topLinePunct w:val="0"/>
              <w:autoSpaceDE/>
              <w:autoSpaceDN/>
              <w:bidi w:val="0"/>
              <w:adjustRightInd/>
              <w:snapToGrid w:val="0"/>
              <w:spacing w:line="34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远程控制转换箱（配套消防主机、喷淋压力开关、消火栓低压开关远程启动和自动启动），柜体材料采用国标镀锌金属板材制作，板材厚度不小于1.0 MM</w:t>
            </w:r>
          </w:p>
        </w:tc>
        <w:tc>
          <w:tcPr>
            <w:tcW w:w="1824" w:type="dxa"/>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w:t>
            </w:r>
          </w:p>
        </w:tc>
        <w:tc>
          <w:tcPr>
            <w:tcW w:w="6411" w:type="dxa"/>
          </w:tcPr>
          <w:p>
            <w:pPr>
              <w:keepNext w:val="0"/>
              <w:keepLines w:val="0"/>
              <w:pageBreakBefore w:val="0"/>
              <w:widowControl w:val="0"/>
              <w:kinsoku/>
              <w:wordWrap/>
              <w:overflowPunct/>
              <w:topLinePunct w:val="0"/>
              <w:autoSpaceDE/>
              <w:autoSpaceDN/>
              <w:bidi w:val="0"/>
              <w:adjustRightInd/>
              <w:snapToGrid w:val="0"/>
              <w:spacing w:line="34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消火栓泵出水管低压开关连锁启动装置安装（包括设备、线材、管材等）</w:t>
            </w:r>
          </w:p>
        </w:tc>
        <w:tc>
          <w:tcPr>
            <w:tcW w:w="1824" w:type="dxa"/>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w:t>
            </w:r>
          </w:p>
        </w:tc>
        <w:tc>
          <w:tcPr>
            <w:tcW w:w="6411" w:type="dxa"/>
          </w:tcPr>
          <w:p>
            <w:pPr>
              <w:keepNext w:val="0"/>
              <w:keepLines w:val="0"/>
              <w:pageBreakBefore w:val="0"/>
              <w:widowControl w:val="0"/>
              <w:kinsoku/>
              <w:wordWrap/>
              <w:overflowPunct/>
              <w:topLinePunct w:val="0"/>
              <w:autoSpaceDE/>
              <w:autoSpaceDN/>
              <w:bidi w:val="0"/>
              <w:adjustRightInd/>
              <w:snapToGrid w:val="0"/>
              <w:spacing w:line="34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系统连接调试</w:t>
            </w:r>
          </w:p>
        </w:tc>
        <w:tc>
          <w:tcPr>
            <w:tcW w:w="1824" w:type="dxa"/>
          </w:tcPr>
          <w:p>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1项</w:t>
            </w:r>
          </w:p>
        </w:tc>
      </w:tr>
    </w:tbl>
    <w:p>
      <w:pPr>
        <w:keepNext w:val="0"/>
        <w:keepLines w:val="0"/>
        <w:pageBreakBefore w:val="0"/>
        <w:widowControl w:val="0"/>
        <w:kinsoku/>
        <w:wordWrap/>
        <w:overflowPunct/>
        <w:topLinePunct w:val="0"/>
        <w:autoSpaceDE/>
        <w:autoSpaceDN/>
        <w:bidi w:val="0"/>
        <w:adjustRightInd/>
        <w:snapToGrid w:val="0"/>
        <w:spacing w:line="340" w:lineRule="exact"/>
        <w:ind w:firstLine="562" w:firstLineChars="200"/>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eastAsia="zh-CN"/>
        </w:rPr>
        <w:t>三</w:t>
      </w:r>
      <w:r>
        <w:rPr>
          <w:rFonts w:hint="eastAsia" w:ascii="方正仿宋_GBK" w:hAnsi="方正仿宋_GBK" w:eastAsia="方正仿宋_GBK" w:cs="方正仿宋_GBK"/>
          <w:b/>
          <w:bCs/>
          <w:sz w:val="28"/>
          <w:szCs w:val="28"/>
        </w:rPr>
        <w:t>.工期</w:t>
      </w:r>
    </w:p>
    <w:p>
      <w:pPr>
        <w:keepNext w:val="0"/>
        <w:keepLines w:val="0"/>
        <w:pageBreakBefore w:val="0"/>
        <w:widowControl w:val="0"/>
        <w:kinsoku/>
        <w:wordWrap/>
        <w:overflowPunct/>
        <w:topLinePunct w:val="0"/>
        <w:autoSpaceDE/>
        <w:autoSpaceDN/>
        <w:bidi w:val="0"/>
        <w:adjustRightInd/>
        <w:snapToGrid w:val="0"/>
        <w:spacing w:line="34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合同签订</w:t>
      </w:r>
      <w:r>
        <w:rPr>
          <w:rFonts w:hint="eastAsia" w:ascii="方正仿宋_GBK" w:hAnsi="方正仿宋_GBK" w:eastAsia="方正仿宋_GBK" w:cs="方正仿宋_GBK"/>
          <w:sz w:val="28"/>
          <w:szCs w:val="28"/>
          <w:lang w:eastAsia="zh-CN"/>
        </w:rPr>
        <w:t>，经甲方通知施工</w:t>
      </w:r>
      <w:r>
        <w:rPr>
          <w:rFonts w:hint="eastAsia" w:ascii="方正仿宋_GBK" w:hAnsi="方正仿宋_GBK" w:eastAsia="方正仿宋_GBK" w:cs="方正仿宋_GBK"/>
          <w:sz w:val="28"/>
          <w:szCs w:val="28"/>
        </w:rPr>
        <w:t>后20天完成合同内容，系统正常运行。</w:t>
      </w:r>
    </w:p>
    <w:p>
      <w:pPr>
        <w:pageBreakBefore w:val="0"/>
        <w:widowControl w:val="0"/>
        <w:kinsoku/>
        <w:wordWrap/>
        <w:overflowPunct/>
        <w:topLinePunct w:val="0"/>
        <w:autoSpaceDE/>
        <w:autoSpaceDN/>
        <w:bidi w:val="0"/>
        <w:adjustRightInd/>
        <w:spacing w:line="400" w:lineRule="exact"/>
        <w:ind w:firstLine="480"/>
        <w:textAlignment w:val="auto"/>
        <w:rPr>
          <w:rFonts w:hint="eastAsia" w:ascii="方正仿宋_GBK" w:hAnsi="方正仿宋_GBK" w:eastAsia="方正仿宋_GBK" w:cs="方正仿宋_GBK"/>
          <w:b/>
          <w:bCs/>
          <w:kern w:val="2"/>
          <w:sz w:val="28"/>
          <w:szCs w:val="28"/>
          <w:lang w:val="en-US" w:eastAsia="zh-CN" w:bidi="ar-SA"/>
        </w:rPr>
      </w:pPr>
      <w:r>
        <w:rPr>
          <w:rFonts w:hint="eastAsia" w:ascii="方正仿宋_GBK" w:hAnsi="方正仿宋_GBK" w:eastAsia="方正仿宋_GBK" w:cs="方正仿宋_GBK"/>
          <w:b/>
          <w:bCs/>
          <w:kern w:val="2"/>
          <w:sz w:val="28"/>
          <w:szCs w:val="28"/>
          <w:lang w:val="en-US" w:eastAsia="zh-CN" w:bidi="ar-SA"/>
        </w:rPr>
        <w:t>四、合同价款及支付</w:t>
      </w:r>
    </w:p>
    <w:p>
      <w:pPr>
        <w:pageBreakBefore w:val="0"/>
        <w:widowControl w:val="0"/>
        <w:kinsoku/>
        <w:wordWrap/>
        <w:overflowPunct/>
        <w:topLinePunct w:val="0"/>
        <w:autoSpaceDE/>
        <w:autoSpaceDN/>
        <w:bidi w:val="0"/>
        <w:adjustRightInd/>
        <w:spacing w:line="400" w:lineRule="exact"/>
        <w:ind w:firstLine="480"/>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合同总价款为</w:t>
      </w:r>
      <w:r>
        <w:rPr>
          <w:rFonts w:hint="eastAsia" w:ascii="方正仿宋_GBK" w:hAnsi="方正仿宋_GBK" w:eastAsia="方正仿宋_GBK" w:cs="方正仿宋_GBK"/>
          <w:b/>
          <w:bCs/>
          <w:kern w:val="2"/>
          <w:sz w:val="28"/>
          <w:szCs w:val="28"/>
          <w:u w:val="single"/>
          <w:lang w:val="en-US" w:eastAsia="zh-CN" w:bidi="ar-SA"/>
        </w:rPr>
        <w:t>：   元，即人民币     元整。</w:t>
      </w:r>
      <w:r>
        <w:rPr>
          <w:rFonts w:hint="eastAsia" w:ascii="方正仿宋_GBK" w:hAnsi="方正仿宋_GBK" w:eastAsia="方正仿宋_GBK" w:cs="方正仿宋_GBK"/>
          <w:kern w:val="2"/>
          <w:sz w:val="28"/>
          <w:szCs w:val="28"/>
          <w:lang w:val="en-US" w:eastAsia="zh-CN" w:bidi="ar-SA"/>
        </w:rPr>
        <w:t>合同价款的支付为：</w:t>
      </w:r>
    </w:p>
    <w:p>
      <w:pPr>
        <w:pageBreakBefore w:val="0"/>
        <w:widowControl w:val="0"/>
        <w:kinsoku/>
        <w:wordWrap/>
        <w:overflowPunct/>
        <w:topLinePunct w:val="0"/>
        <w:autoSpaceDE/>
        <w:autoSpaceDN/>
        <w:bidi w:val="0"/>
        <w:adjustRightInd/>
        <w:spacing w:line="400" w:lineRule="exact"/>
        <w:ind w:firstLine="560" w:firstLineChars="200"/>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1.甲方验收合格后10个工作日内，支付乙方合同款项，乙方需提供正规发票。</w:t>
      </w:r>
    </w:p>
    <w:p>
      <w:pPr>
        <w:pageBreakBefore w:val="0"/>
        <w:widowControl w:val="0"/>
        <w:kinsoku/>
        <w:wordWrap/>
        <w:overflowPunct/>
        <w:topLinePunct w:val="0"/>
        <w:autoSpaceDE/>
        <w:autoSpaceDN/>
        <w:bidi w:val="0"/>
        <w:adjustRightInd/>
        <w:spacing w:line="400" w:lineRule="exact"/>
        <w:ind w:firstLine="480"/>
        <w:textAlignment w:val="auto"/>
        <w:rPr>
          <w:rFonts w:hint="eastAsia" w:ascii="方正仿宋_GBK" w:hAnsi="方正仿宋_GBK" w:eastAsia="方正仿宋_GBK" w:cs="方正仿宋_GBK"/>
          <w:b/>
          <w:bCs/>
          <w:kern w:val="2"/>
          <w:sz w:val="28"/>
          <w:szCs w:val="28"/>
          <w:lang w:val="en-US" w:eastAsia="zh-CN" w:bidi="ar-SA"/>
        </w:rPr>
      </w:pPr>
      <w:r>
        <w:rPr>
          <w:rFonts w:hint="eastAsia" w:ascii="方正仿宋_GBK" w:hAnsi="方正仿宋_GBK" w:eastAsia="方正仿宋_GBK" w:cs="方正仿宋_GBK"/>
          <w:b/>
          <w:bCs/>
          <w:kern w:val="2"/>
          <w:sz w:val="28"/>
          <w:szCs w:val="28"/>
          <w:lang w:val="en-US" w:eastAsia="zh-CN" w:bidi="ar-SA"/>
        </w:rPr>
        <w:t>五、双方的权利和义务</w:t>
      </w:r>
    </w:p>
    <w:p>
      <w:pPr>
        <w:pageBreakBefore w:val="0"/>
        <w:widowControl w:val="0"/>
        <w:kinsoku/>
        <w:wordWrap/>
        <w:overflowPunct/>
        <w:topLinePunct w:val="0"/>
        <w:autoSpaceDE/>
        <w:autoSpaceDN/>
        <w:bidi w:val="0"/>
        <w:adjustRightInd/>
        <w:spacing w:line="400" w:lineRule="exact"/>
        <w:ind w:firstLine="48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甲方：</w:t>
      </w:r>
    </w:p>
    <w:p>
      <w:pPr>
        <w:pageBreakBefore w:val="0"/>
        <w:widowControl w:val="0"/>
        <w:numPr>
          <w:ilvl w:val="0"/>
          <w:numId w:val="0"/>
        </w:numPr>
        <w:tabs>
          <w:tab w:val="left" w:pos="900"/>
        </w:tabs>
        <w:kinsoku/>
        <w:wordWrap/>
        <w:overflowPunct/>
        <w:topLinePunct w:val="0"/>
        <w:autoSpaceDE/>
        <w:autoSpaceDN/>
        <w:bidi w:val="0"/>
        <w:adjustRightInd/>
        <w:spacing w:line="400" w:lineRule="exact"/>
        <w:ind w:left="480" w:leftChars="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1.有权对乙方的工作进行监督检查，并提出整改意见；</w:t>
      </w:r>
    </w:p>
    <w:p>
      <w:pPr>
        <w:pageBreakBefore w:val="0"/>
        <w:widowControl w:val="0"/>
        <w:numPr>
          <w:ilvl w:val="0"/>
          <w:numId w:val="0"/>
        </w:numPr>
        <w:tabs>
          <w:tab w:val="left" w:pos="900"/>
        </w:tabs>
        <w:kinsoku/>
        <w:wordWrap/>
        <w:overflowPunct/>
        <w:topLinePunct w:val="0"/>
        <w:autoSpaceDE/>
        <w:autoSpaceDN/>
        <w:bidi w:val="0"/>
        <w:adjustRightInd/>
        <w:spacing w:line="400" w:lineRule="exact"/>
        <w:ind w:left="480" w:leftChars="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2.有权监督乙方工作人员按施工方案要求进行；</w:t>
      </w:r>
    </w:p>
    <w:p>
      <w:pPr>
        <w:pageBreakBefore w:val="0"/>
        <w:widowControl w:val="0"/>
        <w:numPr>
          <w:ilvl w:val="0"/>
          <w:numId w:val="0"/>
        </w:numPr>
        <w:tabs>
          <w:tab w:val="left" w:pos="900"/>
        </w:tabs>
        <w:kinsoku/>
        <w:wordWrap/>
        <w:overflowPunct/>
        <w:topLinePunct w:val="0"/>
        <w:autoSpaceDE/>
        <w:autoSpaceDN/>
        <w:bidi w:val="0"/>
        <w:adjustRightInd/>
        <w:spacing w:line="400" w:lineRule="exact"/>
        <w:ind w:left="480" w:leftChars="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3.有权要求乙方人员遵守甲方各项规章制度；</w:t>
      </w:r>
    </w:p>
    <w:p>
      <w:pPr>
        <w:pageBreakBefore w:val="0"/>
        <w:widowControl w:val="0"/>
        <w:numPr>
          <w:ilvl w:val="0"/>
          <w:numId w:val="0"/>
        </w:numPr>
        <w:tabs>
          <w:tab w:val="left" w:pos="900"/>
        </w:tabs>
        <w:kinsoku/>
        <w:wordWrap/>
        <w:overflowPunct/>
        <w:topLinePunct w:val="0"/>
        <w:autoSpaceDE/>
        <w:autoSpaceDN/>
        <w:bidi w:val="0"/>
        <w:adjustRightInd/>
        <w:spacing w:line="400" w:lineRule="exact"/>
        <w:ind w:left="480" w:leftChars="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4.甲方应协助乙方办理进入施工地点所需手续；</w:t>
      </w:r>
    </w:p>
    <w:p>
      <w:pPr>
        <w:pageBreakBefore w:val="0"/>
        <w:widowControl w:val="0"/>
        <w:numPr>
          <w:ilvl w:val="0"/>
          <w:numId w:val="0"/>
        </w:numPr>
        <w:tabs>
          <w:tab w:val="left" w:pos="900"/>
        </w:tabs>
        <w:kinsoku/>
        <w:wordWrap/>
        <w:overflowPunct/>
        <w:topLinePunct w:val="0"/>
        <w:autoSpaceDE/>
        <w:autoSpaceDN/>
        <w:bidi w:val="0"/>
        <w:adjustRightInd/>
        <w:spacing w:line="400" w:lineRule="exact"/>
        <w:ind w:left="480" w:leftChars="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5.及时按合同规定时间支付合同价款。</w:t>
      </w:r>
    </w:p>
    <w:p>
      <w:pPr>
        <w:pageBreakBefore w:val="0"/>
        <w:widowControl w:val="0"/>
        <w:kinsoku/>
        <w:wordWrap/>
        <w:overflowPunct/>
        <w:topLinePunct w:val="0"/>
        <w:autoSpaceDE/>
        <w:autoSpaceDN/>
        <w:bidi w:val="0"/>
        <w:adjustRightInd/>
        <w:spacing w:line="400" w:lineRule="exact"/>
        <w:ind w:left="48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乙方：</w:t>
      </w:r>
    </w:p>
    <w:p>
      <w:pPr>
        <w:pageBreakBefore w:val="0"/>
        <w:widowControl w:val="0"/>
        <w:numPr>
          <w:ilvl w:val="0"/>
          <w:numId w:val="0"/>
        </w:numPr>
        <w:tabs>
          <w:tab w:val="left" w:pos="900"/>
        </w:tabs>
        <w:kinsoku/>
        <w:wordWrap/>
        <w:overflowPunct/>
        <w:topLinePunct w:val="0"/>
        <w:autoSpaceDE/>
        <w:autoSpaceDN/>
        <w:bidi w:val="0"/>
        <w:adjustRightInd/>
        <w:spacing w:line="400" w:lineRule="exact"/>
        <w:ind w:left="480" w:leftChars="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1.必须按施工方案要求进行安装；</w:t>
      </w:r>
    </w:p>
    <w:p>
      <w:pPr>
        <w:pageBreakBefore w:val="0"/>
        <w:widowControl w:val="0"/>
        <w:numPr>
          <w:ilvl w:val="0"/>
          <w:numId w:val="0"/>
        </w:numPr>
        <w:tabs>
          <w:tab w:val="left" w:pos="900"/>
        </w:tabs>
        <w:kinsoku/>
        <w:wordWrap/>
        <w:overflowPunct/>
        <w:topLinePunct w:val="0"/>
        <w:autoSpaceDE/>
        <w:autoSpaceDN/>
        <w:bidi w:val="0"/>
        <w:adjustRightInd/>
        <w:spacing w:line="400" w:lineRule="exact"/>
        <w:ind w:left="480" w:leftChars="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2.遵守甲方各项规章制度以及安全生产的各项规定，施工人员须做进出登记，报甲方确认。</w:t>
      </w:r>
    </w:p>
    <w:p>
      <w:pPr>
        <w:pageBreakBefore w:val="0"/>
        <w:widowControl w:val="0"/>
        <w:numPr>
          <w:ilvl w:val="0"/>
          <w:numId w:val="0"/>
        </w:numPr>
        <w:tabs>
          <w:tab w:val="left" w:pos="900"/>
        </w:tabs>
        <w:kinsoku/>
        <w:wordWrap/>
        <w:overflowPunct/>
        <w:topLinePunct w:val="0"/>
        <w:autoSpaceDE/>
        <w:autoSpaceDN/>
        <w:bidi w:val="0"/>
        <w:adjustRightInd/>
        <w:spacing w:line="400" w:lineRule="exact"/>
        <w:ind w:left="480" w:leftChars="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3.接受甲方对维保过程的监督管理；</w:t>
      </w:r>
    </w:p>
    <w:p>
      <w:pPr>
        <w:pageBreakBefore w:val="0"/>
        <w:widowControl w:val="0"/>
        <w:kinsoku/>
        <w:wordWrap/>
        <w:overflowPunct/>
        <w:topLinePunct w:val="0"/>
        <w:autoSpaceDE/>
        <w:autoSpaceDN/>
        <w:bidi w:val="0"/>
        <w:adjustRightInd/>
        <w:spacing w:line="400" w:lineRule="exact"/>
        <w:ind w:left="480"/>
        <w:textAlignment w:val="auto"/>
        <w:rPr>
          <w:rFonts w:hint="eastAsia" w:ascii="方正仿宋_GBK" w:hAnsi="方正仿宋_GBK" w:eastAsia="方正仿宋_GBK" w:cs="方正仿宋_GBK"/>
          <w:b/>
          <w:bCs/>
          <w:color w:val="auto"/>
          <w:kern w:val="2"/>
          <w:sz w:val="28"/>
          <w:szCs w:val="28"/>
          <w:lang w:val="en-US" w:eastAsia="zh-CN" w:bidi="ar-SA"/>
        </w:rPr>
      </w:pPr>
      <w:r>
        <w:rPr>
          <w:rFonts w:hint="eastAsia" w:ascii="方正仿宋_GBK" w:hAnsi="方正仿宋_GBK" w:eastAsia="方正仿宋_GBK" w:cs="方正仿宋_GBK"/>
          <w:b/>
          <w:bCs/>
          <w:color w:val="auto"/>
          <w:kern w:val="2"/>
          <w:sz w:val="28"/>
          <w:szCs w:val="28"/>
          <w:lang w:val="en-US" w:eastAsia="zh-CN" w:bidi="ar-SA"/>
        </w:rPr>
        <w:t>六、安全作业</w:t>
      </w:r>
    </w:p>
    <w:p>
      <w:pPr>
        <w:pageBreakBefore w:val="0"/>
        <w:widowControl w:val="0"/>
        <w:kinsoku/>
        <w:wordWrap/>
        <w:overflowPunct/>
        <w:topLinePunct w:val="0"/>
        <w:autoSpaceDE/>
        <w:autoSpaceDN/>
        <w:bidi w:val="0"/>
        <w:adjustRightInd/>
        <w:spacing w:line="400" w:lineRule="exact"/>
        <w:ind w:firstLine="420" w:firstLineChars="15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乙方必须按规范操作，遵守甲方规章制度，如发生施工安全问题，乙方自行承担损失和相应责任。乙方若违规作业造成甲方损失的，由乙方承担赔偿责任。</w:t>
      </w:r>
    </w:p>
    <w:p>
      <w:pPr>
        <w:pageBreakBefore w:val="0"/>
        <w:widowControl w:val="0"/>
        <w:kinsoku/>
        <w:wordWrap/>
        <w:overflowPunct/>
        <w:topLinePunct w:val="0"/>
        <w:autoSpaceDE/>
        <w:autoSpaceDN/>
        <w:bidi w:val="0"/>
        <w:adjustRightInd/>
        <w:spacing w:line="400" w:lineRule="exact"/>
        <w:ind w:left="481" w:leftChars="229" w:firstLine="140" w:firstLineChars="50"/>
        <w:textAlignment w:val="auto"/>
        <w:rPr>
          <w:rFonts w:hint="eastAsia" w:ascii="方正仿宋_GBK" w:hAnsi="方正仿宋_GBK" w:eastAsia="方正仿宋_GBK" w:cs="方正仿宋_GBK"/>
          <w:b/>
          <w:bCs/>
          <w:color w:val="auto"/>
          <w:kern w:val="2"/>
          <w:sz w:val="28"/>
          <w:szCs w:val="28"/>
          <w:lang w:val="en-US" w:eastAsia="zh-CN" w:bidi="ar-SA"/>
        </w:rPr>
      </w:pPr>
      <w:r>
        <w:rPr>
          <w:rFonts w:hint="eastAsia" w:ascii="方正仿宋_GBK" w:hAnsi="方正仿宋_GBK" w:eastAsia="方正仿宋_GBK" w:cs="方正仿宋_GBK"/>
          <w:b/>
          <w:bCs/>
          <w:color w:val="auto"/>
          <w:kern w:val="2"/>
          <w:sz w:val="28"/>
          <w:szCs w:val="28"/>
          <w:lang w:val="en-US" w:eastAsia="zh-CN" w:bidi="ar-SA"/>
        </w:rPr>
        <w:t>七、纠纷解决</w:t>
      </w:r>
    </w:p>
    <w:p>
      <w:pPr>
        <w:pageBreakBefore w:val="0"/>
        <w:widowControl w:val="0"/>
        <w:kinsoku/>
        <w:wordWrap/>
        <w:overflowPunct/>
        <w:topLinePunct w:val="0"/>
        <w:autoSpaceDE/>
        <w:autoSpaceDN/>
        <w:bidi w:val="0"/>
        <w:adjustRightInd/>
        <w:spacing w:line="400" w:lineRule="exact"/>
        <w:ind w:firstLine="560" w:firstLineChars="20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双方在执行合同中所发生的一切争议，应通过协商解决。如协商不成，可向合同签订地法院起诉，合同签订地在此约定为</w:t>
      </w:r>
      <w:r>
        <w:rPr>
          <w:rFonts w:hint="eastAsia" w:ascii="方正仿宋_GBK" w:hAnsi="方正仿宋_GBK" w:eastAsia="方正仿宋_GBK" w:cs="方正仿宋_GBK"/>
          <w:color w:val="auto"/>
          <w:kern w:val="2"/>
          <w:sz w:val="28"/>
          <w:szCs w:val="28"/>
          <w:u w:val="single"/>
          <w:lang w:val="en-US" w:eastAsia="zh-CN" w:bidi="ar-SA"/>
        </w:rPr>
        <w:t>南京市鼓楼区</w:t>
      </w:r>
      <w:r>
        <w:rPr>
          <w:rFonts w:hint="eastAsia" w:ascii="方正仿宋_GBK" w:hAnsi="方正仿宋_GBK" w:eastAsia="方正仿宋_GBK" w:cs="方正仿宋_GBK"/>
          <w:color w:val="auto"/>
          <w:kern w:val="2"/>
          <w:sz w:val="28"/>
          <w:szCs w:val="28"/>
          <w:lang w:val="en-US" w:eastAsia="zh-CN" w:bidi="ar-SA"/>
        </w:rPr>
        <w:t>。</w:t>
      </w:r>
    </w:p>
    <w:p>
      <w:pPr>
        <w:pageBreakBefore w:val="0"/>
        <w:widowControl w:val="0"/>
        <w:kinsoku/>
        <w:wordWrap/>
        <w:overflowPunct/>
        <w:topLinePunct w:val="0"/>
        <w:autoSpaceDE/>
        <w:autoSpaceDN/>
        <w:bidi w:val="0"/>
        <w:adjustRightInd/>
        <w:spacing w:line="400" w:lineRule="exact"/>
        <w:ind w:left="481" w:leftChars="229" w:firstLine="140" w:firstLineChars="50"/>
        <w:textAlignment w:val="auto"/>
        <w:rPr>
          <w:rFonts w:hint="eastAsia" w:ascii="方正仿宋_GBK" w:hAnsi="方正仿宋_GBK" w:eastAsia="方正仿宋_GBK" w:cs="方正仿宋_GBK"/>
          <w:b/>
          <w:bCs/>
          <w:color w:val="auto"/>
          <w:kern w:val="2"/>
          <w:sz w:val="28"/>
          <w:szCs w:val="28"/>
          <w:lang w:val="en-US" w:eastAsia="zh-CN" w:bidi="ar-SA"/>
        </w:rPr>
      </w:pPr>
      <w:r>
        <w:rPr>
          <w:rFonts w:hint="eastAsia" w:ascii="方正仿宋_GBK" w:hAnsi="方正仿宋_GBK" w:eastAsia="方正仿宋_GBK" w:cs="方正仿宋_GBK"/>
          <w:b/>
          <w:bCs/>
          <w:color w:val="auto"/>
          <w:kern w:val="2"/>
          <w:sz w:val="28"/>
          <w:szCs w:val="28"/>
          <w:lang w:val="en-US" w:eastAsia="zh-CN" w:bidi="ar-SA"/>
        </w:rPr>
        <w:t>八、其他</w:t>
      </w:r>
    </w:p>
    <w:p>
      <w:pPr>
        <w:pageBreakBefore w:val="0"/>
        <w:widowControl w:val="0"/>
        <w:kinsoku/>
        <w:wordWrap/>
        <w:overflowPunct/>
        <w:topLinePunct w:val="0"/>
        <w:autoSpaceDE/>
        <w:autoSpaceDN/>
        <w:bidi w:val="0"/>
        <w:adjustRightInd/>
        <w:spacing w:line="400" w:lineRule="exact"/>
        <w:ind w:firstLine="560" w:firstLineChars="20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在合同有效期内，任何一方因不可抗力事件导致不能履行合同，则合同履行期延长，其延长期与不可抗力影响期相同。不可抗力事件发生后，应立即通知对方，并寄送有关权威机构出具的证明。不可抗力事件延续120天以上，双方应通过友好协商，确定是否继续履行合同。</w:t>
      </w:r>
    </w:p>
    <w:p>
      <w:pPr>
        <w:pageBreakBefore w:val="0"/>
        <w:widowControl w:val="0"/>
        <w:kinsoku/>
        <w:wordWrap/>
        <w:overflowPunct/>
        <w:topLinePunct w:val="0"/>
        <w:autoSpaceDE/>
        <w:autoSpaceDN/>
        <w:bidi w:val="0"/>
        <w:adjustRightInd/>
        <w:spacing w:line="400" w:lineRule="exact"/>
        <w:ind w:firstLine="560" w:firstLineChars="20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本合同经双方签字并盖章后生效；维保期满并结清全部工程款后终止。</w:t>
      </w:r>
    </w:p>
    <w:p>
      <w:pPr>
        <w:pageBreakBefore w:val="0"/>
        <w:widowControl w:val="0"/>
        <w:kinsoku/>
        <w:wordWrap/>
        <w:overflowPunct/>
        <w:topLinePunct w:val="0"/>
        <w:autoSpaceDE/>
        <w:autoSpaceDN/>
        <w:bidi w:val="0"/>
        <w:adjustRightInd/>
        <w:spacing w:line="400" w:lineRule="exact"/>
        <w:ind w:firstLine="560" w:firstLineChars="20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本合同一式四份，甲乙双方各执两份。</w:t>
      </w:r>
    </w:p>
    <w:p>
      <w:pPr>
        <w:pStyle w:val="8"/>
        <w:snapToGrid w:val="0"/>
        <w:spacing w:line="400" w:lineRule="exact"/>
        <w:ind w:firstLine="560" w:firstLineChars="200"/>
        <w:rPr>
          <w:rFonts w:hint="eastAsia" w:ascii="方正仿宋_GBK" w:hAnsi="方正仿宋_GBK" w:eastAsia="方正仿宋_GBK" w:cs="方正仿宋_GBK"/>
          <w:color w:val="auto"/>
          <w:kern w:val="2"/>
          <w:sz w:val="28"/>
          <w:szCs w:val="28"/>
          <w:lang w:val="en-US" w:eastAsia="zh-CN" w:bidi="ar-SA"/>
        </w:rPr>
      </w:pPr>
    </w:p>
    <w:p>
      <w:pPr>
        <w:pStyle w:val="8"/>
        <w:snapToGrid w:val="0"/>
        <w:spacing w:line="400" w:lineRule="exact"/>
        <w:ind w:firstLine="560" w:firstLineChars="2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甲方：江苏方源集团有限公司          乙方：</w:t>
      </w:r>
    </w:p>
    <w:p>
      <w:pPr>
        <w:pStyle w:val="8"/>
        <w:snapToGrid w:val="0"/>
        <w:spacing w:line="400" w:lineRule="exact"/>
        <w:ind w:firstLine="560" w:firstLineChars="2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 xml:space="preserve"> </w:t>
      </w:r>
    </w:p>
    <w:p>
      <w:pPr>
        <w:pageBreakBefore w:val="0"/>
        <w:widowControl w:val="0"/>
        <w:kinsoku/>
        <w:wordWrap/>
        <w:overflowPunct/>
        <w:topLinePunct w:val="0"/>
        <w:autoSpaceDE/>
        <w:autoSpaceDN/>
        <w:bidi w:val="0"/>
        <w:adjustRightInd/>
        <w:spacing w:line="400" w:lineRule="exact"/>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 xml:space="preserve">    法定代表人或授权代表：       法定代表人或授权代表：</w:t>
      </w:r>
    </w:p>
    <w:p>
      <w:pPr>
        <w:pageBreakBefore w:val="0"/>
        <w:widowControl w:val="0"/>
        <w:kinsoku/>
        <w:wordWrap/>
        <w:overflowPunct/>
        <w:topLinePunct w:val="0"/>
        <w:autoSpaceDE/>
        <w:autoSpaceDN/>
        <w:bidi w:val="0"/>
        <w:adjustRightInd/>
        <w:spacing w:line="400" w:lineRule="exact"/>
        <w:ind w:firstLine="560" w:firstLineChars="20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 xml:space="preserve"> </w:t>
      </w:r>
    </w:p>
    <w:p>
      <w:pPr>
        <w:pageBreakBefore w:val="0"/>
        <w:widowControl w:val="0"/>
        <w:kinsoku/>
        <w:wordWrap/>
        <w:overflowPunct/>
        <w:topLinePunct w:val="0"/>
        <w:autoSpaceDE/>
        <w:autoSpaceDN/>
        <w:bidi w:val="0"/>
        <w:adjustRightInd/>
        <w:spacing w:line="400" w:lineRule="exact"/>
        <w:ind w:firstLine="560" w:firstLineChars="200"/>
        <w:textAlignment w:val="auto"/>
        <w:rPr>
          <w:rFonts w:hint="eastAsia" w:ascii="方正仿宋_GBK" w:hAnsi="方正仿宋_GBK" w:eastAsia="方正仿宋_GBK" w:cs="方正仿宋_GBK"/>
          <w:color w:val="auto"/>
          <w:kern w:val="2"/>
          <w:sz w:val="28"/>
          <w:szCs w:val="28"/>
          <w:lang w:val="en-US" w:eastAsia="zh-CN" w:bidi="ar-SA"/>
        </w:rPr>
      </w:pPr>
    </w:p>
    <w:p>
      <w:pPr>
        <w:pageBreakBefore w:val="0"/>
        <w:widowControl w:val="0"/>
        <w:kinsoku/>
        <w:wordWrap/>
        <w:overflowPunct/>
        <w:topLinePunct w:val="0"/>
        <w:autoSpaceDE/>
        <w:autoSpaceDN/>
        <w:bidi w:val="0"/>
        <w:adjustRightInd/>
        <w:spacing w:line="400" w:lineRule="exact"/>
        <w:ind w:firstLine="560" w:firstLineChars="20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签订日期：  2024 年  月    日</w:t>
      </w:r>
    </w:p>
    <w:p/>
    <w:p>
      <w:pPr>
        <w:snapToGrid w:val="0"/>
        <w:spacing w:line="400" w:lineRule="exact"/>
        <w:ind w:firstLine="560" w:firstLineChars="200"/>
        <w:rPr>
          <w:rFonts w:hint="eastAsia" w:ascii="方正仿宋_GBK" w:hAnsi="方正仿宋_GBK" w:eastAsia="方正仿宋_GBK" w:cs="方正仿宋_GBK"/>
          <w:kern w:val="2"/>
          <w:sz w:val="28"/>
          <w:szCs w:val="28"/>
          <w:lang w:val="en-US" w:eastAsia="zh-CN" w:bidi="ar-SA"/>
        </w:rPr>
      </w:pPr>
    </w:p>
    <w:p>
      <w:pPr>
        <w:snapToGrid w:val="0"/>
        <w:spacing w:line="400" w:lineRule="exact"/>
        <w:ind w:firstLine="560" w:firstLineChars="200"/>
        <w:rPr>
          <w:rFonts w:hint="eastAsia" w:ascii="方正仿宋_GBK" w:hAnsi="方正仿宋_GBK" w:eastAsia="方正仿宋_GBK" w:cs="方正仿宋_GBK"/>
          <w:kern w:val="2"/>
          <w:sz w:val="28"/>
          <w:szCs w:val="28"/>
          <w:lang w:val="en-US" w:eastAsia="zh-CN" w:bidi="ar-SA"/>
        </w:rPr>
      </w:pPr>
    </w:p>
    <w:p>
      <w:pPr>
        <w:snapToGrid w:val="0"/>
        <w:spacing w:line="400" w:lineRule="exact"/>
        <w:ind w:firstLine="560" w:firstLineChars="200"/>
        <w:rPr>
          <w:rFonts w:hint="eastAsia" w:ascii="方正仿宋_GBK" w:hAnsi="方正仿宋_GBK" w:eastAsia="方正仿宋_GBK" w:cs="方正仿宋_GBK"/>
          <w:kern w:val="2"/>
          <w:sz w:val="28"/>
          <w:szCs w:val="28"/>
          <w:lang w:val="en-US" w:eastAsia="zh-CN" w:bidi="ar-SA"/>
        </w:rPr>
      </w:pPr>
    </w:p>
    <w:p>
      <w:pPr>
        <w:snapToGrid w:val="0"/>
        <w:spacing w:line="400" w:lineRule="exact"/>
        <w:ind w:firstLine="560" w:firstLineChars="200"/>
        <w:rPr>
          <w:rFonts w:hint="eastAsia" w:ascii="方正仿宋_GBK" w:hAnsi="方正仿宋_GBK" w:eastAsia="方正仿宋_GBK" w:cs="方正仿宋_GBK"/>
          <w:kern w:val="2"/>
          <w:sz w:val="28"/>
          <w:szCs w:val="28"/>
          <w:lang w:val="en-US" w:eastAsia="zh-CN" w:bidi="ar-SA"/>
        </w:rPr>
      </w:pPr>
    </w:p>
    <w:p>
      <w:pPr>
        <w:snapToGrid w:val="0"/>
        <w:spacing w:line="400" w:lineRule="exact"/>
        <w:ind w:firstLine="560" w:firstLineChars="200"/>
        <w:rPr>
          <w:rFonts w:hint="eastAsia" w:ascii="方正仿宋_GBK" w:hAnsi="方正仿宋_GBK" w:eastAsia="方正仿宋_GBK" w:cs="方正仿宋_GBK"/>
          <w:kern w:val="2"/>
          <w:sz w:val="28"/>
          <w:szCs w:val="28"/>
          <w:lang w:val="en-US" w:eastAsia="zh-CN" w:bidi="ar-SA"/>
        </w:rPr>
      </w:pPr>
    </w:p>
    <w:p>
      <w:pPr>
        <w:snapToGrid w:val="0"/>
        <w:spacing w:line="400" w:lineRule="exact"/>
        <w:ind w:firstLine="560" w:firstLineChars="200"/>
        <w:rPr>
          <w:rFonts w:hint="eastAsia" w:ascii="方正仿宋_GBK" w:hAnsi="方正仿宋_GBK" w:eastAsia="方正仿宋_GBK" w:cs="方正仿宋_GBK"/>
          <w:kern w:val="2"/>
          <w:sz w:val="28"/>
          <w:szCs w:val="28"/>
          <w:lang w:val="en-US" w:eastAsia="zh-CN" w:bidi="ar-SA"/>
        </w:rPr>
      </w:pPr>
    </w:p>
    <w:p>
      <w:pPr>
        <w:snapToGrid w:val="0"/>
        <w:spacing w:line="400" w:lineRule="exact"/>
        <w:ind w:firstLine="560" w:firstLineChars="200"/>
        <w:rPr>
          <w:rFonts w:hint="eastAsia" w:ascii="方正仿宋_GBK" w:hAnsi="方正仿宋_GBK" w:eastAsia="方正仿宋_GBK" w:cs="方正仿宋_GBK"/>
          <w:kern w:val="2"/>
          <w:sz w:val="28"/>
          <w:szCs w:val="28"/>
          <w:lang w:val="en-US" w:eastAsia="zh-CN" w:bidi="ar-SA"/>
        </w:rPr>
      </w:pPr>
    </w:p>
    <w:p>
      <w:pPr>
        <w:pStyle w:val="4"/>
        <w:keepNext/>
        <w:keepLines/>
        <w:pageBreakBefore w:val="0"/>
        <w:widowControl w:val="0"/>
        <w:kinsoku/>
        <w:wordWrap/>
        <w:overflowPunct/>
        <w:topLinePunct w:val="0"/>
        <w:autoSpaceDE/>
        <w:autoSpaceDN/>
        <w:bidi w:val="0"/>
        <w:adjustRightInd/>
        <w:snapToGrid/>
        <w:spacing w:before="0" w:after="0" w:line="520" w:lineRule="exact"/>
        <w:jc w:val="center"/>
        <w:textAlignment w:val="auto"/>
        <w:rPr>
          <w:rFonts w:hint="eastAsia"/>
          <w:sz w:val="40"/>
          <w:szCs w:val="18"/>
        </w:rPr>
      </w:pPr>
      <w:bookmarkStart w:id="8" w:name="_Toc166572784"/>
      <w:r>
        <w:rPr>
          <w:rFonts w:hint="eastAsia"/>
          <w:sz w:val="40"/>
          <w:szCs w:val="18"/>
        </w:rPr>
        <w:t>安全协议</w:t>
      </w:r>
      <w:bookmarkEnd w:id="8"/>
    </w:p>
    <w:p>
      <w:pPr>
        <w:spacing w:line="360" w:lineRule="exact"/>
        <w:ind w:firstLine="480" w:firstLineChars="200"/>
        <w:rPr>
          <w:rFonts w:hint="eastAsia" w:ascii="宋体" w:hAnsi="宋体" w:eastAsia="宋体"/>
          <w:sz w:val="24"/>
          <w:szCs w:val="24"/>
          <w:lang w:eastAsia="zh-CN"/>
        </w:rPr>
      </w:pPr>
      <w:r>
        <w:rPr>
          <w:rFonts w:hint="eastAsia" w:ascii="宋体" w:hAnsi="宋体"/>
          <w:sz w:val="24"/>
          <w:szCs w:val="24"/>
        </w:rPr>
        <w:t xml:space="preserve">甲方： </w:t>
      </w:r>
      <w:r>
        <w:rPr>
          <w:rFonts w:hint="eastAsia" w:ascii="宋体" w:hAnsi="宋体"/>
          <w:sz w:val="24"/>
          <w:szCs w:val="24"/>
          <w:lang w:eastAsia="zh-CN"/>
        </w:rPr>
        <w:t>江苏方源集团有限公司</w:t>
      </w:r>
    </w:p>
    <w:p>
      <w:pPr>
        <w:pStyle w:val="8"/>
        <w:snapToGrid w:val="0"/>
        <w:spacing w:line="40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sz w:val="24"/>
          <w:szCs w:val="24"/>
        </w:rPr>
        <w:t>乙方：</w:t>
      </w:r>
      <w:r>
        <w:rPr>
          <w:rFonts w:hint="eastAsia" w:hAnsi="宋体" w:cs="Times New Roman"/>
          <w:kern w:val="2"/>
          <w:sz w:val="24"/>
          <w:szCs w:val="24"/>
          <w:lang w:val="en-US" w:eastAsia="zh-CN" w:bidi="ar-SA"/>
        </w:rPr>
        <w:t xml:space="preserve"> </w:t>
      </w:r>
    </w:p>
    <w:p>
      <w:pPr>
        <w:spacing w:line="360" w:lineRule="exact"/>
        <w:ind w:firstLine="480" w:firstLineChars="200"/>
        <w:rPr>
          <w:rFonts w:hint="eastAsia" w:ascii="宋体" w:hAnsi="宋体"/>
          <w:sz w:val="24"/>
          <w:szCs w:val="24"/>
        </w:rPr>
      </w:pPr>
      <w:r>
        <w:rPr>
          <w:rFonts w:hint="eastAsia" w:ascii="宋体" w:hAnsi="宋体"/>
          <w:sz w:val="24"/>
          <w:szCs w:val="24"/>
        </w:rPr>
        <w:t>为了安全生产，消除</w:t>
      </w:r>
      <w:r>
        <w:rPr>
          <w:rFonts w:hint="eastAsia" w:ascii="宋体" w:hAnsi="宋体"/>
          <w:sz w:val="24"/>
          <w:szCs w:val="24"/>
          <w:lang w:eastAsia="zh-CN"/>
        </w:rPr>
        <w:t>安全</w:t>
      </w:r>
      <w:r>
        <w:rPr>
          <w:rFonts w:hint="eastAsia" w:ascii="宋体" w:hAnsi="宋体"/>
          <w:sz w:val="24"/>
          <w:szCs w:val="24"/>
        </w:rPr>
        <w:t>隐患，调整甲乙双方民商事关系中所涉安全事项，根据《中华人民共和国民法典》《中华人民共和国安全生产法》《中华人民共和国建筑法》《中华人民共和国消防法》等法律以及相关的行政法规、行政规章，签定如下安全生产协议，作为主合同的附件。</w:t>
      </w:r>
    </w:p>
    <w:p>
      <w:pPr>
        <w:spacing w:line="360" w:lineRule="exact"/>
        <w:ind w:firstLine="481" w:firstLineChars="200"/>
        <w:rPr>
          <w:rFonts w:hint="eastAsia" w:ascii="宋体" w:hAnsi="宋体"/>
          <w:b/>
          <w:sz w:val="24"/>
          <w:szCs w:val="24"/>
        </w:rPr>
      </w:pPr>
      <w:r>
        <w:rPr>
          <w:rFonts w:hint="eastAsia" w:ascii="宋体" w:hAnsi="宋体"/>
          <w:b/>
          <w:sz w:val="24"/>
          <w:szCs w:val="24"/>
        </w:rPr>
        <w:t>一、甲方责任</w:t>
      </w:r>
    </w:p>
    <w:p>
      <w:pPr>
        <w:spacing w:line="360" w:lineRule="exact"/>
        <w:ind w:firstLine="480" w:firstLineChars="200"/>
        <w:rPr>
          <w:rFonts w:hint="eastAsia" w:ascii="宋体" w:hAnsi="宋体"/>
          <w:sz w:val="24"/>
          <w:szCs w:val="24"/>
        </w:rPr>
      </w:pPr>
      <w:r>
        <w:rPr>
          <w:rFonts w:hint="eastAsia" w:ascii="宋体" w:hAnsi="宋体"/>
          <w:sz w:val="24"/>
          <w:szCs w:val="24"/>
        </w:rPr>
        <w:t>1.审核乙方的相应资质。</w:t>
      </w:r>
    </w:p>
    <w:p>
      <w:pPr>
        <w:spacing w:line="360" w:lineRule="exact"/>
        <w:ind w:firstLine="480" w:firstLineChars="200"/>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提供施工作业过程中的用水、用电等必要设施，但具体使用水、电等设施设备的作业由乙方负责管理。</w:t>
      </w:r>
    </w:p>
    <w:p>
      <w:pPr>
        <w:spacing w:line="360" w:lineRule="exact"/>
        <w:ind w:firstLine="481" w:firstLineChars="200"/>
        <w:rPr>
          <w:rFonts w:hint="eastAsia" w:ascii="宋体" w:hAnsi="宋体"/>
          <w:b/>
          <w:sz w:val="24"/>
          <w:szCs w:val="24"/>
        </w:rPr>
      </w:pPr>
      <w:r>
        <w:rPr>
          <w:rFonts w:hint="eastAsia" w:ascii="宋体" w:hAnsi="宋体"/>
          <w:b/>
          <w:sz w:val="24"/>
          <w:szCs w:val="24"/>
        </w:rPr>
        <w:t>二、乙方责任</w:t>
      </w:r>
    </w:p>
    <w:p>
      <w:pPr>
        <w:spacing w:line="360" w:lineRule="exact"/>
        <w:ind w:firstLine="480" w:firstLineChars="200"/>
        <w:rPr>
          <w:rFonts w:hint="eastAsia" w:ascii="宋体" w:hAnsi="宋体"/>
          <w:sz w:val="24"/>
          <w:szCs w:val="24"/>
        </w:rPr>
      </w:pPr>
      <w:r>
        <w:rPr>
          <w:rFonts w:hint="eastAsia" w:ascii="宋体" w:hAnsi="宋体"/>
          <w:sz w:val="24"/>
          <w:szCs w:val="24"/>
        </w:rPr>
        <w:t>1.乙方应具有完全民事权利能力和完全民事行为能力。无论是自然人、法人、其他组织，乙方都须依法取得相应的经营资质，法律法规要求取得许可、批准、备案手续的，从其规定。乙方从事的作业不得</w:t>
      </w:r>
      <w:r>
        <w:rPr>
          <w:rFonts w:hint="eastAsia" w:ascii="宋体" w:hAnsi="宋体"/>
          <w:sz w:val="24"/>
          <w:szCs w:val="24"/>
          <w:lang w:eastAsia="zh-CN"/>
        </w:rPr>
        <w:t>违规</w:t>
      </w:r>
      <w:r>
        <w:rPr>
          <w:rFonts w:hint="eastAsia" w:ascii="宋体" w:hAnsi="宋体"/>
          <w:sz w:val="24"/>
          <w:szCs w:val="24"/>
        </w:rPr>
        <w:t>转包及违法分包，否则视为乙方违约，由此导致的安全责任由乙方承担。</w:t>
      </w:r>
    </w:p>
    <w:p>
      <w:pPr>
        <w:spacing w:line="360" w:lineRule="exact"/>
        <w:ind w:firstLine="480" w:firstLineChars="200"/>
        <w:rPr>
          <w:rFonts w:hint="eastAsia" w:ascii="宋体" w:hAnsi="宋体"/>
          <w:sz w:val="24"/>
          <w:szCs w:val="24"/>
        </w:rPr>
      </w:pPr>
      <w:r>
        <w:rPr>
          <w:rFonts w:hint="eastAsia" w:ascii="宋体" w:hAnsi="宋体"/>
          <w:sz w:val="24"/>
          <w:szCs w:val="24"/>
        </w:rPr>
        <w:t>2.遵守劳动法律法规，包括但不限于《劳动法》《劳动合同法》《社会保险法》《工伤保险条例》等，防止侵犯或损害劳动者权益，减损对劳动者的安全保护。否则导致的纠纷，包括人身损害、财产损失均由乙方承担。</w:t>
      </w:r>
    </w:p>
    <w:p>
      <w:pPr>
        <w:spacing w:line="360" w:lineRule="exact"/>
        <w:ind w:firstLine="480" w:firstLineChars="200"/>
        <w:rPr>
          <w:rFonts w:hint="eastAsia" w:ascii="宋体" w:hAnsi="宋体"/>
          <w:sz w:val="24"/>
          <w:szCs w:val="24"/>
        </w:rPr>
      </w:pPr>
      <w:r>
        <w:rPr>
          <w:rFonts w:hint="eastAsia" w:ascii="宋体" w:hAnsi="宋体"/>
          <w:sz w:val="24"/>
          <w:szCs w:val="24"/>
        </w:rPr>
        <w:t>3.乙方应合法用工用人，签订劳动合同，缴纳社会保险，履行《劳动合同法》中的义务。所聘用的员工是通过合法招工，身体健康、无重大疾病，无犯罪记录、无从事其他危害国家安全活动并签订劳动合同的正式员工。员工已缴纳社会保险金、公积金，并足额发放工资、福利、加班费等费用，与乙方不存在任何纠纷。否则乙方应承担用工主体责任。</w:t>
      </w:r>
    </w:p>
    <w:p>
      <w:pPr>
        <w:spacing w:line="360" w:lineRule="exact"/>
        <w:ind w:firstLine="480" w:firstLineChars="200"/>
        <w:rPr>
          <w:rFonts w:hint="eastAsia" w:ascii="宋体" w:hAnsi="宋体"/>
          <w:sz w:val="24"/>
          <w:szCs w:val="24"/>
        </w:rPr>
      </w:pPr>
      <w:r>
        <w:rPr>
          <w:rFonts w:hint="eastAsia" w:ascii="宋体" w:hAnsi="宋体"/>
          <w:sz w:val="24"/>
          <w:szCs w:val="24"/>
        </w:rPr>
        <w:t>4.与乙方具有劳动关系、劳务关系、分包关系、雇佣关系、无偿帮工关系等人员，乙方均负有教育培训、安全技术交底、督促配戴安全防护用品等安全管理责任，造成人身损害、财产损失的由乙方承担赔偿、补偿的责任。</w:t>
      </w:r>
    </w:p>
    <w:p>
      <w:pPr>
        <w:spacing w:line="360" w:lineRule="exact"/>
        <w:ind w:firstLine="480" w:firstLineChars="200"/>
        <w:rPr>
          <w:rFonts w:hint="eastAsia" w:ascii="宋体" w:hAnsi="宋体"/>
          <w:sz w:val="24"/>
          <w:szCs w:val="24"/>
        </w:rPr>
      </w:pPr>
      <w:r>
        <w:rPr>
          <w:rFonts w:hint="eastAsia" w:ascii="宋体" w:hAnsi="宋体"/>
          <w:sz w:val="24"/>
          <w:szCs w:val="24"/>
        </w:rPr>
        <w:t>5.乙方应按照《传染病防治法》的规定做好传染病防治工作，落实国家、地方新冠肺炎疫情防控措施要求。严禁安排发热、身体不适人员进入甲方工作区域。</w:t>
      </w:r>
    </w:p>
    <w:p>
      <w:pPr>
        <w:spacing w:line="360" w:lineRule="exact"/>
        <w:ind w:firstLine="480" w:firstLineChars="200"/>
        <w:rPr>
          <w:rFonts w:hint="eastAsia" w:ascii="宋体" w:hAnsi="宋体"/>
          <w:sz w:val="24"/>
          <w:szCs w:val="24"/>
        </w:rPr>
      </w:pPr>
      <w:r>
        <w:rPr>
          <w:rFonts w:hint="eastAsia" w:ascii="宋体" w:hAnsi="宋体"/>
          <w:sz w:val="24"/>
          <w:szCs w:val="24"/>
        </w:rPr>
        <w:t>6.乙方应确保从事特种作业的人员，符合《特种作业人员安全技术培训考核管理规定》的规定，依法取得《中华人民共和国特种作业操作证》后，方可上岗作业。中、小型机械的操作人员必须按规定做到“定机定人”和有证操作；起重吊装作业人员必须遵守“十不吊”规定，严禁违章、无证操作；严禁不懂电器、机械的人擅自操作使用电器、机械设备。不得伪造、涂改、转借、转让、冒用特种作业操作证或使用伪造的特种作业操作证上岗作业。</w:t>
      </w:r>
    </w:p>
    <w:p>
      <w:pPr>
        <w:spacing w:line="360" w:lineRule="exact"/>
        <w:ind w:firstLine="480" w:firstLineChars="200"/>
        <w:rPr>
          <w:rFonts w:hint="eastAsia" w:ascii="宋体" w:hAnsi="宋体"/>
          <w:sz w:val="24"/>
          <w:szCs w:val="24"/>
        </w:rPr>
      </w:pPr>
      <w:r>
        <w:rPr>
          <w:rFonts w:hint="eastAsia" w:ascii="宋体" w:hAnsi="宋体"/>
          <w:sz w:val="24"/>
          <w:szCs w:val="24"/>
        </w:rPr>
        <w:t>7.乙方从事危险作业时，应遵守相关法律法规，根据危害风险制定作业方案、安全防范措施和应急处置方案，确认现场作业条件符合安全作业要求，确认作业单位的作业资质、作业人员的上岗资格以及配备的劳动防护用品符合安全作业要求，配备相应的安全设施，采取安全防范措施，设置作业现场的安全区域，确定专人现场统一指挥和监督，在危险作业前向作业人员说明危险因素、作业安全要求和应急措施，并经双方签字确认，发现直接危及人身安全的紧急情况时，采取应急措施，停止作业，撤出人员。发生事故时，应当立即停止作业，保护现场，造成伤亡的应立即抢救伤亡人员，并及时向甲方及相关部门报告，甲方予以协助抢救伤亡人员，并提供便利；未造成伤亡的，仅造成财产损失的，事实清楚责任明晰的，应及时留存证据，报告交通管理部门、安全管理部门后，撤离现场恢复作业。乙方使用特种设备时，应当遵守法律法规，确保设备完好、安全。</w:t>
      </w:r>
    </w:p>
    <w:p>
      <w:pPr>
        <w:spacing w:line="360" w:lineRule="exact"/>
        <w:ind w:firstLine="480" w:firstLineChars="200"/>
        <w:rPr>
          <w:rFonts w:hint="eastAsia" w:ascii="宋体" w:hAnsi="宋体"/>
          <w:sz w:val="24"/>
          <w:szCs w:val="24"/>
        </w:rPr>
      </w:pPr>
      <w:r>
        <w:rPr>
          <w:rFonts w:hint="eastAsia" w:ascii="宋体" w:hAnsi="宋体"/>
          <w:sz w:val="24"/>
          <w:szCs w:val="24"/>
        </w:rPr>
        <w:t>8.乙方应设置专职安全管理人员，负责检查作业现场安全，每日做好作业人员的安全教育，检查设备、工具符合安全要求和处于安全状态，监督作业人员的防护用具的佩戴，并将每日检查内容登记。</w:t>
      </w:r>
    </w:p>
    <w:p>
      <w:pPr>
        <w:spacing w:line="360" w:lineRule="exact"/>
        <w:ind w:firstLine="480" w:firstLineChars="200"/>
        <w:rPr>
          <w:rFonts w:hint="eastAsia" w:ascii="宋体" w:hAnsi="宋体"/>
          <w:sz w:val="24"/>
          <w:szCs w:val="24"/>
        </w:rPr>
      </w:pPr>
      <w:r>
        <w:rPr>
          <w:rFonts w:hint="eastAsia" w:ascii="宋体" w:hAnsi="宋体"/>
          <w:sz w:val="24"/>
          <w:szCs w:val="24"/>
        </w:rPr>
        <w:t>9.要认真勘察现场，乙方进场后首先必须做好施工现场安全防护，并在作业危险场所和设施处设置醒目的标识，安排专门人员进行交通路面、门禁的安全管理，防止闲杂人员进入施工现场。</w:t>
      </w:r>
    </w:p>
    <w:p>
      <w:pPr>
        <w:spacing w:line="360" w:lineRule="exact"/>
        <w:ind w:firstLine="480" w:firstLineChars="200"/>
        <w:rPr>
          <w:rFonts w:hint="eastAsia" w:ascii="宋体" w:hAnsi="宋体"/>
          <w:sz w:val="24"/>
          <w:szCs w:val="24"/>
        </w:rPr>
      </w:pPr>
      <w:r>
        <w:rPr>
          <w:rFonts w:hint="eastAsia" w:ascii="宋体" w:hAnsi="宋体"/>
          <w:sz w:val="24"/>
          <w:szCs w:val="24"/>
        </w:rPr>
        <w:t>10.各种设备、车辆、工程机械应按相关规定进行登记，符合安全技术检验标准并取得相关合格证书，严格按照规定的用途和条件使用。使用中遵守《道路交通安全法》的规定，在停泊作业时应设置显著警示标志，采取专人疏导、限行、禁止通行等手段保证作业安全。</w:t>
      </w:r>
    </w:p>
    <w:p>
      <w:pPr>
        <w:spacing w:line="360" w:lineRule="exact"/>
        <w:ind w:firstLine="480" w:firstLineChars="200"/>
        <w:rPr>
          <w:rFonts w:hint="eastAsia" w:ascii="宋体" w:hAnsi="宋体"/>
          <w:sz w:val="24"/>
          <w:szCs w:val="24"/>
        </w:rPr>
      </w:pPr>
      <w:r>
        <w:rPr>
          <w:rFonts w:hint="eastAsia" w:ascii="宋体" w:hAnsi="宋体"/>
          <w:sz w:val="24"/>
          <w:szCs w:val="24"/>
        </w:rPr>
        <w:t>11、组织完成作业的设计、采购、施工等。乙方应制定施工组织设计/方案，并报甲方、监理审批，施工过程中应严格按照施工组织设计/方案组织，不得随意更改设计方案。安排足额的人员按时完成作业进度，在作业时不得赶工作业、加班作业、疲劳作业。</w:t>
      </w:r>
    </w:p>
    <w:p>
      <w:pPr>
        <w:spacing w:line="360" w:lineRule="exact"/>
        <w:ind w:firstLine="480" w:firstLineChars="200"/>
        <w:rPr>
          <w:rFonts w:hint="eastAsia" w:ascii="宋体" w:hAnsi="宋体"/>
          <w:sz w:val="24"/>
          <w:szCs w:val="24"/>
        </w:rPr>
      </w:pPr>
      <w:r>
        <w:rPr>
          <w:rFonts w:hint="eastAsia" w:ascii="宋体" w:hAnsi="宋体"/>
          <w:sz w:val="24"/>
          <w:szCs w:val="24"/>
        </w:rPr>
        <w:t>12.配件、材料的采购、使用需符合健康、环保、无毒无害的规定，不得使用不符合国家标准、行业标准、地方标准的材料。</w:t>
      </w:r>
    </w:p>
    <w:p>
      <w:pPr>
        <w:spacing w:line="360" w:lineRule="exact"/>
        <w:ind w:firstLine="480" w:firstLineChars="200"/>
        <w:rPr>
          <w:rFonts w:hint="eastAsia" w:ascii="宋体" w:hAnsi="宋体"/>
          <w:sz w:val="24"/>
          <w:szCs w:val="24"/>
        </w:rPr>
      </w:pPr>
      <w:r>
        <w:rPr>
          <w:rFonts w:hint="eastAsia" w:ascii="宋体" w:hAnsi="宋体"/>
          <w:sz w:val="24"/>
          <w:szCs w:val="24"/>
        </w:rPr>
        <w:t>13、乙方必须严格执行各类防火防爆制度，易燃易爆场所严禁吸烟及动用明火，消防器材不准挪作他用。电焊、气割作业应按规定办理动火审批手续，严格遵守“十不烧”规定，严禁使用电炉。冬季作业必须采用明火加热的防冻措施时，应取得防火主管人员同意，落实防火、防中毒措施，并指派专人值班。</w:t>
      </w:r>
    </w:p>
    <w:p>
      <w:pPr>
        <w:spacing w:line="360" w:lineRule="exact"/>
        <w:ind w:firstLine="480" w:firstLineChars="200"/>
        <w:rPr>
          <w:rFonts w:hint="eastAsia" w:ascii="宋体" w:hAnsi="宋体"/>
          <w:sz w:val="24"/>
          <w:szCs w:val="24"/>
        </w:rPr>
      </w:pPr>
      <w:r>
        <w:rPr>
          <w:rFonts w:hint="eastAsia" w:ascii="宋体" w:hAnsi="宋体"/>
          <w:sz w:val="24"/>
          <w:szCs w:val="24"/>
        </w:rPr>
        <w:t>14、乙方需用甲方提供的电气设备，在使用前应先进行检测，并做好检测记录，如不符合安全规定的应及时向甲方提出，及时进行维修、更换，在检测安全后方可使用。违反本规定或不经甲方许可，擅自乱拉电气线路造成后果的均由乙方负责。严禁使用电炉、电饭煲、电饭锅、电取暖器等，防止漏电触电事故发生。</w:t>
      </w:r>
    </w:p>
    <w:p>
      <w:pPr>
        <w:spacing w:line="360" w:lineRule="exact"/>
        <w:ind w:firstLine="480" w:firstLineChars="200"/>
        <w:rPr>
          <w:rFonts w:hint="eastAsia" w:ascii="宋体" w:hAnsi="宋体"/>
          <w:sz w:val="24"/>
          <w:szCs w:val="24"/>
        </w:rPr>
      </w:pPr>
      <w:r>
        <w:rPr>
          <w:rFonts w:hint="eastAsia" w:ascii="宋体" w:hAnsi="宋体"/>
          <w:sz w:val="24"/>
          <w:szCs w:val="24"/>
        </w:rPr>
        <w:t>15、乙方在作业前应对作业区域的管线和障碍物进行摸底，必要时进行测绘、勘探、检测，相关费用由乙方自行解决，甲方负责提供现有的资料数据，协助乙方开展摸底。乙方在作业中，应注意地下管线及高压架空线路的保护。如遇有情况，应及时向甲方和有关部门联系，采取保护措施。</w:t>
      </w:r>
    </w:p>
    <w:p>
      <w:pPr>
        <w:spacing w:line="360" w:lineRule="exact"/>
        <w:ind w:firstLine="480" w:firstLineChars="200"/>
        <w:rPr>
          <w:rFonts w:hint="eastAsia" w:ascii="宋体" w:hAnsi="宋体"/>
          <w:sz w:val="24"/>
          <w:szCs w:val="24"/>
        </w:rPr>
      </w:pPr>
      <w:r>
        <w:rPr>
          <w:rFonts w:hint="eastAsia" w:ascii="宋体" w:hAnsi="宋体"/>
          <w:sz w:val="24"/>
          <w:szCs w:val="24"/>
        </w:rPr>
        <w:t>16、乙方在作业时段和非作业时段，应管理好乙方人员的日常生活，制定员工生活手册，确保乙方人员的生活安全。乙方员工在甲方区域内不得饮酒或饮酒上岗，不得喧闹、起哄、斗殴，不得聚众赌博，发现上述情形乙方应立即制止并停止相关员工继续作业，教育整改后方可继续进行作业，情节严重者应予以驱离、更换。在上述期间，乙方人员与己方人员或第三人之间发生争执或自陷风险的行为、状况导致人员伤亡、财产损失的，乙方应先行支付相关费用，后向具体责任人进行相关费用的追偿。</w:t>
      </w:r>
    </w:p>
    <w:p>
      <w:pPr>
        <w:spacing w:line="360" w:lineRule="exact"/>
        <w:ind w:firstLine="480" w:firstLineChars="200"/>
        <w:rPr>
          <w:rFonts w:hint="eastAsia" w:ascii="宋体" w:hAnsi="宋体"/>
          <w:sz w:val="24"/>
          <w:szCs w:val="24"/>
        </w:rPr>
      </w:pPr>
      <w:r>
        <w:rPr>
          <w:rFonts w:hint="eastAsia" w:ascii="宋体" w:hAnsi="宋体"/>
          <w:sz w:val="24"/>
          <w:szCs w:val="24"/>
        </w:rPr>
        <w:t>17、乙方在施工过程中发生的人身伤亡、火警、火灾等一切事故，均由乙方自己负责，甲方只负责配合教育的责任。乙方人员在作业期间造成伤亡、火警、火灾、机械等重大事故，乙方应进行紧急抢救伤员和保护现场，甲方予以协助，乙方按国务院及江苏省有关事故报告规定及时报告上级主管部门及市、区（县）劳动保护监察部门等有关机构。事故的损失和善后处理费用，由乙方承担。</w:t>
      </w:r>
    </w:p>
    <w:p>
      <w:pPr>
        <w:spacing w:line="360" w:lineRule="exact"/>
        <w:ind w:firstLine="480" w:firstLineChars="200"/>
        <w:rPr>
          <w:rFonts w:hint="eastAsia" w:ascii="宋体" w:hAnsi="宋体"/>
          <w:sz w:val="24"/>
          <w:szCs w:val="24"/>
        </w:rPr>
      </w:pPr>
      <w:r>
        <w:rPr>
          <w:rFonts w:hint="eastAsia" w:ascii="宋体" w:hAnsi="宋体"/>
          <w:sz w:val="24"/>
          <w:szCs w:val="24"/>
        </w:rPr>
        <w:t>三、本协议与主合同同时签署、同时生效；具有同等效力。本协议若与主合同不一致的地方，以本协议为准。</w:t>
      </w:r>
    </w:p>
    <w:p>
      <w:pPr>
        <w:spacing w:line="360" w:lineRule="exact"/>
        <w:ind w:firstLine="480" w:firstLineChars="200"/>
        <w:rPr>
          <w:rFonts w:hint="eastAsia" w:ascii="宋体" w:hAnsi="宋体"/>
          <w:sz w:val="24"/>
          <w:szCs w:val="24"/>
        </w:rPr>
      </w:pPr>
      <w:r>
        <w:rPr>
          <w:rFonts w:hint="eastAsia" w:ascii="宋体" w:hAnsi="宋体"/>
          <w:sz w:val="24"/>
          <w:szCs w:val="24"/>
        </w:rPr>
        <w:t>四、本协议执行过程中，如发生争议，由双方协商、调解解决；若经协商、调解不能解决争议的，双方同意向</w:t>
      </w:r>
      <w:r>
        <w:rPr>
          <w:rFonts w:hint="eastAsia" w:ascii="宋体" w:hAnsi="宋体"/>
          <w:sz w:val="24"/>
          <w:szCs w:val="24"/>
          <w:lang w:eastAsia="zh-CN"/>
        </w:rPr>
        <w:t>南京市鼓楼</w:t>
      </w:r>
      <w:r>
        <w:rPr>
          <w:rFonts w:hint="eastAsia" w:ascii="宋体" w:hAnsi="宋体"/>
          <w:sz w:val="24"/>
          <w:szCs w:val="24"/>
        </w:rPr>
        <w:t>区人民法院提起诉讼。</w:t>
      </w:r>
    </w:p>
    <w:p>
      <w:pPr>
        <w:spacing w:line="360" w:lineRule="exact"/>
        <w:ind w:firstLine="480" w:firstLineChars="200"/>
        <w:rPr>
          <w:rFonts w:hint="eastAsia" w:ascii="宋体" w:hAnsi="宋体"/>
          <w:sz w:val="24"/>
          <w:szCs w:val="24"/>
        </w:rPr>
      </w:pPr>
      <w:r>
        <w:rPr>
          <w:rFonts w:hint="eastAsia" w:ascii="宋体" w:hAnsi="宋体"/>
          <w:sz w:val="24"/>
          <w:szCs w:val="24"/>
        </w:rPr>
        <w:t>五、本协议一式贰份，甲乙双方各执1份。甲、乙双方必须严格执行，由于违反本协议而造成伤亡事故、财产损失的，由违约方承担一切经济损失。</w:t>
      </w:r>
    </w:p>
    <w:p>
      <w:pPr>
        <w:spacing w:line="360" w:lineRule="exact"/>
        <w:ind w:firstLine="480" w:firstLineChars="200"/>
        <w:rPr>
          <w:rFonts w:hint="eastAsia" w:ascii="宋体" w:hAnsi="宋体"/>
          <w:sz w:val="24"/>
          <w:szCs w:val="24"/>
        </w:rPr>
      </w:pPr>
    </w:p>
    <w:p>
      <w:pPr>
        <w:pStyle w:val="8"/>
        <w:snapToGrid w:val="0"/>
        <w:spacing w:line="40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sz w:val="24"/>
          <w:szCs w:val="24"/>
        </w:rPr>
        <w:t>甲方(公章)：</w:t>
      </w:r>
      <w:r>
        <w:rPr>
          <w:rFonts w:hint="eastAsia" w:hAnsi="宋体"/>
          <w:sz w:val="24"/>
          <w:szCs w:val="24"/>
          <w:lang w:eastAsia="zh-CN"/>
        </w:rPr>
        <w:t>江苏方源集团有限公司</w:t>
      </w:r>
      <w:r>
        <w:rPr>
          <w:rFonts w:hint="eastAsia" w:ascii="宋体" w:hAnsi="宋体"/>
          <w:sz w:val="24"/>
          <w:szCs w:val="24"/>
        </w:rPr>
        <w:t xml:space="preserve">    </w:t>
      </w:r>
      <w:r>
        <w:rPr>
          <w:rFonts w:hint="eastAsia" w:hAnsi="宋体"/>
          <w:sz w:val="24"/>
          <w:szCs w:val="24"/>
          <w:lang w:val="en-US" w:eastAsia="zh-CN"/>
        </w:rPr>
        <w:t xml:space="preserve">   </w:t>
      </w:r>
      <w:r>
        <w:rPr>
          <w:rFonts w:hint="eastAsia" w:ascii="宋体" w:hAnsi="宋体"/>
          <w:sz w:val="24"/>
          <w:szCs w:val="24"/>
        </w:rPr>
        <w:t xml:space="preserve"> 乙方(公章)：</w:t>
      </w:r>
    </w:p>
    <w:p>
      <w:pPr>
        <w:spacing w:line="360" w:lineRule="exact"/>
        <w:ind w:firstLine="360" w:firstLineChars="150"/>
        <w:rPr>
          <w:rFonts w:hint="eastAsia" w:ascii="宋体" w:hAnsi="宋体"/>
          <w:sz w:val="24"/>
          <w:szCs w:val="24"/>
        </w:rPr>
      </w:pPr>
      <w:r>
        <w:rPr>
          <w:rFonts w:hint="eastAsia" w:ascii="宋体" w:hAnsi="宋体"/>
          <w:sz w:val="24"/>
          <w:szCs w:val="24"/>
        </w:rPr>
        <w:t>法定代表人或委                            法定代表人或委</w:t>
      </w:r>
    </w:p>
    <w:p>
      <w:pPr>
        <w:spacing w:line="360" w:lineRule="exact"/>
        <w:ind w:firstLine="360" w:firstLineChars="150"/>
        <w:rPr>
          <w:rFonts w:hint="eastAsia" w:ascii="宋体" w:hAnsi="宋体"/>
          <w:sz w:val="24"/>
          <w:szCs w:val="24"/>
        </w:rPr>
      </w:pPr>
      <w:r>
        <w:rPr>
          <w:rFonts w:hint="eastAsia" w:ascii="宋体" w:hAnsi="宋体"/>
          <w:sz w:val="24"/>
          <w:szCs w:val="24"/>
        </w:rPr>
        <w:t>托代理人(签字)：                          托代理人(签字)：</w:t>
      </w:r>
    </w:p>
    <w:p>
      <w:pPr>
        <w:spacing w:line="360" w:lineRule="exact"/>
        <w:rPr>
          <w:rFonts w:hint="eastAsia" w:ascii="宋体" w:hAnsi="宋体"/>
          <w:sz w:val="24"/>
          <w:szCs w:val="24"/>
        </w:rPr>
      </w:pPr>
    </w:p>
    <w:p>
      <w:pPr>
        <w:spacing w:line="360" w:lineRule="exact"/>
        <w:ind w:firstLine="360" w:firstLineChars="150"/>
        <w:rPr>
          <w:rFonts w:hint="eastAsia" w:ascii="宋体" w:hAnsi="宋体"/>
          <w:sz w:val="24"/>
          <w:szCs w:val="24"/>
        </w:rPr>
      </w:pPr>
      <w:r>
        <w:rPr>
          <w:rFonts w:hint="eastAsia" w:ascii="宋体" w:hAnsi="宋体"/>
          <w:sz w:val="24"/>
          <w:szCs w:val="24"/>
        </w:rPr>
        <w:t xml:space="preserve">签订日期:  </w:t>
      </w:r>
      <w:r>
        <w:rPr>
          <w:rFonts w:hint="eastAsia" w:ascii="宋体" w:hAnsi="宋体"/>
          <w:sz w:val="24"/>
          <w:szCs w:val="24"/>
          <w:lang w:val="en-US" w:eastAsia="zh-CN"/>
        </w:rPr>
        <w:t>2024</w:t>
      </w:r>
      <w:r>
        <w:rPr>
          <w:rFonts w:hint="eastAsia" w:ascii="宋体" w:hAnsi="宋体"/>
          <w:sz w:val="24"/>
          <w:szCs w:val="24"/>
        </w:rPr>
        <w:t xml:space="preserve">  年  月  日                </w:t>
      </w:r>
    </w:p>
    <w:p>
      <w:pPr>
        <w:snapToGrid w:val="0"/>
        <w:spacing w:line="400" w:lineRule="exact"/>
        <w:rPr>
          <w:rFonts w:hint="eastAsia" w:ascii="方正仿宋_GBK" w:hAnsi="方正仿宋_GBK" w:eastAsia="方正仿宋_GBK" w:cs="方正仿宋_GBK"/>
          <w:kern w:val="2"/>
          <w:sz w:val="28"/>
          <w:szCs w:val="28"/>
          <w:lang w:val="en-US" w:eastAsia="zh-CN" w:bidi="ar-SA"/>
        </w:rPr>
      </w:pPr>
    </w:p>
    <w:sectPr>
      <w:footerReference r:id="rId3" w:type="default"/>
      <w:footerReference r:id="rId4" w:type="even"/>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幼圆">
    <w:altName w:val="仿宋"/>
    <w:panose1 w:val="02010509060101010101"/>
    <w:charset w:val="00"/>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altName w:val="Noto Sans Syriac Eastern"/>
    <w:panose1 w:val="02040503050406030204"/>
    <w:charset w:val="00"/>
    <w:family w:val="roman"/>
    <w:pitch w:val="default"/>
    <w:sig w:usb0="00000000" w:usb1="00000000" w:usb2="02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方正仿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auto"/>
    <w:pitch w:val="default"/>
    <w:sig w:usb0="00000001" w:usb1="0800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5</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kZjQwOGExODhiYTcwZTY0YTllYTMyMGEyODljZWUifQ=="/>
  </w:docVars>
  <w:rsids>
    <w:rsidRoot w:val="56DA46AC"/>
    <w:rsid w:val="004672B9"/>
    <w:rsid w:val="01445144"/>
    <w:rsid w:val="047F3088"/>
    <w:rsid w:val="06D86F6B"/>
    <w:rsid w:val="0983157E"/>
    <w:rsid w:val="0AC459AA"/>
    <w:rsid w:val="0DDD2FDB"/>
    <w:rsid w:val="0E727F1A"/>
    <w:rsid w:val="0EAF587E"/>
    <w:rsid w:val="10F56D1A"/>
    <w:rsid w:val="11E435E3"/>
    <w:rsid w:val="17A13B9E"/>
    <w:rsid w:val="1AB21997"/>
    <w:rsid w:val="21CF315A"/>
    <w:rsid w:val="2482357B"/>
    <w:rsid w:val="29B3650F"/>
    <w:rsid w:val="2FF28A9A"/>
    <w:rsid w:val="318A0E4C"/>
    <w:rsid w:val="35354DE1"/>
    <w:rsid w:val="3CF73C76"/>
    <w:rsid w:val="3E9230EE"/>
    <w:rsid w:val="3FFB8D2F"/>
    <w:rsid w:val="45D73ADC"/>
    <w:rsid w:val="46BE6647"/>
    <w:rsid w:val="4AD8632C"/>
    <w:rsid w:val="4DFBABFA"/>
    <w:rsid w:val="4E57530A"/>
    <w:rsid w:val="4E5D3984"/>
    <w:rsid w:val="4F9F29D7"/>
    <w:rsid w:val="4FE5428D"/>
    <w:rsid w:val="56DA46AC"/>
    <w:rsid w:val="5AA9DDFD"/>
    <w:rsid w:val="5B914DDA"/>
    <w:rsid w:val="5BF712A5"/>
    <w:rsid w:val="5BFD0EC1"/>
    <w:rsid w:val="5F5B6F36"/>
    <w:rsid w:val="6C4FA74C"/>
    <w:rsid w:val="6DD50FAE"/>
    <w:rsid w:val="6EED2B5E"/>
    <w:rsid w:val="6F026EC8"/>
    <w:rsid w:val="6F63C9AC"/>
    <w:rsid w:val="6F795A80"/>
    <w:rsid w:val="6F951FBF"/>
    <w:rsid w:val="6F9A0D08"/>
    <w:rsid w:val="71630BA7"/>
    <w:rsid w:val="7B3F108B"/>
    <w:rsid w:val="7BED9469"/>
    <w:rsid w:val="7BFD017E"/>
    <w:rsid w:val="7C673809"/>
    <w:rsid w:val="7F63CDDF"/>
    <w:rsid w:val="7F9771E6"/>
    <w:rsid w:val="7FDF5539"/>
    <w:rsid w:val="7FF3B737"/>
    <w:rsid w:val="95FD6590"/>
    <w:rsid w:val="9BF79B73"/>
    <w:rsid w:val="AFEBC92F"/>
    <w:rsid w:val="AFFDD80D"/>
    <w:rsid w:val="B39F38D9"/>
    <w:rsid w:val="B7547105"/>
    <w:rsid w:val="B7FBB35A"/>
    <w:rsid w:val="B8EF3DF4"/>
    <w:rsid w:val="C277EBFF"/>
    <w:rsid w:val="C7EBAB25"/>
    <w:rsid w:val="DE5BB1C5"/>
    <w:rsid w:val="ECFEBC8B"/>
    <w:rsid w:val="EDCC907B"/>
    <w:rsid w:val="EE6BD2A8"/>
    <w:rsid w:val="EFAE4268"/>
    <w:rsid w:val="EFBFF128"/>
    <w:rsid w:val="F5E6A0AE"/>
    <w:rsid w:val="F97FCFC1"/>
    <w:rsid w:val="FB9F7A8E"/>
    <w:rsid w:val="FBBFF3C5"/>
    <w:rsid w:val="FDBE8E22"/>
    <w:rsid w:val="FDFDC296"/>
    <w:rsid w:val="FFCF6545"/>
    <w:rsid w:val="FFD91D26"/>
    <w:rsid w:val="FFFFA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jc w:val="center"/>
      <w:outlineLvl w:val="1"/>
    </w:pPr>
    <w:rPr>
      <w:rFonts w:ascii="Arial" w:hAnsi="Arial" w:eastAsia="幼圆"/>
      <w:b/>
      <w:sz w:val="44"/>
      <w:szCs w:val="20"/>
    </w:rPr>
  </w:style>
  <w:style w:type="paragraph" w:styleId="5">
    <w:name w:val="heading 3"/>
    <w:basedOn w:val="1"/>
    <w:next w:val="6"/>
    <w:qFormat/>
    <w:uiPriority w:val="0"/>
    <w:pPr>
      <w:keepNext/>
      <w:keepLines/>
      <w:spacing w:before="260" w:after="260" w:line="416" w:lineRule="auto"/>
      <w:outlineLvl w:val="2"/>
    </w:pPr>
    <w:rPr>
      <w:b/>
      <w:sz w:val="32"/>
      <w:szCs w:val="20"/>
    </w:rPr>
  </w:style>
  <w:style w:type="paragraph" w:styleId="2">
    <w:name w:val="heading 4"/>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Body Text"/>
    <w:basedOn w:val="1"/>
    <w:qFormat/>
    <w:uiPriority w:val="0"/>
    <w:pPr>
      <w:spacing w:after="120"/>
    </w:pPr>
  </w:style>
  <w:style w:type="paragraph" w:styleId="8">
    <w:name w:val="Plain Text"/>
    <w:basedOn w:val="1"/>
    <w:qFormat/>
    <w:uiPriority w:val="0"/>
    <w:rPr>
      <w:rFonts w:ascii="宋体" w:hAnsi="Courier New"/>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toc 1"/>
    <w:basedOn w:val="1"/>
    <w:next w:val="1"/>
    <w:qFormat/>
    <w:uiPriority w:val="39"/>
    <w:pPr>
      <w:tabs>
        <w:tab w:val="right" w:leader="dot" w:pos="9440"/>
      </w:tabs>
      <w:spacing w:before="120" w:after="120" w:line="300" w:lineRule="exact"/>
      <w:jc w:val="left"/>
    </w:pPr>
    <w:rPr>
      <w:rFonts w:ascii="黑体" w:eastAsia="黑体"/>
      <w:b/>
      <w:caps/>
      <w:kern w:val="0"/>
      <w:sz w:val="18"/>
      <w:szCs w:val="28"/>
    </w:rPr>
  </w:style>
  <w:style w:type="table" w:styleId="12">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unhideWhenUsed/>
    <w:qFormat/>
    <w:uiPriority w:val="99"/>
    <w:rPr>
      <w:color w:val="0000FF"/>
      <w:u w:val="single"/>
    </w:rPr>
  </w:style>
  <w:style w:type="paragraph" w:customStyle="1" w:styleId="16">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17">
    <w:name w:val="font01"/>
    <w:basedOn w:val="13"/>
    <w:qFormat/>
    <w:uiPriority w:val="0"/>
    <w:rPr>
      <w:rFonts w:ascii="Calibri" w:hAnsi="Calibri" w:cs="Calibri"/>
      <w:color w:val="000000"/>
      <w:sz w:val="20"/>
      <w:szCs w:val="20"/>
      <w:u w:val="none"/>
    </w:rPr>
  </w:style>
  <w:style w:type="character" w:customStyle="1" w:styleId="18">
    <w:name w:val="font11"/>
    <w:basedOn w:val="13"/>
    <w:qFormat/>
    <w:uiPriority w:val="0"/>
    <w:rPr>
      <w:rFonts w:hint="eastAsia" w:ascii="宋体" w:hAnsi="宋体" w:eastAsia="宋体" w:cs="宋体"/>
      <w:color w:val="000000"/>
      <w:sz w:val="20"/>
      <w:szCs w:val="20"/>
      <w:u w:val="none"/>
    </w:rPr>
  </w:style>
  <w:style w:type="character" w:customStyle="1" w:styleId="19">
    <w:name w:val="font61"/>
    <w:basedOn w:val="1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2023-10-17T01:41:00Z</dcterms:created>
  <dc:creator>马猴</dc:creator>
  <cp:lastModifiedBy>user</cp:lastModifiedBy>
  <cp:lastPrinted>2024-02-26T00:37:00Z</cp:lastPrinted>
  <dcterms:modified xsi:type="dcterms:W3CDTF">2024-08-07T15:19:54Z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AB579A693A124F96B88154A9EF7B1419_11</vt:lpwstr>
  </property>
</Properties>
</file>