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261AA">
      <w:pPr>
        <w:spacing w:beforeLines="0" w:afterLines="0"/>
        <w:jc w:val="center"/>
        <w:outlineLvl w:val="0"/>
        <w:rPr>
          <w:rFonts w:hint="eastAsia" w:ascii="仿宋" w:hAnsi="仿宋" w:cs="华文宋体"/>
          <w:b/>
          <w:bCs/>
          <w:color w:val="000000" w:themeColor="text1"/>
          <w:sz w:val="44"/>
          <w:szCs w:val="44"/>
          <w14:textFill>
            <w14:solidFill>
              <w14:schemeClr w14:val="tx1"/>
            </w14:solidFill>
          </w14:textFill>
        </w:rPr>
      </w:pPr>
      <w:bookmarkStart w:id="0" w:name="_Hlt26955056"/>
      <w:bookmarkEnd w:id="0"/>
      <w:bookmarkStart w:id="1" w:name="_Hlt26609389"/>
      <w:bookmarkEnd w:id="1"/>
      <w:bookmarkStart w:id="2" w:name="_格式2__法定代表人授权书"/>
      <w:bookmarkEnd w:id="2"/>
      <w:bookmarkStart w:id="3" w:name="_Hlt26782999"/>
      <w:bookmarkEnd w:id="3"/>
      <w:bookmarkStart w:id="4" w:name="_Hlt26955064"/>
      <w:bookmarkEnd w:id="4"/>
      <w:bookmarkStart w:id="5" w:name="_Hlt24879081"/>
      <w:bookmarkEnd w:id="5"/>
      <w:bookmarkStart w:id="6" w:name="_Hlt26671372"/>
      <w:bookmarkEnd w:id="6"/>
      <w:bookmarkStart w:id="7" w:name="_Hlt26955066"/>
      <w:bookmarkEnd w:id="7"/>
      <w:bookmarkStart w:id="8" w:name="_Hlt26671374"/>
      <w:bookmarkEnd w:id="8"/>
      <w:bookmarkStart w:id="9" w:name="_Hlt26580838"/>
      <w:bookmarkEnd w:id="9"/>
      <w:bookmarkStart w:id="10" w:name="_Hlt26671343"/>
      <w:bookmarkEnd w:id="10"/>
      <w:bookmarkStart w:id="11" w:name="_Hlt26609391"/>
      <w:bookmarkEnd w:id="11"/>
      <w:bookmarkStart w:id="12" w:name="_Toc12866"/>
      <w:bookmarkStart w:id="13" w:name="_Toc31545"/>
      <w:bookmarkStart w:id="14" w:name="_Toc1562"/>
    </w:p>
    <w:p w14:paraId="1ADA20F9">
      <w:pPr>
        <w:spacing w:beforeLines="0" w:afterLines="0"/>
        <w:jc w:val="center"/>
        <w:outlineLvl w:val="0"/>
        <w:rPr>
          <w:rFonts w:hint="eastAsia" w:ascii="仿宋" w:hAnsi="仿宋" w:cs="华文宋体"/>
          <w:b/>
          <w:bCs/>
          <w:color w:val="000000" w:themeColor="text1"/>
          <w:sz w:val="44"/>
          <w:szCs w:val="44"/>
          <w14:textFill>
            <w14:solidFill>
              <w14:schemeClr w14:val="tx1"/>
            </w14:solidFill>
          </w14:textFill>
        </w:rPr>
      </w:pPr>
    </w:p>
    <w:p w14:paraId="104D619C">
      <w:pPr>
        <w:adjustRightInd/>
        <w:jc w:val="center"/>
        <w:textAlignment w:val="auto"/>
        <w:outlineLvl w:val="9"/>
        <w:rPr>
          <w:rFonts w:hint="eastAsia" w:ascii="黑体" w:hAnsi="黑体" w:eastAsia="黑体" w:cs="黑体"/>
          <w:b/>
          <w:bCs w:val="0"/>
          <w:color w:val="auto"/>
          <w:kern w:val="10"/>
          <w:sz w:val="48"/>
          <w:szCs w:val="24"/>
          <w:lang w:eastAsia="zh-CN"/>
        </w:rPr>
      </w:pPr>
      <w:r>
        <w:rPr>
          <w:rFonts w:hint="eastAsia" w:ascii="黑体" w:hAnsi="黑体" w:eastAsia="黑体" w:cs="黑体"/>
          <w:b/>
          <w:bCs w:val="0"/>
          <w:color w:val="auto"/>
          <w:kern w:val="10"/>
          <w:sz w:val="48"/>
          <w:szCs w:val="24"/>
        </w:rPr>
        <w:t>江苏方源集团有限公司</w:t>
      </w:r>
      <w:bookmarkEnd w:id="12"/>
      <w:bookmarkEnd w:id="13"/>
      <w:bookmarkEnd w:id="14"/>
      <w:bookmarkStart w:id="15" w:name="_Toc29685"/>
      <w:bookmarkStart w:id="16" w:name="_Toc6619"/>
      <w:bookmarkStart w:id="17" w:name="_Toc16375"/>
      <w:r>
        <w:rPr>
          <w:rFonts w:hint="eastAsia" w:ascii="黑体" w:hAnsi="黑体" w:eastAsia="黑体" w:cs="黑体"/>
          <w:b/>
          <w:bCs w:val="0"/>
          <w:color w:val="auto"/>
          <w:kern w:val="10"/>
          <w:sz w:val="48"/>
          <w:szCs w:val="24"/>
        </w:rPr>
        <w:t>遴选电子加工设备及耗材供应商项目</w:t>
      </w:r>
      <w:bookmarkEnd w:id="15"/>
      <w:bookmarkEnd w:id="16"/>
      <w:bookmarkEnd w:id="17"/>
      <w:r>
        <w:rPr>
          <w:rFonts w:hint="eastAsia" w:ascii="黑体" w:hAnsi="黑体" w:eastAsia="黑体" w:cs="黑体"/>
          <w:b/>
          <w:bCs w:val="0"/>
          <w:color w:val="auto"/>
          <w:kern w:val="10"/>
          <w:sz w:val="48"/>
          <w:szCs w:val="24"/>
          <w:lang w:eastAsia="zh-CN"/>
        </w:rPr>
        <w:t>（</w:t>
      </w:r>
      <w:r>
        <w:rPr>
          <w:rFonts w:hint="eastAsia" w:ascii="黑体" w:hAnsi="黑体" w:eastAsia="黑体" w:cs="黑体"/>
          <w:b/>
          <w:bCs w:val="0"/>
          <w:color w:val="auto"/>
          <w:kern w:val="10"/>
          <w:sz w:val="48"/>
          <w:szCs w:val="24"/>
          <w:lang w:val="en-US" w:eastAsia="zh-CN"/>
        </w:rPr>
        <w:t>光纤和变压器加工设备及耗材</w:t>
      </w:r>
      <w:r>
        <w:rPr>
          <w:rFonts w:hint="eastAsia" w:ascii="黑体" w:hAnsi="黑体" w:eastAsia="黑体" w:cs="黑体"/>
          <w:b/>
          <w:bCs w:val="0"/>
          <w:color w:val="auto"/>
          <w:kern w:val="10"/>
          <w:sz w:val="48"/>
          <w:szCs w:val="24"/>
          <w:lang w:eastAsia="zh-CN"/>
        </w:rPr>
        <w:t>）</w:t>
      </w:r>
    </w:p>
    <w:p w14:paraId="3FBF99E5">
      <w:pPr>
        <w:adjustRightInd/>
        <w:jc w:val="center"/>
        <w:textAlignment w:val="auto"/>
        <w:outlineLvl w:val="9"/>
        <w:rPr>
          <w:rFonts w:hint="eastAsia" w:ascii="黑体" w:hAnsi="黑体" w:eastAsia="黑体" w:cs="黑体"/>
          <w:b/>
          <w:bCs w:val="0"/>
          <w:color w:val="auto"/>
          <w:kern w:val="10"/>
          <w:sz w:val="48"/>
          <w:szCs w:val="24"/>
          <w:lang w:eastAsia="zh-CN"/>
        </w:rPr>
      </w:pPr>
    </w:p>
    <w:p w14:paraId="7FCE65C8">
      <w:pPr>
        <w:adjustRightInd/>
        <w:jc w:val="center"/>
        <w:textAlignment w:val="auto"/>
        <w:outlineLvl w:val="9"/>
        <w:rPr>
          <w:rFonts w:hint="eastAsia" w:ascii="黑体" w:hAnsi="黑体" w:eastAsia="黑体" w:cs="黑体"/>
          <w:b/>
          <w:bCs w:val="0"/>
          <w:color w:val="auto"/>
          <w:kern w:val="10"/>
          <w:sz w:val="48"/>
          <w:szCs w:val="24"/>
        </w:rPr>
      </w:pPr>
      <w:bookmarkStart w:id="18" w:name="_Toc10443"/>
      <w:bookmarkStart w:id="19" w:name="_Toc13301"/>
      <w:bookmarkStart w:id="20" w:name="_Toc17770"/>
      <w:r>
        <w:rPr>
          <w:rFonts w:hint="eastAsia" w:ascii="黑体" w:hAnsi="黑体" w:eastAsia="黑体" w:cs="黑体"/>
          <w:b/>
          <w:bCs w:val="0"/>
          <w:color w:val="auto"/>
          <w:kern w:val="10"/>
          <w:sz w:val="48"/>
          <w:szCs w:val="24"/>
        </w:rPr>
        <w:t>磋商文件</w:t>
      </w:r>
      <w:bookmarkEnd w:id="18"/>
      <w:bookmarkEnd w:id="19"/>
      <w:bookmarkEnd w:id="20"/>
    </w:p>
    <w:p w14:paraId="68DA1CB5">
      <w:pPr>
        <w:spacing w:beforeLines="0" w:afterLines="0" w:line="360" w:lineRule="auto"/>
        <w:jc w:val="center"/>
        <w:rPr>
          <w:rFonts w:hint="eastAsia" w:ascii="仿宋" w:hAnsi="仿宋" w:cs="华文宋体"/>
          <w:b/>
          <w:bCs/>
          <w:color w:val="000000" w:themeColor="text1"/>
          <w:sz w:val="44"/>
          <w:szCs w:val="44"/>
          <w14:textFill>
            <w14:solidFill>
              <w14:schemeClr w14:val="tx1"/>
            </w14:solidFill>
          </w14:textFill>
        </w:rPr>
      </w:pPr>
    </w:p>
    <w:p w14:paraId="5F651584">
      <w:pPr>
        <w:spacing w:beforeLines="0" w:afterLines="0" w:line="360" w:lineRule="auto"/>
        <w:jc w:val="center"/>
        <w:rPr>
          <w:rFonts w:hint="eastAsia" w:ascii="仿宋" w:hAnsi="仿宋"/>
          <w:b/>
          <w:bCs/>
          <w:color w:val="000000" w:themeColor="text1"/>
          <w:sz w:val="44"/>
          <w:szCs w:val="44"/>
          <w14:textFill>
            <w14:solidFill>
              <w14:schemeClr w14:val="tx1"/>
            </w14:solidFill>
          </w14:textFill>
        </w:rPr>
      </w:pPr>
    </w:p>
    <w:p w14:paraId="7F669609">
      <w:pPr>
        <w:spacing w:beforeLines="0" w:afterLines="0" w:line="360" w:lineRule="auto"/>
        <w:jc w:val="center"/>
        <w:rPr>
          <w:rFonts w:hint="eastAsia" w:ascii="仿宋" w:hAnsi="仿宋"/>
          <w:b/>
          <w:bCs/>
          <w:color w:val="000000" w:themeColor="text1"/>
          <w:sz w:val="44"/>
          <w:szCs w:val="44"/>
          <w14:textFill>
            <w14:solidFill>
              <w14:schemeClr w14:val="tx1"/>
            </w14:solidFill>
          </w14:textFill>
        </w:rPr>
      </w:pPr>
    </w:p>
    <w:p w14:paraId="64F6A71B">
      <w:pPr>
        <w:spacing w:beforeLines="0" w:afterLines="0" w:line="360" w:lineRule="auto"/>
        <w:jc w:val="center"/>
        <w:rPr>
          <w:rFonts w:hint="eastAsia" w:ascii="仿宋" w:hAnsi="仿宋"/>
          <w:b/>
          <w:bCs/>
          <w:color w:val="000000" w:themeColor="text1"/>
          <w:sz w:val="44"/>
          <w:szCs w:val="44"/>
          <w14:textFill>
            <w14:solidFill>
              <w14:schemeClr w14:val="tx1"/>
            </w14:solidFill>
          </w14:textFill>
        </w:rPr>
      </w:pPr>
    </w:p>
    <w:p w14:paraId="142B871E">
      <w:pPr>
        <w:spacing w:beforeLines="0" w:afterLines="0" w:line="360" w:lineRule="auto"/>
        <w:jc w:val="center"/>
        <w:rPr>
          <w:rFonts w:hint="eastAsia" w:ascii="仿宋" w:hAnsi="仿宋"/>
          <w:color w:val="000000" w:themeColor="text1"/>
          <w:sz w:val="36"/>
          <w:szCs w:val="36"/>
          <w14:textFill>
            <w14:solidFill>
              <w14:schemeClr w14:val="tx1"/>
            </w14:solidFill>
          </w14:textFill>
        </w:rPr>
      </w:pPr>
    </w:p>
    <w:p w14:paraId="57F2D53C">
      <w:pPr>
        <w:spacing w:beforeLines="0" w:afterLines="0" w:line="360" w:lineRule="auto"/>
        <w:jc w:val="center"/>
        <w:rPr>
          <w:rFonts w:hint="eastAsia" w:ascii="仿宋" w:hAnsi="仿宋"/>
          <w:color w:val="000000" w:themeColor="text1"/>
          <w:sz w:val="36"/>
          <w:szCs w:val="36"/>
          <w14:textFill>
            <w14:solidFill>
              <w14:schemeClr w14:val="tx1"/>
            </w14:solidFill>
          </w14:textFill>
        </w:rPr>
      </w:pPr>
    </w:p>
    <w:p w14:paraId="73F04B0F">
      <w:pPr>
        <w:adjustRightInd/>
        <w:spacing w:line="240" w:lineRule="auto"/>
        <w:ind w:firstLine="0" w:firstLineChars="0"/>
        <w:jc w:val="center"/>
        <w:textAlignment w:val="auto"/>
        <w:outlineLvl w:val="9"/>
        <w:rPr>
          <w:rFonts w:hint="eastAsia" w:ascii="黑体" w:hAnsi="黑体" w:eastAsia="黑体" w:cs="黑体"/>
          <w:b/>
          <w:bCs/>
          <w:color w:val="auto"/>
          <w:w w:val="100"/>
          <w:kern w:val="10"/>
          <w:sz w:val="36"/>
          <w:szCs w:val="36"/>
        </w:rPr>
      </w:pPr>
      <w:bookmarkStart w:id="21" w:name="_Toc27018"/>
      <w:bookmarkStart w:id="22" w:name="_Toc22612"/>
      <w:bookmarkStart w:id="23" w:name="_Toc6350"/>
      <w:r>
        <w:rPr>
          <w:rFonts w:hint="eastAsia" w:ascii="黑体" w:hAnsi="黑体" w:eastAsia="黑体" w:cs="黑体"/>
          <w:b/>
          <w:bCs/>
          <w:color w:val="auto"/>
          <w:w w:val="100"/>
          <w:kern w:val="10"/>
          <w:sz w:val="36"/>
          <w:szCs w:val="36"/>
        </w:rPr>
        <w:t>项目编号：</w:t>
      </w:r>
      <w:bookmarkEnd w:id="21"/>
      <w:bookmarkEnd w:id="22"/>
      <w:bookmarkEnd w:id="23"/>
      <w:bookmarkStart w:id="24" w:name="_Toc24368"/>
      <w:bookmarkStart w:id="25" w:name="_Toc20838"/>
      <w:bookmarkStart w:id="26" w:name="_Toc17371"/>
    </w:p>
    <w:p w14:paraId="3740FD97">
      <w:pPr>
        <w:adjustRightInd/>
        <w:spacing w:line="240" w:lineRule="auto"/>
        <w:ind w:firstLine="0" w:firstLineChars="0"/>
        <w:jc w:val="center"/>
        <w:textAlignment w:val="auto"/>
        <w:outlineLvl w:val="9"/>
        <w:rPr>
          <w:rFonts w:hint="eastAsia" w:ascii="黑体" w:hAnsi="黑体" w:eastAsia="黑体" w:cs="黑体"/>
          <w:b/>
          <w:bCs/>
          <w:color w:val="auto"/>
          <w:w w:val="100"/>
          <w:kern w:val="10"/>
          <w:sz w:val="36"/>
          <w:szCs w:val="36"/>
        </w:rPr>
      </w:pPr>
      <w:r>
        <w:rPr>
          <w:rFonts w:hint="eastAsia" w:ascii="黑体" w:hAnsi="黑体" w:eastAsia="黑体" w:cs="黑体"/>
          <w:b/>
          <w:bCs/>
          <w:color w:val="auto"/>
          <w:w w:val="100"/>
          <w:kern w:val="10"/>
          <w:sz w:val="36"/>
          <w:szCs w:val="36"/>
        </w:rPr>
        <w:t>采购人：江苏丰之源有限公司</w:t>
      </w:r>
      <w:bookmarkEnd w:id="24"/>
      <w:bookmarkEnd w:id="25"/>
      <w:bookmarkEnd w:id="26"/>
    </w:p>
    <w:p w14:paraId="5881C3A1">
      <w:pPr>
        <w:widowControl/>
        <w:autoSpaceDE/>
        <w:autoSpaceDN/>
        <w:adjustRightInd/>
        <w:spacing w:line="240" w:lineRule="auto"/>
        <w:ind w:firstLine="0" w:firstLineChars="0"/>
        <w:jc w:val="center"/>
        <w:textAlignment w:val="auto"/>
        <w:outlineLvl w:val="9"/>
        <w:rPr>
          <w:rFonts w:hint="eastAsia" w:ascii="黑体" w:hAnsi="黑体" w:eastAsia="黑体" w:cs="黑体"/>
          <w:b/>
          <w:bCs/>
          <w:color w:val="auto"/>
          <w:w w:val="100"/>
          <w:kern w:val="10"/>
          <w:sz w:val="36"/>
          <w:szCs w:val="36"/>
        </w:rPr>
      </w:pPr>
      <w:bookmarkStart w:id="27" w:name="_Toc9553"/>
      <w:bookmarkStart w:id="28" w:name="_Toc6623"/>
      <w:bookmarkStart w:id="29" w:name="_Toc12582"/>
      <w:r>
        <w:rPr>
          <w:rFonts w:hint="eastAsia" w:ascii="黑体" w:hAnsi="黑体" w:eastAsia="黑体" w:cs="黑体"/>
          <w:b/>
          <w:bCs/>
          <w:color w:val="auto"/>
          <w:w w:val="100"/>
          <w:kern w:val="10"/>
          <w:sz w:val="36"/>
          <w:szCs w:val="36"/>
        </w:rPr>
        <w:t>采购代理机构：</w:t>
      </w:r>
      <w:bookmarkEnd w:id="27"/>
      <w:bookmarkEnd w:id="28"/>
      <w:bookmarkEnd w:id="29"/>
      <w:r>
        <w:rPr>
          <w:rFonts w:hint="eastAsia" w:ascii="黑体" w:hAnsi="黑体" w:eastAsia="黑体" w:cs="黑体"/>
          <w:b/>
          <w:bCs/>
          <w:color w:val="auto"/>
          <w:w w:val="100"/>
          <w:kern w:val="10"/>
          <w:sz w:val="36"/>
          <w:szCs w:val="36"/>
        </w:rPr>
        <w:t>江苏国信政府采购服务中心有限公司</w:t>
      </w:r>
    </w:p>
    <w:p w14:paraId="060FFBDD">
      <w:pPr>
        <w:widowControl/>
        <w:autoSpaceDE/>
        <w:autoSpaceDN/>
        <w:bidi w:val="0"/>
        <w:adjustRightInd/>
        <w:snapToGrid/>
        <w:spacing w:before="0" w:beforeLines="-2147483648" w:after="0" w:afterLines="-2147483648" w:line="240" w:lineRule="auto"/>
        <w:jc w:val="center"/>
        <w:textAlignment w:val="auto"/>
        <w:outlineLvl w:val="9"/>
        <w:rPr>
          <w:rFonts w:hint="eastAsia" w:ascii="黑体" w:hAnsi="黑体" w:eastAsia="黑体" w:cs="黑体"/>
          <w:b/>
          <w:bCs/>
          <w:color w:val="auto"/>
          <w:w w:val="100"/>
          <w:kern w:val="10"/>
          <w:sz w:val="36"/>
          <w:szCs w:val="36"/>
        </w:rPr>
      </w:pPr>
      <w:bookmarkStart w:id="30" w:name="_Toc30849"/>
      <w:bookmarkStart w:id="31" w:name="_Toc7551"/>
      <w:bookmarkStart w:id="32" w:name="_Toc4571"/>
      <w:r>
        <w:rPr>
          <w:rFonts w:hint="eastAsia" w:ascii="黑体" w:hAnsi="黑体" w:eastAsia="黑体" w:cs="黑体"/>
          <w:b/>
          <w:bCs/>
          <w:color w:val="auto"/>
          <w:w w:val="100"/>
          <w:kern w:val="10"/>
          <w:sz w:val="36"/>
          <w:szCs w:val="36"/>
        </w:rPr>
        <w:t>2024年</w:t>
      </w:r>
      <w:r>
        <w:rPr>
          <w:rFonts w:hint="eastAsia" w:ascii="黑体" w:hAnsi="黑体" w:eastAsia="黑体" w:cs="黑体"/>
          <w:b/>
          <w:bCs/>
          <w:color w:val="auto"/>
          <w:w w:val="100"/>
          <w:kern w:val="10"/>
          <w:sz w:val="36"/>
          <w:szCs w:val="36"/>
          <w:lang w:val="en-US" w:eastAsia="zh-CN"/>
        </w:rPr>
        <w:t>10</w:t>
      </w:r>
      <w:r>
        <w:rPr>
          <w:rFonts w:hint="eastAsia" w:ascii="黑体" w:hAnsi="黑体" w:eastAsia="黑体" w:cs="黑体"/>
          <w:b/>
          <w:bCs/>
          <w:color w:val="auto"/>
          <w:w w:val="100"/>
          <w:kern w:val="10"/>
          <w:sz w:val="36"/>
          <w:szCs w:val="36"/>
        </w:rPr>
        <w:t>月</w:t>
      </w:r>
      <w:bookmarkEnd w:id="30"/>
      <w:bookmarkEnd w:id="31"/>
      <w:bookmarkEnd w:id="32"/>
    </w:p>
    <w:p w14:paraId="73EC263F">
      <w:pPr>
        <w:widowControl/>
        <w:autoSpaceDE/>
        <w:autoSpaceDN/>
        <w:bidi w:val="0"/>
        <w:adjustRightInd/>
        <w:snapToGrid/>
        <w:spacing w:before="0" w:beforeLines="-2147483648" w:after="0" w:afterLines="-2147483648" w:line="240" w:lineRule="auto"/>
        <w:jc w:val="center"/>
        <w:textAlignment w:val="auto"/>
        <w:outlineLvl w:val="9"/>
        <w:rPr>
          <w:rFonts w:hint="eastAsia" w:ascii="黑体" w:hAnsi="黑体" w:eastAsia="黑体" w:cs="黑体"/>
          <w:b/>
          <w:bCs/>
          <w:color w:val="000000" w:themeColor="text1"/>
          <w:kern w:val="10"/>
          <w:sz w:val="36"/>
          <w:szCs w:val="36"/>
          <w14:textFill>
            <w14:solidFill>
              <w14:schemeClr w14:val="tx1"/>
            </w14:solidFill>
          </w14:textFill>
        </w:rPr>
        <w:sectPr>
          <w:footerReference r:id="rId5" w:type="default"/>
          <w:pgSz w:w="11906" w:h="16838"/>
          <w:pgMar w:top="1440" w:right="1800" w:bottom="1440" w:left="1800" w:header="851" w:footer="992" w:gutter="0"/>
          <w:pgNumType w:start="0"/>
          <w:cols w:space="425" w:num="1"/>
          <w:titlePg/>
          <w:docGrid w:type="lines" w:linePitch="381" w:charSpace="0"/>
        </w:sectPr>
      </w:pPr>
    </w:p>
    <w:sdt>
      <w:sdtPr>
        <w:rPr>
          <w:rFonts w:hAnsi="宋体" w:eastAsia="宋体"/>
          <w:sz w:val="21"/>
        </w:rPr>
        <w:id w:val="147475122"/>
        <w:docPartObj>
          <w:docPartGallery w:val="Table of Contents"/>
          <w:docPartUnique/>
        </w:docPartObj>
      </w:sdtPr>
      <w:sdtEndPr>
        <w:rPr>
          <w:rFonts w:hAnsi="宋体" w:eastAsia="宋体"/>
          <w:sz w:val="21"/>
        </w:rPr>
      </w:sdtEndPr>
      <w:sdtContent>
        <w:p w14:paraId="2E4BE6C2">
          <w:pPr>
            <w:spacing w:beforeLines="0" w:afterLines="0" w:line="360" w:lineRule="auto"/>
            <w:jc w:val="center"/>
            <w:rPr>
              <w:rFonts w:hint="eastAsia" w:hAnsi="宋体" w:eastAsia="宋体"/>
              <w:sz w:val="21"/>
            </w:rPr>
          </w:pPr>
        </w:p>
        <w:p w14:paraId="52D868B6">
          <w:pPr>
            <w:autoSpaceDE w:val="0"/>
            <w:autoSpaceDN w:val="0"/>
            <w:snapToGrid w:val="0"/>
            <w:spacing w:beforeLines="0" w:afterLines="0" w:line="360" w:lineRule="auto"/>
            <w:jc w:val="center"/>
            <w:outlineLvl w:val="9"/>
            <w:rPr>
              <w:rFonts w:hint="default" w:ascii="宋体" w:hAnsi="宋体" w:eastAsia="宋体" w:cs="Cambria Math"/>
              <w:b/>
              <w:bCs/>
              <w:kern w:val="44"/>
              <w:sz w:val="36"/>
              <w:szCs w:val="36"/>
            </w:rPr>
          </w:pPr>
          <w:r>
            <w:rPr>
              <w:rFonts w:hint="default" w:ascii="宋体" w:hAnsi="宋体" w:eastAsia="宋体" w:cs="Cambria Math"/>
              <w:b/>
              <w:bCs/>
              <w:kern w:val="44"/>
              <w:sz w:val="36"/>
              <w:szCs w:val="36"/>
            </w:rPr>
            <w:t>目</w:t>
          </w:r>
          <w:r>
            <w:rPr>
              <w:rFonts w:hint="eastAsia" w:hAnsi="宋体" w:eastAsia="宋体" w:cs="Cambria Math"/>
              <w:b/>
              <w:bCs/>
              <w:kern w:val="44"/>
              <w:sz w:val="36"/>
              <w:szCs w:val="36"/>
              <w:lang w:val="en-US" w:eastAsia="zh-CN"/>
            </w:rPr>
            <w:t xml:space="preserve">  </w:t>
          </w:r>
          <w:r>
            <w:rPr>
              <w:rFonts w:hint="default" w:ascii="宋体" w:hAnsi="宋体" w:eastAsia="宋体" w:cs="Cambria Math"/>
              <w:b/>
              <w:bCs/>
              <w:kern w:val="44"/>
              <w:sz w:val="36"/>
              <w:szCs w:val="36"/>
            </w:rPr>
            <w:t>录</w:t>
          </w:r>
        </w:p>
        <w:p w14:paraId="3AF788C3">
          <w:pPr>
            <w:pStyle w:val="13"/>
            <w:tabs>
              <w:tab w:val="right" w:leader="dot" w:pos="8306"/>
            </w:tabs>
          </w:pPr>
          <w:r>
            <w:fldChar w:fldCharType="begin"/>
          </w:r>
          <w:r>
            <w:instrText xml:space="preserve">TOC \o "1-1" \h \u </w:instrText>
          </w:r>
          <w:r>
            <w:fldChar w:fldCharType="separate"/>
          </w:r>
          <w:r>
            <w:fldChar w:fldCharType="begin"/>
          </w:r>
          <w:r>
            <w:instrText xml:space="preserve"> HYPERLINK \l _Toc21615 </w:instrText>
          </w:r>
          <w:r>
            <w:fldChar w:fldCharType="separate"/>
          </w:r>
          <w:r>
            <w:rPr>
              <w:rFonts w:hint="default" w:ascii="宋体" w:hAnsi="宋体" w:eastAsia="宋体" w:cs="Cambria Math"/>
              <w:bCs/>
              <w:kern w:val="44"/>
              <w:szCs w:val="36"/>
            </w:rPr>
            <w:t>第一章  磋商公告</w:t>
          </w:r>
          <w:r>
            <w:tab/>
          </w:r>
          <w:r>
            <w:fldChar w:fldCharType="begin"/>
          </w:r>
          <w:r>
            <w:instrText xml:space="preserve"> PAGEREF _Toc21615 \h </w:instrText>
          </w:r>
          <w:r>
            <w:fldChar w:fldCharType="separate"/>
          </w:r>
          <w:r>
            <w:t>2</w:t>
          </w:r>
          <w:r>
            <w:fldChar w:fldCharType="end"/>
          </w:r>
          <w:r>
            <w:fldChar w:fldCharType="end"/>
          </w:r>
        </w:p>
        <w:p w14:paraId="0248457E">
          <w:pPr>
            <w:pStyle w:val="13"/>
            <w:tabs>
              <w:tab w:val="right" w:leader="dot" w:pos="8306"/>
            </w:tabs>
          </w:pPr>
          <w:r>
            <w:fldChar w:fldCharType="begin"/>
          </w:r>
          <w:r>
            <w:instrText xml:space="preserve"> HYPERLINK \l _Toc2088 </w:instrText>
          </w:r>
          <w:r>
            <w:fldChar w:fldCharType="separate"/>
          </w:r>
          <w:r>
            <w:rPr>
              <w:rFonts w:hint="default" w:ascii="宋体" w:hAnsi="宋体" w:eastAsia="宋体" w:cs="Cambria Math"/>
              <w:bCs/>
              <w:kern w:val="44"/>
              <w:szCs w:val="36"/>
            </w:rPr>
            <w:t>第二章  供应商须知</w:t>
          </w:r>
          <w:r>
            <w:tab/>
          </w:r>
          <w:r>
            <w:fldChar w:fldCharType="begin"/>
          </w:r>
          <w:r>
            <w:instrText xml:space="preserve"> PAGEREF _Toc2088 \h </w:instrText>
          </w:r>
          <w:r>
            <w:fldChar w:fldCharType="separate"/>
          </w:r>
          <w:r>
            <w:t>7</w:t>
          </w:r>
          <w:r>
            <w:fldChar w:fldCharType="end"/>
          </w:r>
          <w:r>
            <w:fldChar w:fldCharType="end"/>
          </w:r>
        </w:p>
        <w:p w14:paraId="5F51A4C3">
          <w:pPr>
            <w:pStyle w:val="13"/>
            <w:tabs>
              <w:tab w:val="right" w:leader="dot" w:pos="8306"/>
            </w:tabs>
          </w:pPr>
          <w:r>
            <w:fldChar w:fldCharType="begin"/>
          </w:r>
          <w:r>
            <w:instrText xml:space="preserve"> HYPERLINK \l _Toc3828 </w:instrText>
          </w:r>
          <w:r>
            <w:fldChar w:fldCharType="separate"/>
          </w:r>
          <w:r>
            <w:rPr>
              <w:rFonts w:hint="default" w:ascii="宋体" w:hAnsi="宋体" w:eastAsia="宋体" w:cs="Cambria Math"/>
              <w:bCs/>
              <w:kern w:val="44"/>
              <w:szCs w:val="36"/>
            </w:rPr>
            <w:t>第</w:t>
          </w:r>
          <w:r>
            <w:rPr>
              <w:rFonts w:hint="eastAsia" w:hAnsi="宋体" w:eastAsia="宋体" w:cs="Cambria Math"/>
              <w:bCs/>
              <w:kern w:val="44"/>
              <w:szCs w:val="36"/>
              <w:lang w:val="en-US" w:eastAsia="zh-CN"/>
            </w:rPr>
            <w:t>三</w:t>
          </w:r>
          <w:r>
            <w:rPr>
              <w:rFonts w:hint="default" w:ascii="宋体" w:hAnsi="宋体" w:eastAsia="宋体" w:cs="Cambria Math"/>
              <w:bCs/>
              <w:kern w:val="44"/>
              <w:szCs w:val="36"/>
            </w:rPr>
            <w:t>章  项目需求</w:t>
          </w:r>
          <w:r>
            <w:tab/>
          </w:r>
          <w:r>
            <w:fldChar w:fldCharType="begin"/>
          </w:r>
          <w:r>
            <w:instrText xml:space="preserve"> PAGEREF _Toc3828 \h </w:instrText>
          </w:r>
          <w:r>
            <w:fldChar w:fldCharType="separate"/>
          </w:r>
          <w:r>
            <w:t>15</w:t>
          </w:r>
          <w:r>
            <w:fldChar w:fldCharType="end"/>
          </w:r>
          <w:r>
            <w:fldChar w:fldCharType="end"/>
          </w:r>
        </w:p>
        <w:p w14:paraId="2A4BC54F">
          <w:pPr>
            <w:pStyle w:val="13"/>
            <w:tabs>
              <w:tab w:val="right" w:leader="dot" w:pos="8306"/>
            </w:tabs>
          </w:pPr>
          <w:r>
            <w:fldChar w:fldCharType="begin"/>
          </w:r>
          <w:r>
            <w:instrText xml:space="preserve"> HYPERLINK \l _Toc7126 </w:instrText>
          </w:r>
          <w:r>
            <w:fldChar w:fldCharType="separate"/>
          </w:r>
          <w:r>
            <w:rPr>
              <w:rFonts w:hint="default" w:ascii="宋体" w:hAnsi="宋体" w:eastAsia="宋体" w:cs="Cambria Math"/>
              <w:bCs/>
              <w:kern w:val="44"/>
              <w:szCs w:val="36"/>
            </w:rPr>
            <w:t>第</w:t>
          </w:r>
          <w:r>
            <w:rPr>
              <w:rFonts w:hint="eastAsia" w:hAnsi="宋体" w:eastAsia="宋体" w:cs="Cambria Math"/>
              <w:bCs/>
              <w:kern w:val="44"/>
              <w:szCs w:val="36"/>
              <w:lang w:val="en-US" w:eastAsia="zh-CN"/>
            </w:rPr>
            <w:t>四</w:t>
          </w:r>
          <w:r>
            <w:rPr>
              <w:rFonts w:hint="default" w:ascii="宋体" w:hAnsi="宋体" w:eastAsia="宋体" w:cs="Cambria Math"/>
              <w:bCs/>
              <w:kern w:val="44"/>
              <w:szCs w:val="36"/>
            </w:rPr>
            <w:t>章  评审标准</w:t>
          </w:r>
          <w:r>
            <w:tab/>
          </w:r>
          <w:r>
            <w:fldChar w:fldCharType="begin"/>
          </w:r>
          <w:r>
            <w:instrText xml:space="preserve"> PAGEREF _Toc7126 \h </w:instrText>
          </w:r>
          <w:r>
            <w:fldChar w:fldCharType="separate"/>
          </w:r>
          <w:r>
            <w:t>20</w:t>
          </w:r>
          <w:r>
            <w:fldChar w:fldCharType="end"/>
          </w:r>
          <w:r>
            <w:fldChar w:fldCharType="end"/>
          </w:r>
        </w:p>
        <w:p w14:paraId="6C6823F5">
          <w:pPr>
            <w:pStyle w:val="13"/>
            <w:tabs>
              <w:tab w:val="right" w:leader="dot" w:pos="8306"/>
            </w:tabs>
          </w:pPr>
          <w:r>
            <w:fldChar w:fldCharType="begin"/>
          </w:r>
          <w:r>
            <w:instrText xml:space="preserve"> HYPERLINK \l _Toc15305 </w:instrText>
          </w:r>
          <w:r>
            <w:fldChar w:fldCharType="separate"/>
          </w:r>
          <w:r>
            <w:rPr>
              <w:rFonts w:hint="default" w:ascii="宋体" w:hAnsi="宋体" w:eastAsia="宋体" w:cs="Cambria Math"/>
              <w:bCs/>
              <w:kern w:val="44"/>
              <w:szCs w:val="36"/>
            </w:rPr>
            <w:t xml:space="preserve">第五章  </w:t>
          </w:r>
          <w:r>
            <w:rPr>
              <w:rFonts w:hint="eastAsia" w:hAnsi="宋体" w:eastAsia="宋体" w:cs="Cambria Math"/>
              <w:bCs/>
              <w:kern w:val="44"/>
              <w:szCs w:val="36"/>
              <w:lang w:val="en-US" w:eastAsia="zh-CN"/>
            </w:rPr>
            <w:t>合同主要条款</w:t>
          </w:r>
          <w:r>
            <w:tab/>
          </w:r>
          <w:r>
            <w:fldChar w:fldCharType="begin"/>
          </w:r>
          <w:r>
            <w:instrText xml:space="preserve"> PAGEREF _Toc15305 \h </w:instrText>
          </w:r>
          <w:r>
            <w:fldChar w:fldCharType="separate"/>
          </w:r>
          <w:r>
            <w:t>25</w:t>
          </w:r>
          <w:r>
            <w:fldChar w:fldCharType="end"/>
          </w:r>
          <w:r>
            <w:fldChar w:fldCharType="end"/>
          </w:r>
        </w:p>
        <w:p w14:paraId="3D040CE1">
          <w:pPr>
            <w:pStyle w:val="13"/>
            <w:tabs>
              <w:tab w:val="right" w:leader="dot" w:pos="8306"/>
            </w:tabs>
          </w:pPr>
          <w:r>
            <w:fldChar w:fldCharType="begin"/>
          </w:r>
          <w:r>
            <w:instrText xml:space="preserve"> HYPERLINK \l _Toc18649 </w:instrText>
          </w:r>
          <w:r>
            <w:fldChar w:fldCharType="separate"/>
          </w:r>
          <w:r>
            <w:rPr>
              <w:rFonts w:hint="default" w:ascii="宋体" w:hAnsi="宋体" w:eastAsia="宋体" w:cs="Cambria Math"/>
              <w:bCs/>
              <w:kern w:val="44"/>
              <w:szCs w:val="36"/>
            </w:rPr>
            <w:t>第</w:t>
          </w:r>
          <w:r>
            <w:rPr>
              <w:rFonts w:hint="eastAsia" w:hAnsi="宋体" w:eastAsia="宋体" w:cs="Cambria Math"/>
              <w:bCs/>
              <w:kern w:val="44"/>
              <w:szCs w:val="36"/>
              <w:lang w:val="en-US" w:eastAsia="zh-CN"/>
            </w:rPr>
            <w:t>六</w:t>
          </w:r>
          <w:r>
            <w:rPr>
              <w:rFonts w:hint="default" w:ascii="宋体" w:hAnsi="宋体" w:eastAsia="宋体" w:cs="Cambria Math"/>
              <w:bCs/>
              <w:kern w:val="44"/>
              <w:szCs w:val="36"/>
            </w:rPr>
            <w:t>章  响应文件</w:t>
          </w:r>
          <w:r>
            <w:rPr>
              <w:rFonts w:hint="eastAsia" w:hAnsi="宋体" w:eastAsia="宋体" w:cs="Cambria Math"/>
              <w:bCs/>
              <w:kern w:val="44"/>
              <w:szCs w:val="36"/>
              <w:lang w:val="en-US" w:eastAsia="zh-CN"/>
            </w:rPr>
            <w:t>主要内容及</w:t>
          </w:r>
          <w:r>
            <w:rPr>
              <w:rFonts w:hint="default" w:ascii="宋体" w:hAnsi="宋体" w:eastAsia="宋体" w:cs="Cambria Math"/>
              <w:bCs/>
              <w:kern w:val="44"/>
              <w:szCs w:val="36"/>
            </w:rPr>
            <w:t>格式</w:t>
          </w:r>
          <w:r>
            <w:tab/>
          </w:r>
          <w:r>
            <w:fldChar w:fldCharType="begin"/>
          </w:r>
          <w:r>
            <w:instrText xml:space="preserve"> PAGEREF _Toc18649 \h </w:instrText>
          </w:r>
          <w:r>
            <w:fldChar w:fldCharType="separate"/>
          </w:r>
          <w:r>
            <w:t>37</w:t>
          </w:r>
          <w:r>
            <w:fldChar w:fldCharType="end"/>
          </w:r>
          <w:r>
            <w:fldChar w:fldCharType="end"/>
          </w:r>
        </w:p>
        <w:p w14:paraId="33D6E497">
          <w:pPr>
            <w:spacing w:beforeLines="0" w:afterLines="0"/>
            <w:outlineLvl w:val="0"/>
          </w:pPr>
          <w:r>
            <w:fldChar w:fldCharType="end"/>
          </w:r>
        </w:p>
      </w:sdtContent>
    </w:sdt>
    <w:p w14:paraId="2AE17FD9">
      <w:pPr>
        <w:spacing w:beforeLines="0" w:afterLines="0"/>
        <w:outlineLvl w:val="0"/>
      </w:pPr>
      <w:r>
        <w:rPr>
          <w:rFonts w:hint="eastAsia" w:ascii="仿宋" w:hAnsi="仿宋"/>
          <w:color w:val="000000" w:themeColor="text1"/>
          <w:sz w:val="44"/>
          <w:szCs w:val="44"/>
          <w14:textFill>
            <w14:solidFill>
              <w14:schemeClr w14:val="tx1"/>
            </w14:solidFill>
          </w14:textFill>
        </w:rPr>
        <w:br w:type="page"/>
      </w:r>
    </w:p>
    <w:p w14:paraId="7388656D">
      <w:pPr>
        <w:autoSpaceDE w:val="0"/>
        <w:autoSpaceDN w:val="0"/>
        <w:bidi w:val="0"/>
        <w:snapToGrid w:val="0"/>
        <w:spacing w:before="0" w:beforeLines="0" w:after="0" w:afterLines="0" w:line="360" w:lineRule="auto"/>
        <w:jc w:val="center"/>
        <w:outlineLvl w:val="0"/>
        <w:rPr>
          <w:rFonts w:hint="default" w:ascii="宋体" w:hAnsi="宋体" w:eastAsia="宋体" w:cs="Cambria Math"/>
          <w:b/>
          <w:bCs/>
          <w:color w:val="auto"/>
          <w:w w:val="100"/>
          <w:kern w:val="44"/>
          <w:sz w:val="36"/>
          <w:szCs w:val="36"/>
        </w:rPr>
      </w:pPr>
      <w:bookmarkStart w:id="33" w:name="_Toc21615"/>
      <w:r>
        <w:rPr>
          <w:rFonts w:hint="default" w:ascii="宋体" w:hAnsi="宋体" w:eastAsia="宋体" w:cs="Cambria Math"/>
          <w:b/>
          <w:bCs/>
          <w:color w:val="auto"/>
          <w:kern w:val="44"/>
          <w:sz w:val="36"/>
          <w:szCs w:val="36"/>
        </w:rPr>
        <w:t>第一章  磋商公告</w:t>
      </w:r>
      <w:bookmarkEnd w:id="33"/>
    </w:p>
    <w:p w14:paraId="3AA5A335">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p>
    <w:p w14:paraId="28A2CED3">
      <w:pPr>
        <w:snapToGrid w:val="0"/>
        <w:spacing w:beforeLines="0" w:afterLines="0"/>
        <w:ind w:firstLine="480" w:firstLineChars="200"/>
        <w:outlineLvl w:val="9"/>
        <w:rPr>
          <w:rFonts w:hint="eastAsia" w:hAnsi="宋体" w:eastAsia="宋体" w:cs="宋体"/>
          <w:sz w:val="24"/>
          <w:szCs w:val="24"/>
          <w:shd w:val="clear" w:color="auto" w:fill="FFFFFF"/>
          <w:lang w:val="zh-TW" w:eastAsia="zh-TW"/>
        </w:rPr>
      </w:pPr>
      <w:r>
        <w:rPr>
          <w:rFonts w:hint="eastAsia" w:hAnsi="宋体" w:eastAsia="宋体" w:cs="宋体"/>
          <w:sz w:val="24"/>
          <w:szCs w:val="24"/>
          <w:shd w:val="clear" w:color="auto" w:fill="FFFFFF"/>
          <w:lang w:val="zh-TW"/>
        </w:rPr>
        <w:t>江苏</w:t>
      </w:r>
      <w:r>
        <w:rPr>
          <w:rFonts w:hint="eastAsia" w:hAnsi="宋体" w:eastAsia="宋体" w:cs="宋体"/>
          <w:sz w:val="24"/>
          <w:szCs w:val="24"/>
          <w:shd w:val="clear" w:color="auto" w:fill="FFFFFF"/>
        </w:rPr>
        <w:t>方源集团有限公司遴选电子加工设备及耗材供应商项目已由上级机关批准，</w:t>
      </w:r>
      <w:r>
        <w:rPr>
          <w:rFonts w:hint="eastAsia" w:hAnsi="宋体" w:eastAsia="宋体" w:cs="宋体"/>
          <w:sz w:val="24"/>
          <w:szCs w:val="24"/>
          <w:shd w:val="clear" w:color="auto" w:fill="FFFFFF"/>
          <w:lang w:val="zh-TW" w:eastAsia="zh-TW"/>
        </w:rPr>
        <w:t>资金</w:t>
      </w:r>
      <w:r>
        <w:rPr>
          <w:rFonts w:hint="eastAsia" w:hAnsi="宋体" w:eastAsia="宋体" w:cs="宋体"/>
          <w:sz w:val="24"/>
          <w:szCs w:val="24"/>
          <w:shd w:val="clear" w:color="auto" w:fill="FFFFFF"/>
        </w:rPr>
        <w:t>来源已落实</w:t>
      </w:r>
      <w:r>
        <w:rPr>
          <w:rFonts w:hint="eastAsia" w:hAnsi="宋体" w:eastAsia="宋体" w:cs="宋体"/>
          <w:sz w:val="24"/>
          <w:szCs w:val="24"/>
          <w:shd w:val="clear" w:color="auto" w:fill="FFFFFF"/>
          <w:lang w:val="zh-TW"/>
        </w:rPr>
        <w:t>，</w:t>
      </w:r>
      <w:r>
        <w:rPr>
          <w:rFonts w:hint="eastAsia" w:hAnsi="宋体" w:eastAsia="宋体" w:cs="宋体"/>
          <w:sz w:val="24"/>
          <w:szCs w:val="24"/>
          <w:shd w:val="clear" w:color="auto" w:fill="FFFFFF"/>
        </w:rPr>
        <w:t>此项目</w:t>
      </w:r>
      <w:r>
        <w:rPr>
          <w:rFonts w:hint="eastAsia" w:hAnsi="宋体" w:eastAsia="宋体" w:cs="宋体"/>
          <w:sz w:val="24"/>
          <w:szCs w:val="24"/>
          <w:shd w:val="clear" w:color="auto" w:fill="FFFFFF"/>
          <w:lang w:val="en-US" w:eastAsia="zh-CN"/>
        </w:rPr>
        <w:t>采购</w:t>
      </w:r>
      <w:r>
        <w:rPr>
          <w:rFonts w:hint="eastAsia" w:hAnsi="宋体" w:eastAsia="宋体" w:cs="宋体"/>
          <w:sz w:val="24"/>
          <w:szCs w:val="24"/>
          <w:shd w:val="clear" w:color="auto" w:fill="FFFFFF"/>
        </w:rPr>
        <w:t>及商品上架单位</w:t>
      </w:r>
      <w:r>
        <w:rPr>
          <w:rFonts w:hint="eastAsia" w:hAnsi="宋体" w:eastAsia="宋体" w:cs="宋体"/>
          <w:sz w:val="24"/>
          <w:szCs w:val="24"/>
          <w:shd w:val="clear" w:color="auto" w:fill="FFFFFF"/>
          <w:lang w:val="zh-TW" w:eastAsia="zh-TW"/>
        </w:rPr>
        <w:t>为</w:t>
      </w:r>
      <w:r>
        <w:rPr>
          <w:rFonts w:hint="eastAsia" w:hAnsi="宋体" w:eastAsia="宋体" w:cs="宋体"/>
          <w:sz w:val="24"/>
          <w:szCs w:val="24"/>
          <w:shd w:val="clear" w:color="auto" w:fill="FFFFFF"/>
          <w:lang w:val="zh-TW"/>
        </w:rPr>
        <w:t>江苏丰之源有限公司，</w:t>
      </w:r>
      <w:r>
        <w:rPr>
          <w:rFonts w:hint="eastAsia" w:hAnsi="宋体" w:eastAsia="宋体" w:cs="宋体"/>
          <w:sz w:val="24"/>
          <w:szCs w:val="24"/>
          <w:shd w:val="clear" w:color="auto" w:fill="FFFFFF"/>
        </w:rPr>
        <w:t>采购人终端用户为江苏方源集团有限公司下属子公司，</w:t>
      </w:r>
      <w:r>
        <w:rPr>
          <w:rFonts w:hint="eastAsia" w:hAnsi="宋体" w:eastAsia="宋体" w:cs="宋体"/>
          <w:sz w:val="24"/>
          <w:szCs w:val="24"/>
          <w:shd w:val="clear" w:color="auto" w:fill="FFFFFF"/>
          <w:lang w:val="en-US" w:eastAsia="zh-CN"/>
        </w:rPr>
        <w:t>采购</w:t>
      </w:r>
      <w:r>
        <w:rPr>
          <w:rFonts w:hint="eastAsia" w:hAnsi="宋体" w:eastAsia="宋体" w:cs="宋体"/>
          <w:sz w:val="24"/>
          <w:szCs w:val="24"/>
          <w:shd w:val="clear" w:color="auto" w:fill="FFFFFF"/>
        </w:rPr>
        <w:t>代理机构为江苏国信政府采购服务中心有限公司</w:t>
      </w:r>
      <w:r>
        <w:rPr>
          <w:rFonts w:hint="eastAsia" w:hAnsi="宋体" w:eastAsia="宋体" w:cs="宋体"/>
          <w:sz w:val="24"/>
          <w:szCs w:val="24"/>
          <w:shd w:val="clear" w:color="auto" w:fill="FFFFFF"/>
          <w:lang w:val="zh-TW" w:eastAsia="zh-TW"/>
        </w:rPr>
        <w:t>。</w:t>
      </w:r>
    </w:p>
    <w:p w14:paraId="0A5D2EA3">
      <w:pPr>
        <w:snapToGrid w:val="0"/>
        <w:spacing w:beforeLines="0" w:afterLines="0"/>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sz w:val="24"/>
          <w:szCs w:val="24"/>
        </w:rPr>
        <w:t>本项目为企业采购，非依法</w:t>
      </w:r>
      <w:r>
        <w:rPr>
          <w:rFonts w:hint="eastAsia" w:hAnsi="宋体" w:eastAsia="宋体" w:cs="宋体"/>
          <w:sz w:val="24"/>
          <w:szCs w:val="24"/>
          <w:lang w:val="en-US" w:eastAsia="zh-CN"/>
        </w:rPr>
        <w:t>必须</w:t>
      </w:r>
      <w:r>
        <w:rPr>
          <w:rFonts w:hint="eastAsia" w:hAnsi="宋体" w:eastAsia="宋体" w:cs="宋体"/>
          <w:sz w:val="24"/>
          <w:szCs w:val="24"/>
        </w:rPr>
        <w:t>招标项目，</w:t>
      </w:r>
      <w:r>
        <w:rPr>
          <w:rFonts w:hint="eastAsia" w:hAnsi="宋体" w:eastAsia="宋体" w:cs="宋体"/>
          <w:sz w:val="24"/>
          <w:szCs w:val="24"/>
          <w:lang w:val="en-US" w:eastAsia="zh-CN"/>
        </w:rPr>
        <w:t>其中</w:t>
      </w:r>
      <w:r>
        <w:rPr>
          <w:rFonts w:hint="eastAsia" w:ascii="宋体" w:hAnsi="宋体" w:eastAsia="宋体" w:cs="宋体"/>
          <w:b w:val="0"/>
          <w:bCs w:val="0"/>
          <w:color w:val="auto"/>
          <w:kern w:val="0"/>
          <w:sz w:val="24"/>
          <w:szCs w:val="24"/>
          <w:shd w:val="clear" w:color="auto" w:fill="FFFFFF"/>
          <w:lang w:val="en-US" w:eastAsia="zh-CN"/>
        </w:rPr>
        <w:t>光纤和变压器加工设备及耗材</w:t>
      </w:r>
      <w:r>
        <w:rPr>
          <w:rFonts w:hint="eastAsia" w:hAnsi="宋体" w:eastAsia="宋体" w:cs="宋体"/>
          <w:sz w:val="24"/>
          <w:szCs w:val="24"/>
        </w:rPr>
        <w:t>采用磋商方式实施采购，</w:t>
      </w:r>
      <w:r>
        <w:rPr>
          <w:rFonts w:hint="eastAsia" w:ascii="宋体" w:hAnsi="宋体" w:eastAsia="宋体" w:cs="宋体"/>
          <w:color w:val="000000" w:themeColor="text1"/>
          <w:sz w:val="24"/>
          <w:szCs w:val="24"/>
          <w14:textFill>
            <w14:solidFill>
              <w14:schemeClr w14:val="tx1"/>
            </w14:solidFill>
          </w14:textFill>
        </w:rPr>
        <w:t>欢迎符合条件的供应商参加。</w:t>
      </w:r>
    </w:p>
    <w:p w14:paraId="37B103CA">
      <w:pPr>
        <w:tabs>
          <w:tab w:val="left" w:pos="1140"/>
        </w:tabs>
        <w:snapToGrid w:val="0"/>
        <w:spacing w:beforeLines="0" w:afterLines="0"/>
        <w:ind w:firstLine="446" w:firstLineChars="185"/>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一、采购项目名称：</w:t>
      </w:r>
      <w:r>
        <w:rPr>
          <w:rFonts w:hint="eastAsia" w:ascii="宋体" w:hAnsi="宋体" w:eastAsia="宋体" w:cs="宋体"/>
          <w:bCs/>
          <w:sz w:val="24"/>
          <w:szCs w:val="24"/>
        </w:rPr>
        <w:t>江苏方源集团有限公司遴选电子加工设备及耗材供应商</w:t>
      </w:r>
      <w:r>
        <w:rPr>
          <w:rFonts w:hint="eastAsia" w:ascii="宋体" w:hAnsi="宋体" w:eastAsia="宋体" w:cs="宋体"/>
          <w:bCs/>
          <w:sz w:val="24"/>
          <w:szCs w:val="24"/>
          <w:lang w:val="en-US" w:eastAsia="zh-CN"/>
        </w:rPr>
        <w:t>项目</w:t>
      </w:r>
      <w:bookmarkStart w:id="34" w:name="OLE_LINK1"/>
      <w:r>
        <w:rPr>
          <w:rFonts w:hint="eastAsia" w:ascii="宋体" w:hAnsi="宋体" w:eastAsia="宋体" w:cs="宋体"/>
          <w:bCs/>
          <w:sz w:val="24"/>
          <w:szCs w:val="24"/>
          <w:lang w:val="en-US" w:eastAsia="zh-CN"/>
        </w:rPr>
        <w:t>（</w:t>
      </w:r>
      <w:r>
        <w:rPr>
          <w:rFonts w:hint="eastAsia" w:ascii="宋体" w:hAnsi="宋体" w:eastAsia="宋体" w:cs="宋体"/>
          <w:b w:val="0"/>
          <w:bCs w:val="0"/>
          <w:color w:val="auto"/>
          <w:kern w:val="0"/>
          <w:sz w:val="24"/>
          <w:szCs w:val="24"/>
          <w:shd w:val="clear" w:color="auto" w:fill="FFFFFF"/>
          <w:lang w:val="en-US" w:eastAsia="zh-CN"/>
        </w:rPr>
        <w:t>光纤和变压器加工设备及耗材</w:t>
      </w:r>
      <w:r>
        <w:rPr>
          <w:rFonts w:hint="eastAsia" w:ascii="宋体" w:hAnsi="宋体" w:eastAsia="宋体" w:cs="宋体"/>
          <w:bCs/>
          <w:sz w:val="24"/>
          <w:szCs w:val="24"/>
          <w:lang w:val="en-US" w:eastAsia="zh-CN"/>
        </w:rPr>
        <w:t>）</w:t>
      </w:r>
      <w:bookmarkEnd w:id="34"/>
    </w:p>
    <w:p w14:paraId="18A5378D">
      <w:pPr>
        <w:snapToGrid w:val="0"/>
        <w:spacing w:beforeLines="0" w:afterLines="0"/>
        <w:ind w:firstLine="925" w:firstLineChars="384"/>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项目编号：</w:t>
      </w:r>
    </w:p>
    <w:p w14:paraId="621EAEB8">
      <w:pPr>
        <w:pStyle w:val="26"/>
        <w:tabs>
          <w:tab w:val="left" w:pos="1140"/>
        </w:tabs>
        <w:adjustRightInd w:val="0"/>
        <w:snapToGrid w:val="0"/>
        <w:spacing w:beforeLines="0" w:afterLines="0" w:line="360" w:lineRule="auto"/>
        <w:ind w:firstLine="446" w:firstLineChars="185"/>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二、采购项目简要说明：</w:t>
      </w:r>
    </w:p>
    <w:p w14:paraId="076B7C6B">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2.1采购需求：江苏方源集团有限公司下属子公司所需</w:t>
      </w:r>
      <w:r>
        <w:rPr>
          <w:rFonts w:hint="eastAsia" w:ascii="宋体" w:hAnsi="宋体" w:eastAsia="宋体" w:cs="宋体"/>
          <w:b w:val="0"/>
          <w:bCs w:val="0"/>
          <w:color w:val="auto"/>
          <w:kern w:val="0"/>
          <w:sz w:val="24"/>
          <w:szCs w:val="24"/>
          <w:shd w:val="clear" w:color="auto" w:fill="FFFFFF"/>
          <w:lang w:val="en-US" w:eastAsia="zh-CN"/>
        </w:rPr>
        <w:t>光纤和变压器加工设备及耗材</w:t>
      </w:r>
      <w:r>
        <w:rPr>
          <w:rFonts w:hint="eastAsia" w:ascii="宋体" w:hAnsi="宋体" w:eastAsia="宋体"/>
          <w:bCs/>
          <w:sz w:val="24"/>
          <w:szCs w:val="24"/>
        </w:rPr>
        <w:t>，现分</w:t>
      </w:r>
      <w:r>
        <w:rPr>
          <w:rFonts w:hint="eastAsia" w:hAnsi="宋体" w:eastAsia="宋体"/>
          <w:bCs/>
          <w:sz w:val="24"/>
          <w:szCs w:val="24"/>
          <w:lang w:val="en-US" w:eastAsia="zh-CN"/>
        </w:rPr>
        <w:t>四</w:t>
      </w:r>
      <w:r>
        <w:rPr>
          <w:rFonts w:hint="eastAsia" w:ascii="宋体" w:hAnsi="宋体" w:eastAsia="宋体"/>
          <w:bCs/>
          <w:sz w:val="24"/>
          <w:szCs w:val="24"/>
        </w:rPr>
        <w:t>个标段遴选设备及耗材供应商，标段划分如下：</w:t>
      </w:r>
    </w:p>
    <w:p w14:paraId="49F62078">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标段一：光纤加工设备（主要包括裁缆绕扎线设备、穿散设备、固化压接设备、研磨设备、检测设备等），</w:t>
      </w:r>
      <w:r>
        <w:rPr>
          <w:rFonts w:hint="eastAsia" w:ascii="宋体" w:hAnsi="宋体" w:eastAsia="宋体"/>
          <w:bCs/>
          <w:color w:val="000000" w:themeColor="text1"/>
          <w:sz w:val="24"/>
          <w:szCs w:val="24"/>
          <w14:textFill>
            <w14:solidFill>
              <w14:schemeClr w14:val="tx1"/>
            </w14:solidFill>
          </w14:textFill>
        </w:rPr>
        <w:t>拟</w:t>
      </w:r>
      <w:r>
        <w:rPr>
          <w:rFonts w:hint="eastAsia" w:ascii="宋体" w:hAnsi="宋体" w:eastAsia="宋体"/>
          <w:bCs/>
          <w:sz w:val="24"/>
          <w:szCs w:val="24"/>
        </w:rPr>
        <w:t>确定5家供应商；</w:t>
      </w:r>
    </w:p>
    <w:p w14:paraId="79F0C285">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标段二：</w:t>
      </w:r>
      <w:r>
        <w:rPr>
          <w:rFonts w:hint="eastAsia" w:ascii="宋体" w:hAnsi="宋体" w:eastAsia="宋体" w:cs="宋体"/>
          <w:sz w:val="24"/>
          <w:szCs w:val="24"/>
        </w:rPr>
        <w:t>变压器加工设备</w:t>
      </w:r>
      <w:r>
        <w:rPr>
          <w:rFonts w:hint="eastAsia" w:ascii="宋体" w:hAnsi="宋体" w:eastAsia="宋体"/>
          <w:bCs/>
          <w:sz w:val="24"/>
          <w:szCs w:val="24"/>
        </w:rPr>
        <w:t>（主要包括切线绕线设备、焊接设备、包胶设备、加热设备、检测设备等），拟确定3家供应商；</w:t>
      </w:r>
    </w:p>
    <w:p w14:paraId="077F6A4B">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标段三：光纤加工耗材（主要包括插芯、插芯胶水、抛光片、研磨纸、研磨垫、研磨液等），拟确定5家供应商；</w:t>
      </w:r>
    </w:p>
    <w:p w14:paraId="6344A148">
      <w:pPr>
        <w:pStyle w:val="27"/>
        <w:snapToGrid w:val="0"/>
        <w:spacing w:beforeLines="0" w:afterLines="0"/>
        <w:outlineLvl w:val="9"/>
        <w:rPr>
          <w:rFonts w:hint="eastAsia" w:ascii="宋体" w:hAnsi="宋体" w:eastAsia="宋体"/>
          <w:bCs/>
          <w:sz w:val="24"/>
          <w:szCs w:val="24"/>
          <w:lang w:eastAsia="zh-CN"/>
        </w:rPr>
      </w:pPr>
      <w:r>
        <w:rPr>
          <w:rFonts w:hint="eastAsia" w:ascii="宋体" w:hAnsi="宋体" w:eastAsia="宋体"/>
          <w:bCs/>
          <w:sz w:val="24"/>
          <w:szCs w:val="24"/>
        </w:rPr>
        <w:t>标段四：</w:t>
      </w:r>
      <w:r>
        <w:rPr>
          <w:rFonts w:hint="eastAsia" w:ascii="宋体" w:hAnsi="宋体" w:eastAsia="宋体" w:cs="宋体"/>
          <w:sz w:val="24"/>
          <w:szCs w:val="24"/>
        </w:rPr>
        <w:t>变压器及线路板耗材（主要包括助焊剂、</w:t>
      </w:r>
      <w:r>
        <w:rPr>
          <w:rFonts w:hint="eastAsia" w:ascii="宋体" w:hAnsi="宋体" w:eastAsia="宋体" w:cs="宋体"/>
          <w:color w:val="auto"/>
          <w:sz w:val="24"/>
          <w:szCs w:val="24"/>
        </w:rPr>
        <w:t>绝缘漆</w:t>
      </w:r>
      <w:r>
        <w:rPr>
          <w:rFonts w:hint="eastAsia" w:ascii="宋体" w:hAnsi="宋体" w:eastAsia="宋体" w:cs="宋体"/>
          <w:sz w:val="24"/>
          <w:szCs w:val="24"/>
        </w:rPr>
        <w:t>、清洁剂、</w:t>
      </w:r>
      <w:r>
        <w:rPr>
          <w:rFonts w:hint="eastAsia" w:ascii="宋体" w:hAnsi="宋体" w:eastAsia="宋体" w:cs="宋体"/>
          <w:color w:val="auto"/>
          <w:sz w:val="24"/>
          <w:szCs w:val="24"/>
        </w:rPr>
        <w:t>稀释剂</w:t>
      </w:r>
      <w:r>
        <w:rPr>
          <w:rFonts w:hint="eastAsia" w:ascii="宋体" w:hAnsi="宋体" w:eastAsia="宋体" w:cs="宋体"/>
          <w:sz w:val="24"/>
          <w:szCs w:val="24"/>
        </w:rPr>
        <w:t>、</w:t>
      </w:r>
      <w:r>
        <w:rPr>
          <w:rFonts w:hint="eastAsia" w:ascii="宋体" w:hAnsi="宋体" w:eastAsia="宋体" w:cs="宋体"/>
          <w:sz w:val="24"/>
          <w:szCs w:val="24"/>
          <w:highlight w:val="none"/>
        </w:rPr>
        <w:t>白胶等</w:t>
      </w:r>
      <w:r>
        <w:rPr>
          <w:rFonts w:hint="eastAsia" w:ascii="宋体" w:hAnsi="宋体" w:eastAsia="宋体" w:cs="宋体"/>
          <w:sz w:val="24"/>
          <w:szCs w:val="24"/>
        </w:rPr>
        <w:t>）</w:t>
      </w:r>
      <w:r>
        <w:rPr>
          <w:rFonts w:hint="eastAsia" w:ascii="宋体" w:hAnsi="宋体" w:eastAsia="宋体"/>
          <w:bCs/>
          <w:sz w:val="24"/>
          <w:szCs w:val="24"/>
        </w:rPr>
        <w:t>，拟确定3家供应商</w:t>
      </w:r>
      <w:r>
        <w:rPr>
          <w:rFonts w:hint="eastAsia" w:hAnsi="宋体" w:eastAsia="宋体"/>
          <w:bCs/>
          <w:sz w:val="24"/>
          <w:szCs w:val="24"/>
          <w:lang w:eastAsia="zh-CN"/>
        </w:rPr>
        <w:t>。</w:t>
      </w:r>
    </w:p>
    <w:p w14:paraId="6DAA11C4">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2.2 项目金额及资金来源：共约</w:t>
      </w:r>
      <w:r>
        <w:rPr>
          <w:rFonts w:hint="eastAsia" w:hAnsi="宋体" w:eastAsia="宋体"/>
          <w:bCs/>
          <w:sz w:val="24"/>
          <w:szCs w:val="24"/>
          <w:lang w:val="en-US" w:eastAsia="zh-CN"/>
        </w:rPr>
        <w:t>1</w:t>
      </w:r>
      <w:r>
        <w:rPr>
          <w:rFonts w:hint="eastAsia" w:ascii="宋体" w:hAnsi="宋体" w:eastAsia="宋体"/>
          <w:bCs/>
          <w:sz w:val="24"/>
          <w:szCs w:val="24"/>
        </w:rPr>
        <w:t>500万元（标段一约500万元，标段二约100万元，标段三约700万元，标段四约200万元。以上金额均为合同履行期限内预估数，</w:t>
      </w:r>
      <w:r>
        <w:rPr>
          <w:rFonts w:hint="eastAsia" w:ascii="宋体" w:hAnsi="宋体" w:eastAsia="宋体"/>
          <w:bCs/>
          <w:color w:val="auto"/>
          <w:sz w:val="24"/>
          <w:szCs w:val="24"/>
        </w:rPr>
        <w:t>实际采购金额</w:t>
      </w:r>
      <w:r>
        <w:rPr>
          <w:rFonts w:hint="eastAsia" w:ascii="宋体" w:hAnsi="宋体" w:eastAsia="宋体"/>
          <w:bCs/>
          <w:sz w:val="24"/>
          <w:szCs w:val="24"/>
        </w:rPr>
        <w:t>以合同期内实际发生金额为准），企业自有资金。</w:t>
      </w:r>
    </w:p>
    <w:p w14:paraId="060733A0">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2.3交付时间：按</w:t>
      </w:r>
      <w:r>
        <w:rPr>
          <w:rFonts w:hint="eastAsia" w:hAnsi="宋体" w:eastAsia="宋体"/>
          <w:sz w:val="24"/>
          <w:szCs w:val="24"/>
          <w:shd w:val="clear" w:color="auto" w:fill="FFFFFF"/>
        </w:rPr>
        <w:t>采购人终端用户江苏方源集团有限公司下属子公司通知的时间</w:t>
      </w:r>
      <w:r>
        <w:rPr>
          <w:rFonts w:hint="eastAsia" w:ascii="宋体" w:hAnsi="宋体" w:eastAsia="宋体"/>
          <w:bCs/>
          <w:sz w:val="24"/>
          <w:szCs w:val="24"/>
        </w:rPr>
        <w:t>供货。</w:t>
      </w:r>
    </w:p>
    <w:p w14:paraId="7AC059D7">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2.4合同履行期限：2024年xx月1日—2025年xx月xx日。</w:t>
      </w:r>
    </w:p>
    <w:p w14:paraId="550651CF">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2.5本项目采购接受电子加工设备及耗材的制造商或经销商参加，每个供应商根据自身产品情况可以投一个或多个标段，兼投兼中。供应商成交入围后其产品可以在成交的标段上架销售。</w:t>
      </w:r>
    </w:p>
    <w:p w14:paraId="61B864AE">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2.6 单位负责人为同一人或者存在直接控股、管理关系的不同供应商，不得同时参加同一标段采购。</w:t>
      </w:r>
    </w:p>
    <w:p w14:paraId="6A691E07">
      <w:pPr>
        <w:pStyle w:val="27"/>
        <w:snapToGrid w:val="0"/>
        <w:spacing w:beforeLines="0" w:afterLines="0"/>
        <w:outlineLvl w:val="9"/>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sz w:val="24"/>
          <w:szCs w:val="24"/>
        </w:rPr>
        <w:t xml:space="preserve">2.7 </w:t>
      </w:r>
      <w:r>
        <w:rPr>
          <w:rFonts w:hint="eastAsia" w:ascii="宋体" w:hAnsi="宋体" w:eastAsia="宋体"/>
          <w:bCs/>
          <w:color w:val="000000" w:themeColor="text1"/>
          <w:sz w:val="24"/>
          <w:szCs w:val="24"/>
          <w14:textFill>
            <w14:solidFill>
              <w14:schemeClr w14:val="tx1"/>
            </w14:solidFill>
          </w14:textFill>
        </w:rPr>
        <w:t>本项目不接受联合体参加。</w:t>
      </w:r>
    </w:p>
    <w:p w14:paraId="04DB4E12">
      <w:pPr>
        <w:pStyle w:val="27"/>
        <w:snapToGrid w:val="0"/>
        <w:spacing w:beforeLines="0" w:afterLines="0"/>
        <w:ind w:firstLine="446" w:firstLineChars="185"/>
        <w:outlineLvl w:val="9"/>
        <w:rPr>
          <w:rFonts w:hint="eastAsia" w:ascii="宋体" w:hAnsi="宋体" w:eastAsia="宋体"/>
          <w:bCs/>
          <w:sz w:val="24"/>
          <w:szCs w:val="24"/>
        </w:rPr>
      </w:pPr>
      <w:r>
        <w:rPr>
          <w:rFonts w:hint="eastAsia" w:ascii="宋体" w:hAnsi="宋体" w:eastAsia="宋体"/>
          <w:b/>
          <w:bCs/>
          <w:color w:val="000000" w:themeColor="text1"/>
          <w:sz w:val="24"/>
          <w:szCs w:val="24"/>
          <w14:textFill>
            <w14:solidFill>
              <w14:schemeClr w14:val="tx1"/>
            </w14:solidFill>
          </w14:textFill>
        </w:rPr>
        <w:t>三、供应商资格条件：</w:t>
      </w:r>
    </w:p>
    <w:p w14:paraId="05C19897">
      <w:pPr>
        <w:widowControl/>
        <w:shd w:val="clear" w:color="auto" w:fill="FFFFFF"/>
        <w:snapToGrid w:val="0"/>
        <w:spacing w:beforeLines="0" w:afterLines="0"/>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参加磋商供应商应符合下列规定的条件，并提供相关材料：</w:t>
      </w:r>
    </w:p>
    <w:p w14:paraId="5D869522">
      <w:pPr>
        <w:widowControl/>
        <w:shd w:val="clear" w:color="auto" w:fill="FFFFFF"/>
        <w:snapToGrid w:val="0"/>
        <w:spacing w:beforeLines="0" w:afterLines="0"/>
        <w:ind w:firstLine="480" w:firstLineChars="200"/>
        <w:jc w:val="left"/>
        <w:outlineLvl w:val="9"/>
        <w:rPr>
          <w:rFonts w:hint="eastAsia" w:ascii="宋体" w:hAnsi="宋体" w:eastAsia="宋体" w:cs="宋体"/>
          <w:bCs/>
          <w:i w:val="0"/>
          <w:iCs w:val="0"/>
          <w:sz w:val="24"/>
          <w:szCs w:val="24"/>
          <w:u w:val="none"/>
        </w:rPr>
      </w:pPr>
      <w:r>
        <w:rPr>
          <w:rFonts w:hint="eastAsia" w:ascii="宋体" w:hAnsi="宋体" w:eastAsia="宋体" w:cs="宋体"/>
          <w:bCs/>
          <w:i w:val="0"/>
          <w:iCs w:val="0"/>
          <w:sz w:val="24"/>
          <w:szCs w:val="24"/>
          <w:u w:val="none"/>
        </w:rPr>
        <w:t>3.1具有独立承担民事责任的能力；（提供法人或者其他组织的营业执照等证明材料）</w:t>
      </w:r>
    </w:p>
    <w:p w14:paraId="62386081">
      <w:pPr>
        <w:widowControl/>
        <w:shd w:val="clear" w:color="auto" w:fill="FFFFFF"/>
        <w:snapToGrid w:val="0"/>
        <w:spacing w:beforeLines="0" w:afterLines="0"/>
        <w:ind w:firstLine="480" w:firstLineChars="200"/>
        <w:jc w:val="left"/>
        <w:outlineLvl w:val="9"/>
        <w:rPr>
          <w:rFonts w:hint="eastAsia" w:ascii="宋体" w:hAnsi="宋体" w:eastAsia="宋体" w:cs="宋体"/>
          <w:bCs/>
          <w:i w:val="0"/>
          <w:iCs w:val="0"/>
          <w:sz w:val="24"/>
          <w:szCs w:val="24"/>
          <w:u w:val="none"/>
        </w:rPr>
      </w:pPr>
      <w:r>
        <w:rPr>
          <w:rFonts w:hint="eastAsia" w:ascii="宋体" w:hAnsi="宋体" w:eastAsia="宋体" w:cs="宋体"/>
          <w:bCs/>
          <w:i w:val="0"/>
          <w:iCs w:val="0"/>
          <w:sz w:val="24"/>
          <w:szCs w:val="24"/>
          <w:u w:val="none"/>
        </w:rPr>
        <w:t>3.2具有良好的商业信誉和健全的财务会计制度；（</w:t>
      </w:r>
      <w:r>
        <w:rPr>
          <w:rFonts w:hint="eastAsia" w:ascii="宋体" w:hAnsi="宋体" w:eastAsia="宋体" w:cs="宋体"/>
          <w:bCs/>
          <w:i w:val="0"/>
          <w:iCs w:val="0"/>
          <w:color w:val="000000" w:themeColor="text1"/>
          <w:sz w:val="24"/>
          <w:szCs w:val="24"/>
          <w:u w:val="none"/>
          <w14:textFill>
            <w14:solidFill>
              <w14:schemeClr w14:val="tx1"/>
            </w14:solidFill>
          </w14:textFill>
        </w:rPr>
        <w:t>提供上一年度的财务报表复印件并加盖公章，至少包括资产负债表、利润表；</w:t>
      </w:r>
      <w:r>
        <w:rPr>
          <w:rFonts w:hint="eastAsia" w:ascii="宋体" w:hAnsi="宋体" w:eastAsia="宋体" w:cs="宋体"/>
          <w:bCs/>
          <w:i w:val="0"/>
          <w:iCs w:val="0"/>
          <w:sz w:val="24"/>
          <w:szCs w:val="24"/>
          <w:u w:val="none"/>
        </w:rPr>
        <w:t>成立不满一年不需提供）</w:t>
      </w:r>
    </w:p>
    <w:p w14:paraId="7A927854">
      <w:pPr>
        <w:widowControl/>
        <w:shd w:val="clear" w:color="auto" w:fill="FFFFFF"/>
        <w:snapToGrid w:val="0"/>
        <w:spacing w:before="0" w:beforeLines="0" w:after="0" w:afterLines="0"/>
        <w:ind w:firstLine="480" w:firstLineChars="200"/>
        <w:jc w:val="left"/>
        <w:outlineLvl w:val="9"/>
        <w:rPr>
          <w:rFonts w:hint="eastAsia" w:ascii="宋体" w:hAnsi="宋体" w:eastAsia="宋体" w:cs="宋体"/>
          <w:bCs/>
          <w:i w:val="0"/>
          <w:iCs w:val="0"/>
          <w:sz w:val="24"/>
          <w:szCs w:val="24"/>
          <w:u w:val="none"/>
        </w:rPr>
      </w:pPr>
      <w:r>
        <w:rPr>
          <w:rFonts w:hint="eastAsia" w:ascii="宋体" w:hAnsi="宋体" w:eastAsia="宋体" w:cs="宋体"/>
          <w:bCs/>
          <w:i w:val="0"/>
          <w:iCs w:val="0"/>
          <w:sz w:val="24"/>
          <w:szCs w:val="24"/>
          <w:u w:val="none"/>
        </w:rPr>
        <w:t>3.3有依法缴纳税收和社会保障资金的良好记录；（提供提交响应文件时间一年内至少一个月的依法缴纳税收、社会保障资金的凭据复印件并加盖公章；供应商依法享受缓缴、免缴税收、社会保障资金的，提供证明材料）</w:t>
      </w:r>
    </w:p>
    <w:p w14:paraId="1EFD504C">
      <w:pPr>
        <w:widowControl/>
        <w:shd w:val="clear" w:color="auto" w:fill="FFFFFF"/>
        <w:snapToGrid w:val="0"/>
        <w:spacing w:before="0" w:beforeLines="0" w:after="0" w:afterLines="0"/>
        <w:ind w:firstLine="480" w:firstLineChars="200"/>
        <w:jc w:val="left"/>
        <w:outlineLvl w:val="9"/>
        <w:rPr>
          <w:rFonts w:hint="eastAsia" w:ascii="宋体" w:hAnsi="宋体" w:eastAsia="宋体" w:cs="宋体"/>
          <w:sz w:val="24"/>
          <w:lang w:eastAsia="zh-CN"/>
        </w:rPr>
      </w:pPr>
      <w:r>
        <w:rPr>
          <w:rFonts w:hint="eastAsia" w:ascii="宋体" w:hAnsi="宋体" w:eastAsia="宋体" w:cs="宋体"/>
          <w:sz w:val="24"/>
          <w:szCs w:val="24"/>
          <w:lang w:val="en-US" w:eastAsia="zh-CN"/>
        </w:rPr>
        <w:t>3.4</w:t>
      </w:r>
      <w:r>
        <w:rPr>
          <w:rFonts w:hint="eastAsia" w:ascii="宋体" w:hAnsi="宋体" w:eastAsia="宋体" w:cs="宋体"/>
          <w:sz w:val="24"/>
        </w:rPr>
        <w:t>参加本次采购活动前3年内在经营活动中没有重大违法记录</w:t>
      </w:r>
      <w:r>
        <w:rPr>
          <w:rFonts w:hint="eastAsia" w:ascii="宋体" w:hAnsi="宋体" w:eastAsia="宋体" w:cs="宋体"/>
          <w:sz w:val="24"/>
          <w:lang w:eastAsia="zh-CN"/>
        </w:rPr>
        <w:t>；</w:t>
      </w:r>
      <w:r>
        <w:rPr>
          <w:rFonts w:hint="eastAsia" w:ascii="宋体" w:hAnsi="宋体" w:eastAsia="宋体" w:cs="宋体"/>
          <w:sz w:val="24"/>
        </w:rPr>
        <w:t>（提供书面声明）</w:t>
      </w:r>
    </w:p>
    <w:p w14:paraId="60CC2A64">
      <w:pPr>
        <w:widowControl/>
        <w:shd w:val="clear" w:color="auto" w:fill="FFFFFF"/>
        <w:snapToGrid w:val="0"/>
        <w:spacing w:before="0" w:beforeLines="0" w:after="0" w:afterLines="0"/>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3.5具备履行合同所必需的设备和专业技术能力；（提供承诺函）</w:t>
      </w:r>
    </w:p>
    <w:p w14:paraId="4AC31A8D">
      <w:pPr>
        <w:widowControl/>
        <w:snapToGrid/>
        <w:spacing w:beforeLines="0" w:afterLines="0"/>
        <w:ind w:firstLine="480"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bookmarkStart w:id="35" w:name="_Toc20560"/>
      <w:r>
        <w:rPr>
          <w:rFonts w:hint="eastAsia" w:ascii="宋体" w:hAnsi="宋体" w:eastAsia="宋体" w:cs="宋体"/>
          <w:kern w:val="0"/>
          <w:sz w:val="24"/>
          <w:szCs w:val="24"/>
          <w:lang w:val="en-US" w:eastAsia="zh-CN"/>
        </w:rPr>
        <w:t>3.6</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rPr>
        <w:t>被“信用中国”网站（www.creditchina.gov.cn）列入“失信被执行人”“</w:t>
      </w:r>
      <w:r>
        <w:rPr>
          <w:rFonts w:hint="eastAsia" w:ascii="宋体" w:hAnsi="宋体" w:eastAsia="宋体" w:cs="宋体"/>
          <w:sz w:val="24"/>
          <w:szCs w:val="24"/>
          <w:highlight w:val="none"/>
          <w:lang w:val="en-US" w:eastAsia="zh-CN"/>
        </w:rPr>
        <w:t>重大税收违法失信主体</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且未</w:t>
      </w:r>
      <w:r>
        <w:rPr>
          <w:rFonts w:hint="eastAsia" w:ascii="宋体" w:hAnsi="宋体" w:eastAsia="宋体" w:cs="宋体"/>
          <w:sz w:val="24"/>
          <w:szCs w:val="24"/>
          <w:highlight w:val="none"/>
        </w:rPr>
        <w:t>被“国家企业信用信息公示系统”网站（www.gsxt.gov.cn/index.html）列入“严重违法失信企业名单”。（</w:t>
      </w:r>
      <w:r>
        <w:rPr>
          <w:rFonts w:hint="eastAsia" w:ascii="宋体" w:hAnsi="宋体" w:eastAsia="宋体" w:cs="宋体"/>
          <w:sz w:val="24"/>
          <w:szCs w:val="24"/>
          <w:highlight w:val="none"/>
          <w:lang w:val="en-US" w:eastAsia="zh-CN"/>
        </w:rPr>
        <w:t>提供网站截图并加盖公章，</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响应文件开启</w:t>
      </w:r>
      <w:r>
        <w:rPr>
          <w:rFonts w:hint="eastAsia" w:ascii="宋体" w:hAnsi="宋体" w:eastAsia="宋体" w:cs="宋体"/>
          <w:sz w:val="24"/>
          <w:szCs w:val="24"/>
          <w:highlight w:val="none"/>
        </w:rPr>
        <w:t>当日网站查询结果为准）</w:t>
      </w:r>
      <w:bookmarkEnd w:id="35"/>
    </w:p>
    <w:p w14:paraId="58F84AF8">
      <w:pPr>
        <w:snapToGrid w:val="0"/>
        <w:spacing w:beforeLines="0" w:afterLines="0"/>
        <w:ind w:firstLine="446" w:firstLineChars="185"/>
        <w:outlineLvl w:val="9"/>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t>四、</w:t>
      </w:r>
      <w:r>
        <w:rPr>
          <w:rFonts w:hint="eastAsia" w:ascii="宋体" w:hAnsi="宋体" w:eastAsia="宋体" w:cs="宋体"/>
          <w:b/>
          <w:bCs/>
          <w:sz w:val="24"/>
          <w:szCs w:val="24"/>
        </w:rPr>
        <w:t>磋商文件的获取：</w:t>
      </w:r>
    </w:p>
    <w:p w14:paraId="56A90E7A">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4.1</w:t>
      </w:r>
      <w:r>
        <w:rPr>
          <w:rFonts w:hint="eastAsia" w:ascii="宋体" w:hAnsi="宋体" w:eastAsia="宋体" w:cs="宋体"/>
          <w:bCs/>
          <w:color w:val="auto"/>
          <w:sz w:val="24"/>
          <w:szCs w:val="24"/>
        </w:rPr>
        <w:t>获取时间：从2024年XX月XX日9时00分到2024年XX月XX日17时00分。</w:t>
      </w:r>
    </w:p>
    <w:p w14:paraId="235C6739">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4.2</w:t>
      </w:r>
      <w:r>
        <w:rPr>
          <w:rFonts w:hint="eastAsia" w:ascii="宋体" w:hAnsi="宋体" w:eastAsia="宋体" w:cs="宋体"/>
          <w:bCs/>
          <w:color w:val="auto"/>
          <w:sz w:val="24"/>
          <w:szCs w:val="24"/>
        </w:rPr>
        <w:t>获取方式：</w:t>
      </w:r>
    </w:p>
    <w:p w14:paraId="5AF5B91E">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现场获取：单位法定代表人或</w:t>
      </w:r>
      <w:r>
        <w:rPr>
          <w:rFonts w:hint="eastAsia" w:ascii="宋体" w:hAnsi="宋体" w:eastAsia="宋体" w:cs="宋体"/>
          <w:bCs/>
          <w:color w:val="auto"/>
          <w:sz w:val="24"/>
          <w:szCs w:val="24"/>
          <w:lang w:val="en-US" w:eastAsia="zh-CN"/>
        </w:rPr>
        <w:t>授权代表</w:t>
      </w:r>
      <w:r>
        <w:rPr>
          <w:rFonts w:hint="eastAsia" w:ascii="宋体" w:hAnsi="宋体" w:eastAsia="宋体" w:cs="宋体"/>
          <w:bCs/>
          <w:color w:val="auto"/>
          <w:sz w:val="24"/>
          <w:szCs w:val="24"/>
        </w:rPr>
        <w:t>携带相关资料（《</w:t>
      </w:r>
      <w:r>
        <w:rPr>
          <w:rFonts w:hint="eastAsia" w:ascii="宋体" w:hAnsi="宋体" w:eastAsia="宋体" w:cs="宋体"/>
          <w:bCs/>
          <w:color w:val="auto"/>
          <w:sz w:val="24"/>
          <w:szCs w:val="24"/>
          <w:lang w:val="en-US"/>
        </w:rPr>
        <w:t>报名确认函</w:t>
      </w:r>
      <w:r>
        <w:rPr>
          <w:rFonts w:hint="eastAsia" w:ascii="宋体" w:hAnsi="宋体" w:eastAsia="宋体" w:cs="宋体"/>
          <w:bCs/>
          <w:color w:val="auto"/>
          <w:sz w:val="24"/>
          <w:szCs w:val="24"/>
        </w:rPr>
        <w:t>》、营业执照副本复印件加盖公章、法定代表人授权委托书及授权代表身份证复印件加盖公章。如为法定代表人</w:t>
      </w:r>
      <w:bookmarkStart w:id="36" w:name="_Toc28359082"/>
      <w:r>
        <w:rPr>
          <w:rFonts w:hint="eastAsia" w:ascii="宋体" w:hAnsi="宋体" w:eastAsia="宋体" w:cs="宋体"/>
          <w:bCs/>
          <w:color w:val="auto"/>
          <w:sz w:val="24"/>
          <w:szCs w:val="24"/>
        </w:rPr>
        <w:t>，则无需提供授权委托书</w:t>
      </w:r>
      <w:bookmarkEnd w:id="36"/>
      <w:r>
        <w:rPr>
          <w:rFonts w:hint="eastAsia" w:ascii="宋体" w:hAnsi="宋体" w:eastAsia="宋体" w:cs="宋体"/>
          <w:bCs/>
          <w:color w:val="auto"/>
          <w:sz w:val="24"/>
          <w:szCs w:val="24"/>
        </w:rPr>
        <w:t>）至</w:t>
      </w:r>
      <w:r>
        <w:rPr>
          <w:rFonts w:hint="eastAsia" w:ascii="宋体" w:hAnsi="宋体" w:eastAsia="宋体" w:cs="宋体"/>
          <w:color w:val="000000" w:themeColor="text1"/>
          <w:sz w:val="24"/>
          <w:szCs w:val="24"/>
          <w14:textFill>
            <w14:solidFill>
              <w14:schemeClr w14:val="tx1"/>
            </w14:solidFill>
          </w14:textFill>
        </w:rPr>
        <w:t>南京市鼓楼区水佑岗6号万谷硅巷8楼</w:t>
      </w:r>
      <w:r>
        <w:rPr>
          <w:rFonts w:hint="eastAsia" w:ascii="宋体" w:hAnsi="宋体" w:eastAsia="宋体" w:cs="宋体"/>
          <w:bCs/>
          <w:color w:val="auto"/>
          <w:sz w:val="24"/>
          <w:szCs w:val="24"/>
        </w:rPr>
        <w:t>获取。</w:t>
      </w:r>
    </w:p>
    <w:p w14:paraId="044F5BA8">
      <w:pPr>
        <w:pStyle w:val="52"/>
        <w:widowControl w:val="0"/>
        <w:wordWrap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线上获取：通过电子邮件方式发送至邮箱：gx18912930658@126.com。（注：报名邮件、附件资料请以“项目编号+单位名称+联系人+手机号码”命名，资料递交之后请联系代理机构确认报名资料是否递交成功，确认报名成功后的供应商将会收到本项目的电子版磋商文件）。</w:t>
      </w:r>
    </w:p>
    <w:p w14:paraId="0D775BC2">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注：如因供应商信息填写错误导致无法获取磋商文件，由报名的响应单位承担相应风险。注册为一次性工作，以后若有需要可变更及完善相关信息，同一单位不同的经办人可各自建立不同账户。</w:t>
      </w:r>
    </w:p>
    <w:p w14:paraId="2C90E9F5">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4.3</w:t>
      </w:r>
      <w:r>
        <w:rPr>
          <w:rFonts w:hint="eastAsia" w:ascii="宋体" w:hAnsi="宋体" w:eastAsia="宋体" w:cs="宋体"/>
          <w:bCs/>
          <w:color w:val="auto"/>
          <w:sz w:val="24"/>
          <w:szCs w:val="24"/>
        </w:rPr>
        <w:t>开票咨询电话：赵工：18912930658</w:t>
      </w:r>
    </w:p>
    <w:p w14:paraId="635117DB">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文本制作费： 元/标段，售后不退。</w:t>
      </w:r>
    </w:p>
    <w:p w14:paraId="5AFB437B">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本项目文本制作费支持支付宝及转账支付，信息如下：</w:t>
      </w:r>
    </w:p>
    <w:p w14:paraId="085824A9">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A、支付宝付款码详细咨询电话：赵工：18912930658</w:t>
      </w:r>
    </w:p>
    <w:p w14:paraId="087F699B">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B、开户银行及账户：</w:t>
      </w:r>
    </w:p>
    <w:p w14:paraId="717720D9">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公司名称：</w:t>
      </w:r>
      <w:r>
        <w:rPr>
          <w:rFonts w:hint="eastAsia" w:ascii="宋体" w:hAnsi="宋体" w:eastAsia="宋体" w:cs="宋体"/>
          <w:color w:val="000000" w:themeColor="text1"/>
          <w:sz w:val="24"/>
          <w:szCs w:val="24"/>
          <w14:textFill>
            <w14:solidFill>
              <w14:schemeClr w14:val="tx1"/>
            </w14:solidFill>
          </w14:textFill>
        </w:rPr>
        <w:t>江苏国信政府采购服务中心有限公司</w:t>
      </w:r>
    </w:p>
    <w:p w14:paraId="6B7788CF">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账号：上海银行南京湖南路支行</w:t>
      </w:r>
    </w:p>
    <w:p w14:paraId="7C684FC9">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开户行：03005013727</w:t>
      </w:r>
    </w:p>
    <w:p w14:paraId="3AE44D6B">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注：供应商支付时请备注项目简称及单位简称。</w:t>
      </w:r>
    </w:p>
    <w:p w14:paraId="776D12A5">
      <w:pPr>
        <w:snapToGrid w:val="0"/>
        <w:spacing w:beforeLines="0" w:afterLines="0"/>
        <w:ind w:firstLine="446" w:firstLineChars="185"/>
        <w:outlineLvl w:val="9"/>
        <w:rPr>
          <w:rFonts w:hint="eastAsia" w:ascii="宋体" w:hAnsi="宋体" w:eastAsia="宋体" w:cs="宋体"/>
          <w:b/>
          <w:bCs/>
          <w:color w:val="000000" w:themeColor="text1"/>
          <w:sz w:val="24"/>
          <w:szCs w:val="24"/>
          <w:lang w:val="zh-TW" w:eastAsia="zh-TW"/>
          <w14:textFill>
            <w14:solidFill>
              <w14:schemeClr w14:val="tx1"/>
            </w14:solidFill>
          </w14:textFill>
        </w:rPr>
      </w:pPr>
      <w:bookmarkStart w:id="37" w:name="_Toc501"/>
      <w:bookmarkStart w:id="38" w:name="_Toc24777"/>
      <w:bookmarkStart w:id="39" w:name="_Toc1025"/>
      <w:bookmarkStart w:id="40" w:name="_Toc12320"/>
      <w:bookmarkStart w:id="41" w:name="_Toc17534"/>
      <w:bookmarkStart w:id="42" w:name="_Toc20232"/>
      <w:bookmarkStart w:id="43" w:name="_Toc13829"/>
      <w:bookmarkStart w:id="44" w:name="_Toc24461"/>
      <w:bookmarkStart w:id="45" w:name="_Toc31967"/>
      <w:bookmarkStart w:id="46" w:name="_Toc6733"/>
      <w:bookmarkStart w:id="47" w:name="_Toc5684"/>
      <w:bookmarkStart w:id="48" w:name="_Toc28707"/>
      <w:bookmarkStart w:id="49" w:name="_Toc24130"/>
      <w:bookmarkStart w:id="50" w:name="_Toc15809"/>
      <w:bookmarkStart w:id="51" w:name="_Toc18932"/>
      <w:bookmarkStart w:id="52" w:name="_Toc18036"/>
      <w:r>
        <w:rPr>
          <w:rFonts w:hint="eastAsia" w:ascii="宋体" w:hAnsi="宋体" w:eastAsia="宋体" w:cs="宋体"/>
          <w:b/>
          <w:bCs/>
          <w:color w:val="000000" w:themeColor="text1"/>
          <w:sz w:val="24"/>
          <w:szCs w:val="24"/>
          <w:lang w:val="zh-TW" w:eastAsia="zh-TW"/>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响应</w:t>
      </w:r>
      <w:r>
        <w:rPr>
          <w:rFonts w:hint="eastAsia" w:ascii="宋体" w:hAnsi="宋体" w:eastAsia="宋体" w:cs="宋体"/>
          <w:b/>
          <w:bCs/>
          <w:color w:val="000000" w:themeColor="text1"/>
          <w:sz w:val="24"/>
          <w:szCs w:val="24"/>
          <w:lang w:val="zh-TW" w:eastAsia="zh-TW"/>
          <w14:textFill>
            <w14:solidFill>
              <w14:schemeClr w14:val="tx1"/>
            </w14:solidFill>
          </w14:textFill>
        </w:rPr>
        <w:t>文件的递交</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381156F">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响应文件接收开始时间：2024年xx月xx日09时00分（北京时间）</w:t>
      </w:r>
    </w:p>
    <w:p w14:paraId="50DAA1F4">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响应文件递交截止时间：2024年xx月xx日09时30分（北京时间）</w:t>
      </w:r>
    </w:p>
    <w:p w14:paraId="62AB44A9">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递交方式：纸质文件现场递交。</w:t>
      </w:r>
    </w:p>
    <w:p w14:paraId="1DDCCCCB">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lang w:val="zh-TW" w:eastAsia="zh-TW"/>
        </w:rPr>
      </w:pPr>
      <w:bookmarkStart w:id="53" w:name="_Toc4344"/>
      <w:bookmarkStart w:id="54" w:name="_Toc28918"/>
      <w:bookmarkStart w:id="55" w:name="_Toc4031"/>
      <w:bookmarkStart w:id="56" w:name="_Toc2263"/>
      <w:bookmarkStart w:id="57" w:name="_Toc2468"/>
      <w:bookmarkStart w:id="58" w:name="_Toc28700"/>
      <w:bookmarkStart w:id="59" w:name="_Toc30911"/>
      <w:bookmarkStart w:id="60" w:name="_Toc20167"/>
      <w:bookmarkStart w:id="61" w:name="_Toc13604"/>
      <w:bookmarkStart w:id="62" w:name="_Toc23688"/>
      <w:bookmarkStart w:id="63" w:name="_Toc6785"/>
      <w:bookmarkStart w:id="64" w:name="_Toc1256"/>
      <w:bookmarkStart w:id="65" w:name="_Toc13364"/>
      <w:bookmarkStart w:id="66" w:name="_Toc19410"/>
      <w:bookmarkStart w:id="67" w:name="_Toc12358"/>
      <w:bookmarkStart w:id="68" w:name="_Toc25799"/>
      <w:r>
        <w:rPr>
          <w:rFonts w:hint="eastAsia" w:ascii="宋体" w:hAnsi="宋体" w:eastAsia="宋体" w:cs="宋体"/>
          <w:bCs/>
          <w:color w:val="auto"/>
          <w:sz w:val="24"/>
          <w:szCs w:val="24"/>
          <w:lang w:val="zh-TW" w:eastAsia="zh-TW"/>
        </w:rPr>
        <w:t>六、</w:t>
      </w:r>
      <w:r>
        <w:rPr>
          <w:rFonts w:hint="eastAsia" w:ascii="宋体" w:hAnsi="宋体" w:eastAsia="宋体" w:cs="宋体"/>
          <w:bCs/>
          <w:color w:val="auto"/>
          <w:sz w:val="24"/>
          <w:szCs w:val="24"/>
        </w:rPr>
        <w:t>磋商</w:t>
      </w:r>
      <w:r>
        <w:rPr>
          <w:rFonts w:hint="eastAsia" w:ascii="宋体" w:hAnsi="宋体" w:eastAsia="宋体" w:cs="宋体"/>
          <w:bCs/>
          <w:color w:val="auto"/>
          <w:sz w:val="24"/>
          <w:szCs w:val="24"/>
          <w:lang w:val="zh-TW" w:eastAsia="zh-TW"/>
        </w:rPr>
        <w:t>时间及地点</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BCD4406">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磋商时间：2024年xx月xx日09时30分（北京时间）</w:t>
      </w:r>
    </w:p>
    <w:p w14:paraId="376DAB3A">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磋商地点：南京市鼓楼区水佑岗6号万谷硅巷负一楼会议室</w:t>
      </w:r>
    </w:p>
    <w:p w14:paraId="7E454F08">
      <w:pPr>
        <w:snapToGrid w:val="0"/>
        <w:spacing w:beforeLines="0" w:afterLines="0"/>
        <w:ind w:firstLine="446" w:firstLineChars="185"/>
        <w:outlineLvl w:val="9"/>
        <w:rPr>
          <w:rFonts w:hint="eastAsia" w:ascii="宋体" w:hAnsi="宋体" w:eastAsia="宋体" w:cs="宋体"/>
          <w:b/>
          <w:bCs/>
          <w:color w:val="000000" w:themeColor="text1"/>
          <w:sz w:val="24"/>
          <w:szCs w:val="24"/>
          <w:lang w:val="zh-TW" w:eastAsia="zh-TW"/>
          <w14:textFill>
            <w14:solidFill>
              <w14:schemeClr w14:val="tx1"/>
            </w14:solidFill>
          </w14:textFill>
        </w:rPr>
      </w:pPr>
      <w:bookmarkStart w:id="69" w:name="_Toc26582"/>
      <w:bookmarkStart w:id="70" w:name="_Toc27139"/>
      <w:bookmarkStart w:id="71" w:name="_Toc11258"/>
      <w:bookmarkStart w:id="72" w:name="_Toc27941"/>
      <w:bookmarkStart w:id="73" w:name="_Toc21283"/>
      <w:bookmarkStart w:id="74" w:name="_Toc28580"/>
      <w:bookmarkStart w:id="75" w:name="_Toc30924"/>
      <w:bookmarkStart w:id="76" w:name="_Toc18424"/>
      <w:bookmarkStart w:id="77" w:name="_Toc30064"/>
      <w:bookmarkStart w:id="78" w:name="_Toc15042"/>
      <w:bookmarkStart w:id="79" w:name="_Toc19384"/>
      <w:bookmarkStart w:id="80" w:name="_Toc4046"/>
      <w:bookmarkStart w:id="81" w:name="_Toc8252"/>
      <w:bookmarkStart w:id="82" w:name="_Toc22572"/>
      <w:bookmarkStart w:id="83" w:name="_Toc28141"/>
      <w:bookmarkStart w:id="84" w:name="_Toc13896"/>
      <w:r>
        <w:rPr>
          <w:rFonts w:hint="eastAsia" w:ascii="宋体" w:hAnsi="宋体" w:eastAsia="宋体" w:cs="宋体"/>
          <w:b/>
          <w:bCs/>
          <w:color w:val="000000" w:themeColor="text1"/>
          <w:sz w:val="24"/>
          <w:szCs w:val="24"/>
          <w:lang w:val="zh-TW" w:eastAsia="zh-TW"/>
          <w14:textFill>
            <w14:solidFill>
              <w14:schemeClr w14:val="tx1"/>
            </w14:solidFill>
          </w14:textFill>
        </w:rPr>
        <w:t>七、其他</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F80C013">
      <w:pPr>
        <w:pStyle w:val="52"/>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1、响应文件制作份数要求：（1）当磋商供应商投两个及以上标段时，须按磋商文件要求根据所参</w:t>
      </w:r>
      <w:r>
        <w:rPr>
          <w:rFonts w:hint="eastAsia" w:ascii="宋体" w:hAnsi="宋体" w:eastAsia="宋体" w:cs="宋体"/>
          <w:bCs/>
          <w:color w:val="auto"/>
          <w:sz w:val="24"/>
          <w:szCs w:val="24"/>
          <w:lang w:val="en-US" w:eastAsia="zh-CN"/>
        </w:rPr>
        <w:t>加</w:t>
      </w:r>
      <w:r>
        <w:rPr>
          <w:rFonts w:hint="eastAsia" w:ascii="宋体" w:hAnsi="宋体" w:eastAsia="宋体" w:cs="宋体"/>
          <w:bCs/>
          <w:color w:val="auto"/>
          <w:sz w:val="24"/>
          <w:szCs w:val="24"/>
        </w:rPr>
        <w:t>的标段分别编制、递交响应文件。（2）各标段包括：正本份数：1份，副本份数：6份，副本可为正本的复印件，电子版文件1份（电子版文件单独密封，密封袋应标明文件名为：磋商供应商名称、项目名称、项目编号及参加的标段号；电子版文件的存储载体为U盘，随纸质响应文件一并递交，电子版须包含：①响应文件正本加盖响应单位公章、签字后形成PDF扫描件②excel版本响应报价表（含分项报价））。当纸质正本文件与副本、电子版文件不一致时，以纸质正本文件为准。电子版文件用于辅助磋商和存档，磋商供应商须承担前述不一致造成的不利后果。每份纸质文件须清楚标明“正本”或“副本”字样。</w:t>
      </w:r>
    </w:p>
    <w:p w14:paraId="515E75C6">
      <w:pPr>
        <w:pStyle w:val="52"/>
        <w:keepNext w:val="0"/>
        <w:keepLines w:val="0"/>
        <w:pageBreakBefore w:val="0"/>
        <w:widowControl/>
        <w:kinsoku/>
        <w:wordWrap w:val="0"/>
        <w:overflowPunct/>
        <w:topLinePunct w:val="0"/>
        <w:autoSpaceDE/>
        <w:autoSpaceDN/>
        <w:bidi w:val="0"/>
        <w:adjustRightInd w:val="0"/>
        <w:snapToGrid w:val="0"/>
        <w:spacing w:beforeLines="0" w:afterLines="0" w:line="360" w:lineRule="auto"/>
        <w:ind w:firstLine="480" w:firstLineChars="200"/>
        <w:textAlignment w:val="auto"/>
        <w:outlineLvl w:val="9"/>
        <w:rPr>
          <w:rFonts w:hint="eastAsia" w:ascii="宋体" w:hAnsi="宋体" w:eastAsia="宋体" w:cs="宋体"/>
          <w:bCs/>
          <w:color w:val="auto"/>
          <w:sz w:val="24"/>
          <w:szCs w:val="24"/>
          <w:lang w:bidi="ar"/>
        </w:rPr>
      </w:pPr>
      <w:r>
        <w:rPr>
          <w:rFonts w:hint="eastAsia" w:ascii="宋体" w:hAnsi="宋体" w:eastAsia="宋体" w:cs="宋体"/>
          <w:bCs/>
          <w:color w:val="auto"/>
          <w:sz w:val="24"/>
          <w:szCs w:val="24"/>
          <w:lang w:bidi="ar"/>
        </w:rPr>
        <w:t>2、本公告在江苏省招标投标公共服务平台（https://www.jszbtb.com/#/newindex）上发布,有关本次磋商的事项若存在变动或修改，敬请及时关注江苏省招标投标公共服务平台（https://www.jszbtb.com/#/newindex）发布的信息更正公告。</w:t>
      </w:r>
    </w:p>
    <w:p w14:paraId="1662F16C">
      <w:pPr>
        <w:pStyle w:val="52"/>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lang w:bidi="ar"/>
        </w:rPr>
      </w:pPr>
      <w:r>
        <w:rPr>
          <w:rFonts w:hint="eastAsia" w:ascii="宋体" w:hAnsi="宋体" w:eastAsia="宋体" w:cs="宋体"/>
          <w:bCs/>
          <w:color w:val="auto"/>
          <w:sz w:val="24"/>
          <w:szCs w:val="24"/>
          <w:lang w:bidi="ar"/>
        </w:rPr>
        <w:t>3、发布日期：2024年xx月xx日</w:t>
      </w:r>
    </w:p>
    <w:p w14:paraId="5628D3BD">
      <w:pPr>
        <w:pStyle w:val="52"/>
        <w:snapToGrid w:val="0"/>
        <w:spacing w:beforeLines="0" w:afterLines="0" w:line="360" w:lineRule="auto"/>
        <w:ind w:firstLine="480" w:firstLineChars="200"/>
        <w:outlineLvl w:val="9"/>
        <w:rPr>
          <w:rFonts w:hint="eastAsia" w:ascii="宋体" w:hAnsi="宋体" w:eastAsia="宋体" w:cs="宋体"/>
          <w:bCs/>
          <w:color w:val="auto"/>
          <w:sz w:val="24"/>
          <w:szCs w:val="24"/>
          <w:lang w:bidi="ar"/>
        </w:rPr>
      </w:pPr>
      <w:r>
        <w:rPr>
          <w:rFonts w:hint="eastAsia" w:ascii="宋体" w:hAnsi="宋体" w:eastAsia="宋体" w:cs="宋体"/>
          <w:bCs/>
          <w:color w:val="auto"/>
          <w:sz w:val="24"/>
          <w:szCs w:val="24"/>
          <w:lang w:bidi="ar"/>
        </w:rPr>
        <w:t>4、</w:t>
      </w:r>
      <w:r>
        <w:rPr>
          <w:rFonts w:hint="eastAsia" w:ascii="宋体" w:hAnsi="宋体" w:eastAsia="宋体" w:cs="宋体"/>
          <w:bCs/>
          <w:color w:val="auto"/>
          <w:sz w:val="24"/>
          <w:szCs w:val="24"/>
        </w:rPr>
        <w:t>公告期限：自本公告发布之日起5个工作日。</w:t>
      </w:r>
    </w:p>
    <w:p w14:paraId="105DFCCD">
      <w:pPr>
        <w:snapToGrid w:val="0"/>
        <w:spacing w:beforeLines="0" w:afterLines="0"/>
        <w:ind w:firstLine="446" w:firstLineChars="185"/>
        <w:outlineLvl w:val="9"/>
        <w:rPr>
          <w:rFonts w:hint="eastAsia" w:ascii="宋体" w:hAnsi="宋体" w:eastAsia="宋体" w:cs="宋体"/>
          <w:b/>
          <w:bCs/>
          <w:color w:val="000000" w:themeColor="text1"/>
          <w:sz w:val="24"/>
          <w:szCs w:val="24"/>
          <w:lang w:val="zh-TW" w:eastAsia="zh-TW"/>
          <w14:textFill>
            <w14:solidFill>
              <w14:schemeClr w14:val="tx1"/>
            </w14:solidFill>
          </w14:textFill>
        </w:rPr>
      </w:pPr>
      <w:bookmarkStart w:id="85" w:name="_Toc7015"/>
      <w:bookmarkStart w:id="86" w:name="_Toc4375"/>
      <w:bookmarkStart w:id="87" w:name="_Toc23990"/>
      <w:bookmarkStart w:id="88" w:name="_Toc32229"/>
      <w:bookmarkStart w:id="89" w:name="_Toc19210"/>
      <w:bookmarkStart w:id="90" w:name="_Toc32582"/>
      <w:bookmarkStart w:id="91" w:name="_Toc14975"/>
      <w:bookmarkStart w:id="92" w:name="_Toc23556"/>
      <w:bookmarkStart w:id="93" w:name="_Toc12762"/>
      <w:bookmarkStart w:id="94" w:name="_Toc9065"/>
      <w:bookmarkStart w:id="95" w:name="_Toc8710"/>
      <w:bookmarkStart w:id="96" w:name="_Toc18320"/>
      <w:bookmarkStart w:id="97" w:name="_Toc1982"/>
      <w:bookmarkStart w:id="98" w:name="_Toc3123"/>
      <w:bookmarkStart w:id="99" w:name="_Toc31915"/>
      <w:bookmarkStart w:id="100" w:name="_Toc31641"/>
      <w:r>
        <w:rPr>
          <w:rFonts w:hint="eastAsia" w:ascii="宋体" w:hAnsi="宋体" w:eastAsia="宋体" w:cs="宋体"/>
          <w:b/>
          <w:bCs/>
          <w:color w:val="000000" w:themeColor="text1"/>
          <w:sz w:val="24"/>
          <w:szCs w:val="24"/>
          <w:lang w:val="zh-TW" w:eastAsia="zh-TW"/>
          <w14:textFill>
            <w14:solidFill>
              <w14:schemeClr w14:val="tx1"/>
            </w14:solidFill>
          </w14:textFill>
        </w:rPr>
        <w:t>八、监督部门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BB454F4">
      <w:pPr>
        <w:pStyle w:val="52"/>
        <w:widowControl w:val="0"/>
        <w:adjustRightInd w:val="0"/>
        <w:snapToGrid w:val="0"/>
        <w:spacing w:beforeLines="0" w:afterLines="0" w:line="360" w:lineRule="auto"/>
        <w:ind w:firstLine="480" w:firstLineChars="200"/>
        <w:outlineLvl w:val="9"/>
        <w:rPr>
          <w:rFonts w:hint="eastAsia" w:ascii="宋体" w:hAnsi="宋体" w:eastAsia="宋体" w:cs="宋体"/>
          <w:bCs/>
          <w:color w:val="auto"/>
          <w:sz w:val="24"/>
          <w:szCs w:val="24"/>
          <w:lang w:val="zh-TW" w:eastAsia="zh-TW" w:bidi="ar"/>
        </w:rPr>
      </w:pPr>
      <w:r>
        <w:rPr>
          <w:rFonts w:hint="eastAsia" w:ascii="宋体" w:hAnsi="宋体" w:eastAsia="宋体" w:cs="宋体"/>
          <w:bCs/>
          <w:color w:val="auto"/>
          <w:sz w:val="24"/>
          <w:szCs w:val="24"/>
          <w:lang w:val="zh-TW" w:eastAsia="zh-TW" w:bidi="ar"/>
        </w:rPr>
        <w:t>本</w:t>
      </w:r>
      <w:r>
        <w:rPr>
          <w:rFonts w:hint="eastAsia" w:ascii="宋体" w:hAnsi="宋体" w:eastAsia="宋体" w:cs="宋体"/>
          <w:bCs/>
          <w:color w:val="auto"/>
          <w:sz w:val="24"/>
          <w:szCs w:val="24"/>
          <w:lang w:bidi="ar"/>
        </w:rPr>
        <w:t>磋商</w:t>
      </w:r>
      <w:r>
        <w:rPr>
          <w:rFonts w:hint="eastAsia" w:ascii="宋体" w:hAnsi="宋体" w:eastAsia="宋体" w:cs="宋体"/>
          <w:bCs/>
          <w:color w:val="auto"/>
          <w:sz w:val="24"/>
          <w:szCs w:val="24"/>
          <w:lang w:val="zh-TW" w:eastAsia="zh-TW" w:bidi="ar"/>
        </w:rPr>
        <w:t>项目的监督部门为</w:t>
      </w:r>
      <w:r>
        <w:rPr>
          <w:rFonts w:hint="eastAsia" w:ascii="宋体" w:hAnsi="宋体" w:eastAsia="宋体" w:cs="宋体"/>
          <w:bCs/>
          <w:color w:val="auto"/>
          <w:sz w:val="24"/>
          <w:szCs w:val="24"/>
          <w:lang w:val="zh-TW" w:bidi="ar"/>
        </w:rPr>
        <w:t>江苏丰之源有限公司</w:t>
      </w:r>
      <w:r>
        <w:rPr>
          <w:rFonts w:hint="eastAsia" w:ascii="宋体" w:hAnsi="宋体" w:eastAsia="宋体" w:cs="宋体"/>
          <w:bCs/>
          <w:color w:val="auto"/>
          <w:sz w:val="24"/>
          <w:szCs w:val="24"/>
          <w:lang w:val="zh-TW" w:eastAsia="zh-TW" w:bidi="ar"/>
        </w:rPr>
        <w:t>。</w:t>
      </w:r>
    </w:p>
    <w:p w14:paraId="2A926C26">
      <w:pPr>
        <w:snapToGrid w:val="0"/>
        <w:spacing w:beforeLines="0" w:afterLines="0"/>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九、联系方式</w:t>
      </w:r>
    </w:p>
    <w:p w14:paraId="67208604">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bookmarkStart w:id="101" w:name="_Hlk513799366"/>
      <w:bookmarkEnd w:id="101"/>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bCs/>
          <w:sz w:val="24"/>
          <w:szCs w:val="24"/>
        </w:rPr>
        <w:t>江苏丰之源有限公司</w:t>
      </w:r>
    </w:p>
    <w:p w14:paraId="131D664B">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地址：江苏省南京市江宁区高湖路78号</w:t>
      </w:r>
    </w:p>
    <w:p w14:paraId="5A7793BB">
      <w:pPr>
        <w:snapToGrid w:val="0"/>
        <w:spacing w:beforeLines="0" w:afterLines="0"/>
        <w:ind w:firstLine="444" w:firstLineChars="185"/>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hAnsi="宋体" w:eastAsia="宋体" w:cs="宋体"/>
          <w:color w:val="000000" w:themeColor="text1"/>
          <w:sz w:val="24"/>
          <w:szCs w:val="24"/>
          <w:lang w:val="en-US" w:eastAsia="zh-CN"/>
          <w14:textFill>
            <w14:solidFill>
              <w14:schemeClr w14:val="tx1"/>
            </w14:solidFill>
          </w14:textFill>
        </w:rPr>
        <w:t>陈经理</w:t>
      </w:r>
    </w:p>
    <w:p w14:paraId="7C1B1CED">
      <w:pPr>
        <w:snapToGrid w:val="0"/>
        <w:spacing w:beforeLines="0" w:afterLines="0"/>
        <w:ind w:firstLine="444" w:firstLineChars="185"/>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联系电话：025-861090</w:t>
      </w:r>
      <w:r>
        <w:rPr>
          <w:rFonts w:hint="eastAsia" w:hAnsi="宋体" w:eastAsia="宋体" w:cs="宋体"/>
          <w:color w:val="000000" w:themeColor="text1"/>
          <w:sz w:val="24"/>
          <w:szCs w:val="24"/>
          <w:lang w:val="en-US" w:eastAsia="zh-CN"/>
          <w14:textFill>
            <w14:solidFill>
              <w14:schemeClr w14:val="tx1"/>
            </w14:solidFill>
          </w14:textFill>
        </w:rPr>
        <w:t>51</w:t>
      </w:r>
    </w:p>
    <w:p w14:paraId="6FA58645">
      <w:pPr>
        <w:pStyle w:val="52"/>
        <w:widowControl w:val="0"/>
        <w:adjustRightInd w:val="0"/>
        <w:snapToGrid w:val="0"/>
        <w:spacing w:beforeLines="0" w:afterLines="0"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采购代理机构：江苏国信政府采购服务中心有限公司</w:t>
      </w:r>
    </w:p>
    <w:p w14:paraId="4C081F52">
      <w:pPr>
        <w:pStyle w:val="52"/>
        <w:widowControl w:val="0"/>
        <w:adjustRightInd w:val="0"/>
        <w:snapToGrid w:val="0"/>
        <w:spacing w:beforeLines="0" w:afterLines="0"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地址：南京市鼓楼区水佑岗6号万谷硅巷8楼</w:t>
      </w:r>
    </w:p>
    <w:p w14:paraId="0E779D9C">
      <w:pPr>
        <w:pStyle w:val="52"/>
        <w:widowControl w:val="0"/>
        <w:adjustRightInd w:val="0"/>
        <w:snapToGrid w:val="0"/>
        <w:spacing w:beforeLines="0" w:afterLines="0"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14:paraId="1D413922">
      <w:pPr>
        <w:pStyle w:val="52"/>
        <w:widowControl w:val="0"/>
        <w:adjustRightInd w:val="0"/>
        <w:snapToGrid w:val="0"/>
        <w:spacing w:beforeLines="0" w:afterLines="0"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p w14:paraId="48D5D219">
      <w:pPr>
        <w:snapToGrid w:val="0"/>
        <w:spacing w:beforeLines="0" w:afterLines="0"/>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p>
    <w:p w14:paraId="473C9DC0">
      <w:pPr>
        <w:snapToGrid w:val="0"/>
        <w:spacing w:beforeLines="0" w:afterLines="0"/>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p>
    <w:p w14:paraId="765AB3EF">
      <w:pPr>
        <w:snapToGrid w:val="0"/>
        <w:spacing w:beforeLines="0" w:afterLines="0"/>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p>
    <w:p w14:paraId="481ABCE4">
      <w:pPr>
        <w:snapToGrid w:val="0"/>
        <w:spacing w:beforeLines="0" w:afterLines="0"/>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p>
    <w:p w14:paraId="15D9C937">
      <w:pPr>
        <w:snapToGrid w:val="0"/>
        <w:spacing w:beforeLines="0" w:afterLines="0"/>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p>
    <w:p w14:paraId="2CABB345">
      <w:pPr>
        <w:snapToGrid w:val="0"/>
        <w:spacing w:beforeLines="0" w:afterLines="0"/>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3D97ACBA">
      <w:pPr>
        <w:snapToGrid w:val="0"/>
        <w:spacing w:beforeLines="0" w:afterLines="0"/>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p>
    <w:p w14:paraId="48AA1D26">
      <w:pPr>
        <w:snapToGrid w:val="0"/>
        <w:spacing w:beforeLines="0" w:afterLine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p>
    <w:p w14:paraId="166A6319">
      <w:pPr>
        <w:autoSpaceDE w:val="0"/>
        <w:autoSpaceDN w:val="0"/>
        <w:spacing w:before="0" w:beforeLines="0" w:after="0" w:afterLines="0"/>
        <w:jc w:val="center"/>
        <w:outlineLvl w:val="9"/>
        <w:rPr>
          <w:rFonts w:hint="eastAsia" w:hAnsi="宋体" w:eastAsia="宋体" w:cs="宋体"/>
          <w:color w:val="000000"/>
          <w:highlight w:val="none"/>
          <w:lang w:val="zh-CN"/>
        </w:rPr>
      </w:pPr>
      <w:r>
        <w:rPr>
          <w:rFonts w:hint="eastAsia" w:ascii="宋体" w:hAnsi="宋体" w:eastAsia="宋体" w:cs="宋体"/>
          <w:color w:val="000000"/>
          <w:sz w:val="32"/>
          <w:szCs w:val="32"/>
          <w:highlight w:val="none"/>
          <w:lang w:val="en-US" w:eastAsia="zh-CN"/>
        </w:rPr>
        <w:t>报名</w:t>
      </w:r>
      <w:r>
        <w:rPr>
          <w:rFonts w:hint="eastAsia" w:ascii="宋体" w:hAnsi="宋体" w:eastAsia="宋体" w:cs="宋体"/>
          <w:color w:val="000000"/>
          <w:sz w:val="32"/>
          <w:szCs w:val="32"/>
          <w:highlight w:val="none"/>
          <w:lang w:val="zh-CN"/>
        </w:rPr>
        <w:t>确认函</w:t>
      </w:r>
    </w:p>
    <w:p w14:paraId="5B23EC08">
      <w:pPr>
        <w:spacing w:beforeLines="0" w:afterLines="0" w:line="360" w:lineRule="auto"/>
        <w:outlineLvl w:val="9"/>
        <w:rPr>
          <w:rFonts w:hint="eastAsia" w:hAnsi="宋体" w:eastAsia="宋体" w:cs="宋体"/>
          <w:color w:val="000000"/>
          <w:sz w:val="24"/>
          <w:u w:val="single"/>
        </w:rPr>
      </w:pPr>
    </w:p>
    <w:p w14:paraId="081345CC">
      <w:pPr>
        <w:spacing w:beforeLines="0" w:afterLines="0" w:line="360" w:lineRule="auto"/>
        <w:outlineLvl w:val="9"/>
        <w:rPr>
          <w:rFonts w:hint="eastAsia" w:hAnsi="宋体" w:eastAsia="宋体" w:cs="宋体"/>
          <w:color w:val="000000"/>
          <w:sz w:val="24"/>
        </w:rPr>
      </w:pPr>
      <w:bookmarkStart w:id="430" w:name="_GoBack"/>
      <w:bookmarkEnd w:id="430"/>
      <w:r>
        <w:rPr>
          <w:rFonts w:hint="eastAsia" w:hAnsi="宋体" w:eastAsia="宋体" w:cs="宋体"/>
          <w:color w:val="000000"/>
          <w:sz w:val="24"/>
          <w:u w:val="single"/>
        </w:rPr>
        <w:t xml:space="preserve">江苏国信政府采购服务中心有限公司 </w:t>
      </w:r>
      <w:r>
        <w:rPr>
          <w:rFonts w:hint="eastAsia" w:hAnsi="宋体" w:eastAsia="宋体" w:cs="宋体"/>
          <w:color w:val="000000"/>
          <w:sz w:val="24"/>
        </w:rPr>
        <w:t>：</w:t>
      </w:r>
    </w:p>
    <w:p w14:paraId="1F5D7ADB">
      <w:pPr>
        <w:spacing w:beforeLines="0" w:afterLines="0" w:line="360" w:lineRule="auto"/>
        <w:ind w:right="0" w:firstLine="420" w:firstLineChars="175"/>
        <w:outlineLvl w:val="9"/>
        <w:rPr>
          <w:rFonts w:hint="eastAsia" w:hAnsi="宋体" w:eastAsia="宋体" w:cs="宋体"/>
          <w:color w:val="000000"/>
          <w:sz w:val="24"/>
        </w:rPr>
      </w:pPr>
      <w:r>
        <w:rPr>
          <w:rFonts w:hint="eastAsia" w:hAnsi="宋体" w:eastAsia="宋体" w:cs="宋体"/>
          <w:color w:val="000000"/>
          <w:sz w:val="24"/>
        </w:rPr>
        <w:t>我公司在</w:t>
      </w:r>
      <w:r>
        <w:rPr>
          <w:rFonts w:hint="eastAsia" w:hAnsi="宋体" w:eastAsia="宋体" w:cs="宋体"/>
          <w:color w:val="000000"/>
          <w:sz w:val="24"/>
          <w:u w:val="single"/>
        </w:rPr>
        <w:t xml:space="preserve">                         </w:t>
      </w:r>
      <w:r>
        <w:rPr>
          <w:rFonts w:hint="eastAsia" w:hAnsi="宋体" w:eastAsia="宋体" w:cs="宋体"/>
          <w:color w:val="000000"/>
          <w:sz w:val="24"/>
        </w:rPr>
        <w:t>浏览到</w:t>
      </w:r>
      <w:r>
        <w:rPr>
          <w:rFonts w:hint="eastAsia" w:hAnsi="宋体" w:eastAsia="宋体" w:cs="宋体"/>
          <w:sz w:val="24"/>
          <w:u w:val="single"/>
        </w:rPr>
        <w:t>江苏方源集团</w:t>
      </w:r>
      <w:r>
        <w:rPr>
          <w:rFonts w:hint="eastAsia" w:hAnsi="宋体" w:eastAsia="宋体" w:cs="宋体"/>
          <w:sz w:val="24"/>
          <w:u w:val="single"/>
          <w:lang w:val="en-US" w:eastAsia="zh-CN"/>
        </w:rPr>
        <w:t>有限公司</w:t>
      </w:r>
      <w:r>
        <w:rPr>
          <w:rFonts w:hint="eastAsia" w:hAnsi="宋体" w:eastAsia="宋体" w:cs="宋体"/>
          <w:color w:val="000000"/>
          <w:sz w:val="24"/>
          <w:u w:val="single"/>
        </w:rPr>
        <w:t>遴选电子加工设备及耗材供应商项目（</w:t>
      </w:r>
      <w:r>
        <w:rPr>
          <w:rFonts w:hint="eastAsia" w:ascii="宋体" w:hAnsi="宋体" w:eastAsia="宋体" w:cs="宋体"/>
          <w:b w:val="0"/>
          <w:bCs w:val="0"/>
          <w:color w:val="auto"/>
          <w:kern w:val="0"/>
          <w:sz w:val="24"/>
          <w:szCs w:val="24"/>
          <w:u w:val="single"/>
          <w:shd w:val="clear" w:color="auto" w:fill="FFFFFF"/>
          <w:lang w:val="en-US" w:eastAsia="zh-CN"/>
        </w:rPr>
        <w:t>光纤和变压器加工设备及耗材</w:t>
      </w:r>
      <w:r>
        <w:rPr>
          <w:rFonts w:hint="eastAsia" w:hAnsi="宋体" w:eastAsia="宋体" w:cs="宋体"/>
          <w:color w:val="000000"/>
          <w:sz w:val="24"/>
          <w:u w:val="single"/>
        </w:rPr>
        <w:t>）</w:t>
      </w:r>
      <w:r>
        <w:rPr>
          <w:rFonts w:hint="eastAsia" w:hAnsi="宋体" w:eastAsia="宋体" w:cs="宋体"/>
          <w:color w:val="000000"/>
          <w:sz w:val="24"/>
        </w:rPr>
        <w:t>的磋商信息，经公司研究决定于</w:t>
      </w:r>
      <w:r>
        <w:rPr>
          <w:rFonts w:hint="eastAsia" w:hAnsi="宋体" w:eastAsia="宋体" w:cs="宋体"/>
          <w:color w:val="000000"/>
          <w:sz w:val="24"/>
          <w:u w:val="single"/>
        </w:rPr>
        <w:t xml:space="preserve">    年    月   </w:t>
      </w:r>
      <w:r>
        <w:rPr>
          <w:rFonts w:hint="eastAsia" w:hAnsi="宋体" w:eastAsia="宋体" w:cs="宋体"/>
          <w:color w:val="000000"/>
          <w:sz w:val="24"/>
          <w:u w:val="single"/>
          <w:lang w:val="en-US" w:eastAsia="zh-CN"/>
        </w:rPr>
        <w:t xml:space="preserve"> </w:t>
      </w:r>
      <w:r>
        <w:rPr>
          <w:rFonts w:hint="eastAsia" w:hAnsi="宋体" w:eastAsia="宋体" w:cs="宋体"/>
          <w:color w:val="000000"/>
          <w:sz w:val="24"/>
          <w:u w:val="single"/>
        </w:rPr>
        <w:t>日</w:t>
      </w:r>
      <w:r>
        <w:rPr>
          <w:rFonts w:hint="eastAsia" w:hAnsi="宋体" w:eastAsia="宋体" w:cs="宋体"/>
          <w:color w:val="000000"/>
          <w:sz w:val="24"/>
        </w:rPr>
        <w:t>参加该项目的磋商。联系方式如下：</w:t>
      </w:r>
    </w:p>
    <w:tbl>
      <w:tblPr>
        <w:tblStyle w:val="16"/>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566"/>
        <w:gridCol w:w="2441"/>
        <w:gridCol w:w="1950"/>
        <w:gridCol w:w="1725"/>
      </w:tblGrid>
      <w:tr w14:paraId="7C66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61" w:type="dxa"/>
            <w:gridSpan w:val="2"/>
            <w:vAlign w:val="center"/>
          </w:tcPr>
          <w:p w14:paraId="153D1008">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响应单位名称</w:t>
            </w:r>
          </w:p>
        </w:tc>
        <w:tc>
          <w:tcPr>
            <w:tcW w:w="6116" w:type="dxa"/>
            <w:gridSpan w:val="3"/>
            <w:vAlign w:val="center"/>
          </w:tcPr>
          <w:p w14:paraId="4B10CA0E">
            <w:pPr>
              <w:spacing w:beforeLines="0" w:afterLines="0"/>
              <w:jc w:val="center"/>
              <w:outlineLvl w:val="9"/>
              <w:rPr>
                <w:rFonts w:hint="eastAsia" w:hAnsi="宋体" w:eastAsia="宋体" w:cs="宋体"/>
                <w:color w:val="000000"/>
                <w:sz w:val="24"/>
              </w:rPr>
            </w:pPr>
          </w:p>
        </w:tc>
      </w:tr>
      <w:tr w14:paraId="00B0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761" w:type="dxa"/>
            <w:gridSpan w:val="2"/>
            <w:vAlign w:val="center"/>
          </w:tcPr>
          <w:p w14:paraId="29248452">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法定代表人</w:t>
            </w:r>
          </w:p>
        </w:tc>
        <w:tc>
          <w:tcPr>
            <w:tcW w:w="2441" w:type="dxa"/>
            <w:vAlign w:val="center"/>
          </w:tcPr>
          <w:p w14:paraId="6345EB0B">
            <w:pPr>
              <w:spacing w:beforeLines="0" w:afterLines="0"/>
              <w:jc w:val="center"/>
              <w:outlineLvl w:val="9"/>
              <w:rPr>
                <w:rFonts w:hint="eastAsia" w:hAnsi="宋体" w:eastAsia="宋体" w:cs="宋体"/>
                <w:color w:val="000000"/>
                <w:sz w:val="24"/>
              </w:rPr>
            </w:pPr>
          </w:p>
        </w:tc>
        <w:tc>
          <w:tcPr>
            <w:tcW w:w="1950" w:type="dxa"/>
            <w:vAlign w:val="center"/>
          </w:tcPr>
          <w:p w14:paraId="161C122A">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身份证号</w:t>
            </w:r>
          </w:p>
        </w:tc>
        <w:tc>
          <w:tcPr>
            <w:tcW w:w="1725" w:type="dxa"/>
            <w:vAlign w:val="center"/>
          </w:tcPr>
          <w:p w14:paraId="04FE7C38">
            <w:pPr>
              <w:spacing w:beforeLines="0" w:afterLines="0"/>
              <w:jc w:val="center"/>
              <w:outlineLvl w:val="9"/>
              <w:rPr>
                <w:rFonts w:hint="eastAsia" w:hAnsi="宋体" w:eastAsia="宋体" w:cs="宋体"/>
                <w:color w:val="000000"/>
                <w:sz w:val="24"/>
              </w:rPr>
            </w:pPr>
          </w:p>
        </w:tc>
      </w:tr>
      <w:tr w14:paraId="7E4C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95" w:type="dxa"/>
            <w:vMerge w:val="restart"/>
            <w:vAlign w:val="center"/>
          </w:tcPr>
          <w:p w14:paraId="491854B9">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报名人</w:t>
            </w:r>
          </w:p>
        </w:tc>
        <w:tc>
          <w:tcPr>
            <w:tcW w:w="1566" w:type="dxa"/>
            <w:vAlign w:val="center"/>
          </w:tcPr>
          <w:p w14:paraId="24036A18">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姓    名</w:t>
            </w:r>
          </w:p>
        </w:tc>
        <w:tc>
          <w:tcPr>
            <w:tcW w:w="2441" w:type="dxa"/>
            <w:vAlign w:val="center"/>
          </w:tcPr>
          <w:p w14:paraId="24A1D97D">
            <w:pPr>
              <w:spacing w:beforeLines="0" w:afterLines="0"/>
              <w:jc w:val="center"/>
              <w:outlineLvl w:val="9"/>
              <w:rPr>
                <w:rFonts w:hint="eastAsia" w:hAnsi="宋体" w:eastAsia="宋体" w:cs="宋体"/>
                <w:color w:val="000000"/>
                <w:sz w:val="24"/>
              </w:rPr>
            </w:pPr>
          </w:p>
        </w:tc>
        <w:tc>
          <w:tcPr>
            <w:tcW w:w="1950" w:type="dxa"/>
            <w:vAlign w:val="center"/>
          </w:tcPr>
          <w:p w14:paraId="17B5DAEB">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身份证号</w:t>
            </w:r>
          </w:p>
        </w:tc>
        <w:tc>
          <w:tcPr>
            <w:tcW w:w="1725" w:type="dxa"/>
            <w:vAlign w:val="center"/>
          </w:tcPr>
          <w:p w14:paraId="23888668">
            <w:pPr>
              <w:spacing w:beforeLines="0" w:afterLines="0"/>
              <w:jc w:val="center"/>
              <w:outlineLvl w:val="9"/>
              <w:rPr>
                <w:rFonts w:hint="eastAsia" w:hAnsi="宋体" w:eastAsia="宋体" w:cs="宋体"/>
                <w:color w:val="000000"/>
                <w:sz w:val="24"/>
              </w:rPr>
            </w:pPr>
          </w:p>
        </w:tc>
      </w:tr>
      <w:tr w14:paraId="79EE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5" w:type="dxa"/>
            <w:vMerge w:val="continue"/>
            <w:vAlign w:val="center"/>
          </w:tcPr>
          <w:p w14:paraId="33FF8B26">
            <w:pPr>
              <w:spacing w:beforeLines="0" w:afterLines="0"/>
              <w:jc w:val="center"/>
              <w:outlineLvl w:val="9"/>
              <w:rPr>
                <w:rFonts w:hint="eastAsia" w:hAnsi="宋体" w:eastAsia="宋体" w:cs="宋体"/>
                <w:color w:val="000000"/>
                <w:sz w:val="24"/>
              </w:rPr>
            </w:pPr>
          </w:p>
        </w:tc>
        <w:tc>
          <w:tcPr>
            <w:tcW w:w="1566" w:type="dxa"/>
            <w:vAlign w:val="center"/>
          </w:tcPr>
          <w:p w14:paraId="3E6A3505">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办公电话</w:t>
            </w:r>
          </w:p>
        </w:tc>
        <w:tc>
          <w:tcPr>
            <w:tcW w:w="2441" w:type="dxa"/>
            <w:vAlign w:val="center"/>
          </w:tcPr>
          <w:p w14:paraId="363BF40F">
            <w:pPr>
              <w:spacing w:beforeLines="0" w:afterLines="0"/>
              <w:jc w:val="center"/>
              <w:outlineLvl w:val="9"/>
              <w:rPr>
                <w:rFonts w:hint="eastAsia" w:hAnsi="宋体" w:eastAsia="宋体" w:cs="宋体"/>
                <w:color w:val="000000"/>
                <w:szCs w:val="28"/>
              </w:rPr>
            </w:pPr>
          </w:p>
        </w:tc>
        <w:tc>
          <w:tcPr>
            <w:tcW w:w="1950" w:type="dxa"/>
            <w:vAlign w:val="center"/>
          </w:tcPr>
          <w:p w14:paraId="4FE9DAD8">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手    机</w:t>
            </w:r>
          </w:p>
        </w:tc>
        <w:tc>
          <w:tcPr>
            <w:tcW w:w="1725" w:type="dxa"/>
            <w:vAlign w:val="center"/>
          </w:tcPr>
          <w:p w14:paraId="59B663D6">
            <w:pPr>
              <w:spacing w:beforeLines="0" w:afterLines="0"/>
              <w:jc w:val="center"/>
              <w:outlineLvl w:val="9"/>
              <w:rPr>
                <w:rFonts w:hint="eastAsia" w:hAnsi="宋体" w:eastAsia="宋体" w:cs="宋体"/>
                <w:color w:val="000000"/>
                <w:sz w:val="24"/>
              </w:rPr>
            </w:pPr>
          </w:p>
        </w:tc>
      </w:tr>
      <w:tr w14:paraId="30D9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95" w:type="dxa"/>
            <w:vMerge w:val="continue"/>
            <w:vAlign w:val="center"/>
          </w:tcPr>
          <w:p w14:paraId="4BBC2674">
            <w:pPr>
              <w:spacing w:beforeLines="0" w:afterLines="0"/>
              <w:jc w:val="center"/>
              <w:outlineLvl w:val="9"/>
              <w:rPr>
                <w:rFonts w:hint="eastAsia" w:hAnsi="宋体" w:eastAsia="宋体" w:cs="宋体"/>
                <w:color w:val="000000"/>
                <w:sz w:val="24"/>
              </w:rPr>
            </w:pPr>
          </w:p>
        </w:tc>
        <w:tc>
          <w:tcPr>
            <w:tcW w:w="1566" w:type="dxa"/>
            <w:vAlign w:val="center"/>
          </w:tcPr>
          <w:p w14:paraId="029A7CA6">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联系邮箱</w:t>
            </w:r>
          </w:p>
        </w:tc>
        <w:tc>
          <w:tcPr>
            <w:tcW w:w="2441" w:type="dxa"/>
            <w:vAlign w:val="center"/>
          </w:tcPr>
          <w:p w14:paraId="1DF4B0A3">
            <w:pPr>
              <w:spacing w:beforeLines="0" w:afterLines="0"/>
              <w:jc w:val="center"/>
              <w:outlineLvl w:val="9"/>
              <w:rPr>
                <w:rFonts w:hint="eastAsia" w:hAnsi="宋体" w:eastAsia="宋体" w:cs="宋体"/>
                <w:color w:val="000000"/>
                <w:sz w:val="24"/>
              </w:rPr>
            </w:pPr>
          </w:p>
        </w:tc>
        <w:tc>
          <w:tcPr>
            <w:tcW w:w="1950" w:type="dxa"/>
            <w:vAlign w:val="center"/>
          </w:tcPr>
          <w:p w14:paraId="54EF96F4">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联系地址</w:t>
            </w:r>
          </w:p>
        </w:tc>
        <w:tc>
          <w:tcPr>
            <w:tcW w:w="1725" w:type="dxa"/>
            <w:vAlign w:val="center"/>
          </w:tcPr>
          <w:p w14:paraId="60EA94CF">
            <w:pPr>
              <w:spacing w:beforeLines="0" w:afterLines="0"/>
              <w:jc w:val="center"/>
              <w:outlineLvl w:val="9"/>
              <w:rPr>
                <w:rFonts w:hint="eastAsia" w:hAnsi="宋体" w:eastAsia="宋体" w:cs="宋体"/>
                <w:color w:val="000000"/>
                <w:sz w:val="24"/>
              </w:rPr>
            </w:pPr>
          </w:p>
        </w:tc>
      </w:tr>
      <w:tr w14:paraId="3B56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1195" w:type="dxa"/>
            <w:vAlign w:val="center"/>
          </w:tcPr>
          <w:p w14:paraId="549D1AF7">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响应单位</w:t>
            </w:r>
          </w:p>
          <w:p w14:paraId="1CA144EA">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承诺</w:t>
            </w:r>
          </w:p>
        </w:tc>
        <w:tc>
          <w:tcPr>
            <w:tcW w:w="7682" w:type="dxa"/>
            <w:gridSpan w:val="4"/>
            <w:vAlign w:val="center"/>
          </w:tcPr>
          <w:p w14:paraId="74E78E74">
            <w:pPr>
              <w:spacing w:beforeLines="0" w:afterLines="0" w:line="360" w:lineRule="auto"/>
              <w:ind w:firstLine="470" w:firstLineChars="196"/>
              <w:outlineLvl w:val="9"/>
              <w:rPr>
                <w:rFonts w:hint="eastAsia" w:hAnsi="宋体" w:eastAsia="宋体" w:cs="宋体"/>
                <w:color w:val="000000"/>
                <w:sz w:val="24"/>
              </w:rPr>
            </w:pPr>
            <w:r>
              <w:rPr>
                <w:rFonts w:hint="eastAsia" w:hAnsi="宋体" w:eastAsia="宋体" w:cs="宋体"/>
                <w:color w:val="000000"/>
                <w:sz w:val="24"/>
              </w:rPr>
              <w:t>1、我单位完全符合采购公告中的供应商资格条件要求及具备响应本次采购的基本能力；</w:t>
            </w:r>
          </w:p>
          <w:p w14:paraId="3ECED915">
            <w:pPr>
              <w:spacing w:beforeLines="0" w:afterLines="0" w:line="360" w:lineRule="auto"/>
              <w:ind w:firstLine="470" w:firstLineChars="196"/>
              <w:outlineLvl w:val="9"/>
              <w:rPr>
                <w:rFonts w:hint="eastAsia" w:hAnsi="宋体" w:eastAsia="宋体" w:cs="宋体"/>
                <w:sz w:val="24"/>
              </w:rPr>
            </w:pPr>
            <w:r>
              <w:rPr>
                <w:rFonts w:hint="eastAsia" w:hAnsi="宋体" w:eastAsia="宋体" w:cs="宋体"/>
                <w:color w:val="000000"/>
                <w:sz w:val="24"/>
              </w:rPr>
              <w:t>2、我单位对本次磋商事项有疑问的，将仅以电子邮件方式向贵司提出询问，我单位(电子邮箱：</w:t>
            </w:r>
            <w:r>
              <w:rPr>
                <w:rFonts w:hint="eastAsia" w:hAnsi="宋体" w:eastAsia="宋体" w:cs="宋体"/>
                <w:color w:val="000000"/>
                <w:sz w:val="24"/>
                <w:u w:val="single"/>
              </w:rPr>
              <w:t xml:space="preserve">                  </w:t>
            </w:r>
            <w:r>
              <w:rPr>
                <w:rFonts w:hint="eastAsia" w:hAnsi="宋体" w:eastAsia="宋体" w:cs="宋体"/>
                <w:color w:val="000000"/>
                <w:sz w:val="24"/>
              </w:rPr>
              <w:t>)与贵司的</w:t>
            </w:r>
            <w:r>
              <w:rPr>
                <w:rFonts w:hint="eastAsia" w:hAnsi="宋体" w:eastAsia="宋体" w:cs="宋体"/>
                <w:sz w:val="24"/>
              </w:rPr>
              <w:t>电子邮件</w:t>
            </w:r>
            <w:r>
              <w:rPr>
                <w:rFonts w:hint="eastAsia" w:hAnsi="宋体" w:eastAsia="宋体" w:cs="宋体"/>
                <w:sz w:val="24"/>
                <w:u w:val="single"/>
              </w:rPr>
              <w:t>（gx18912930658@126.com）</w:t>
            </w:r>
            <w:r>
              <w:rPr>
                <w:rFonts w:hint="eastAsia" w:hAnsi="宋体" w:eastAsia="宋体" w:cs="宋体"/>
                <w:sz w:val="24"/>
              </w:rPr>
              <w:t>来往作为我单位询问及贵司答复的唯一有效途径，其往来邮件为有效依据，并认可贵司不承担电话问答的有效性。</w:t>
            </w:r>
          </w:p>
          <w:p w14:paraId="3EBA3648">
            <w:pPr>
              <w:spacing w:beforeLines="0" w:afterLines="0" w:line="360" w:lineRule="auto"/>
              <w:ind w:firstLine="470" w:firstLineChars="196"/>
              <w:outlineLvl w:val="9"/>
              <w:rPr>
                <w:rFonts w:hint="eastAsia" w:hAnsi="宋体" w:eastAsia="宋体" w:cs="宋体"/>
                <w:color w:val="000000"/>
                <w:sz w:val="24"/>
              </w:rPr>
            </w:pPr>
            <w:r>
              <w:rPr>
                <w:rFonts w:hint="eastAsia" w:hAnsi="宋体" w:eastAsia="宋体" w:cs="宋体"/>
                <w:color w:val="000000"/>
                <w:sz w:val="24"/>
              </w:rPr>
              <w:t>3、我单位在磋商前，将及时</w:t>
            </w:r>
            <w:r>
              <w:rPr>
                <w:rFonts w:hint="eastAsia" w:hAnsi="宋体" w:eastAsia="宋体" w:cs="宋体"/>
                <w:color w:val="000000"/>
                <w:sz w:val="24"/>
                <w:lang w:val="en-US" w:eastAsia="zh-CN"/>
              </w:rPr>
              <w:t>登录</w:t>
            </w:r>
            <w:r>
              <w:rPr>
                <w:rFonts w:hint="eastAsia" w:hAnsi="宋体" w:eastAsia="宋体" w:cs="宋体"/>
                <w:color w:val="000000"/>
                <w:sz w:val="24"/>
              </w:rPr>
              <w:t>“江苏省招标投标公共服务平台”及与贵司联系的邮箱，并会完全知道本次采购的所有信息（补充公告等）。</w:t>
            </w:r>
          </w:p>
          <w:p w14:paraId="6D20C0D6">
            <w:pPr>
              <w:spacing w:beforeLines="0" w:afterLines="0" w:line="360" w:lineRule="auto"/>
              <w:ind w:firstLine="480" w:firstLineChars="200"/>
              <w:outlineLvl w:val="9"/>
              <w:rPr>
                <w:rFonts w:hint="eastAsia" w:hAnsi="宋体" w:eastAsia="宋体" w:cs="宋体"/>
                <w:color w:val="000000"/>
                <w:sz w:val="24"/>
              </w:rPr>
            </w:pPr>
            <w:r>
              <w:rPr>
                <w:rFonts w:hint="eastAsia" w:hAnsi="宋体" w:eastAsia="宋体" w:cs="宋体"/>
                <w:color w:val="000000"/>
                <w:sz w:val="24"/>
              </w:rPr>
              <w:t>如我单位提供虚假信息或未履行以上承诺，视同我单位自愿放弃，并承担由此产生的一切后果。</w:t>
            </w:r>
          </w:p>
        </w:tc>
      </w:tr>
      <w:tr w14:paraId="704A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5" w:type="dxa"/>
            <w:vAlign w:val="center"/>
          </w:tcPr>
          <w:p w14:paraId="160FC748">
            <w:pPr>
              <w:spacing w:beforeLines="0" w:afterLines="0"/>
              <w:jc w:val="center"/>
              <w:outlineLvl w:val="9"/>
              <w:rPr>
                <w:rFonts w:hint="eastAsia" w:hAnsi="宋体" w:eastAsia="宋体" w:cs="宋体"/>
                <w:color w:val="000000"/>
                <w:sz w:val="24"/>
              </w:rPr>
            </w:pPr>
            <w:r>
              <w:rPr>
                <w:rFonts w:hint="eastAsia" w:hAnsi="宋体" w:eastAsia="宋体" w:cs="宋体"/>
                <w:color w:val="000000"/>
                <w:sz w:val="24"/>
              </w:rPr>
              <w:t>备注</w:t>
            </w:r>
          </w:p>
        </w:tc>
        <w:tc>
          <w:tcPr>
            <w:tcW w:w="7682" w:type="dxa"/>
            <w:gridSpan w:val="4"/>
            <w:vAlign w:val="center"/>
          </w:tcPr>
          <w:p w14:paraId="6CCC58AC">
            <w:pPr>
              <w:spacing w:beforeLines="0" w:afterLines="0"/>
              <w:ind w:firstLine="470" w:firstLineChars="196"/>
              <w:outlineLvl w:val="9"/>
              <w:rPr>
                <w:rFonts w:hint="eastAsia" w:hAnsi="宋体" w:eastAsia="宋体" w:cs="宋体"/>
                <w:color w:val="000000"/>
                <w:sz w:val="24"/>
              </w:rPr>
            </w:pPr>
          </w:p>
        </w:tc>
      </w:tr>
    </w:tbl>
    <w:p w14:paraId="29F874F6">
      <w:pPr>
        <w:autoSpaceDE w:val="0"/>
        <w:autoSpaceDN w:val="0"/>
        <w:spacing w:beforeLines="0" w:afterLines="0" w:line="360" w:lineRule="auto"/>
        <w:jc w:val="left"/>
        <w:outlineLvl w:val="9"/>
        <w:rPr>
          <w:rFonts w:hint="eastAsia" w:hAnsi="宋体" w:eastAsia="宋体" w:cs="宋体"/>
          <w:color w:val="000000"/>
        </w:rPr>
      </w:pPr>
      <w:r>
        <w:rPr>
          <w:rFonts w:hint="eastAsia" w:hAnsi="宋体" w:eastAsia="宋体" w:cs="宋体"/>
          <w:color w:val="000000"/>
          <w:sz w:val="24"/>
        </w:rPr>
        <w:t>　　特别说明：本表是本次采购与响应单位联系（通知等）的重要途径，请务必准确填写。如响应单位未能提供准确信息，因此产生的后果由响应单位承担。</w:t>
      </w:r>
    </w:p>
    <w:p w14:paraId="3ACCD013">
      <w:pPr>
        <w:spacing w:beforeLines="0" w:afterLines="0"/>
        <w:ind w:right="0" w:firstLine="5880" w:firstLineChars="2450"/>
        <w:outlineLvl w:val="9"/>
        <w:rPr>
          <w:rFonts w:hint="eastAsia" w:hAnsi="宋体" w:eastAsia="宋体" w:cs="宋体"/>
          <w:color w:val="000000"/>
          <w:sz w:val="24"/>
        </w:rPr>
      </w:pPr>
      <w:r>
        <w:rPr>
          <w:rFonts w:hint="eastAsia" w:hAnsi="宋体" w:eastAsia="宋体" w:cs="宋体"/>
          <w:color w:val="000000"/>
          <w:sz w:val="24"/>
        </w:rPr>
        <w:t xml:space="preserve">响应单位（盖章）： </w:t>
      </w:r>
    </w:p>
    <w:p w14:paraId="0CA179B0">
      <w:pPr>
        <w:spacing w:beforeLines="0" w:afterLines="0"/>
        <w:outlineLvl w:val="9"/>
        <w:rPr>
          <w:rFonts w:hint="eastAsia" w:hAnsi="宋体" w:eastAsia="宋体" w:cs="宋体"/>
          <w:color w:val="000000"/>
          <w:sz w:val="24"/>
          <w:szCs w:val="24"/>
        </w:rPr>
      </w:pPr>
      <w:r>
        <w:rPr>
          <w:rFonts w:hint="eastAsia" w:hAnsi="宋体" w:eastAsia="宋体" w:cs="宋体"/>
          <w:color w:val="000000"/>
          <w:sz w:val="24"/>
          <w:szCs w:val="24"/>
        </w:rPr>
        <w:t xml:space="preserve">                                             </w:t>
      </w:r>
    </w:p>
    <w:p w14:paraId="39EF4177">
      <w:pPr>
        <w:spacing w:beforeLines="0" w:afterLines="0"/>
        <w:ind w:firstLine="5760" w:firstLineChars="2400"/>
        <w:outlineLvl w:val="9"/>
        <w:rPr>
          <w:rFonts w:hint="eastAsia" w:ascii="宋体" w:hAnsi="宋体" w:eastAsia="宋体" w:cs="宋体"/>
        </w:rPr>
      </w:pPr>
      <w:r>
        <w:rPr>
          <w:rFonts w:hint="eastAsia" w:ascii="宋体" w:hAnsi="宋体" w:eastAsia="宋体" w:cs="宋体"/>
          <w:color w:val="000000"/>
          <w:sz w:val="24"/>
          <w:szCs w:val="24"/>
        </w:rPr>
        <w:t xml:space="preserve"> </w:t>
      </w:r>
      <w:bookmarkStart w:id="102" w:name="_Toc8993"/>
      <w:bookmarkStart w:id="103" w:name="_Toc29835"/>
      <w:r>
        <w:rPr>
          <w:rFonts w:hint="eastAsia" w:ascii="宋体" w:hAnsi="宋体" w:eastAsia="宋体" w:cs="宋体"/>
          <w:color w:val="000000"/>
          <w:sz w:val="24"/>
          <w:szCs w:val="24"/>
        </w:rPr>
        <w:t>日期：    年   月  日</w:t>
      </w:r>
      <w:bookmarkEnd w:id="102"/>
      <w:bookmarkEnd w:id="103"/>
    </w:p>
    <w:p w14:paraId="21210F37">
      <w:pPr>
        <w:autoSpaceDE w:val="0"/>
        <w:autoSpaceDN w:val="0"/>
        <w:bidi w:val="0"/>
        <w:snapToGrid w:val="0"/>
        <w:spacing w:before="0" w:beforeLines="0" w:after="0" w:afterLines="0" w:line="360" w:lineRule="auto"/>
        <w:jc w:val="center"/>
        <w:outlineLvl w:val="0"/>
        <w:rPr>
          <w:rFonts w:hint="default" w:ascii="宋体" w:hAnsi="宋体" w:eastAsia="宋体" w:cs="Cambria Math"/>
          <w:b/>
          <w:bCs/>
          <w:color w:val="auto"/>
          <w:kern w:val="44"/>
          <w:sz w:val="36"/>
          <w:szCs w:val="36"/>
        </w:rPr>
      </w:pPr>
      <w:bookmarkStart w:id="104" w:name="_Toc2088"/>
      <w:r>
        <w:rPr>
          <w:rFonts w:hint="default" w:ascii="宋体" w:hAnsi="宋体" w:eastAsia="宋体" w:cs="Cambria Math"/>
          <w:b/>
          <w:bCs/>
          <w:color w:val="auto"/>
          <w:kern w:val="44"/>
          <w:sz w:val="36"/>
          <w:szCs w:val="36"/>
        </w:rPr>
        <w:t>第二章  供应商须知</w:t>
      </w:r>
      <w:bookmarkEnd w:id="104"/>
    </w:p>
    <w:p w14:paraId="2D589202">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360" w:lineRule="auto"/>
        <w:ind w:firstLine="640" w:firstLineChars="200"/>
        <w:jc w:val="left"/>
        <w:textAlignment w:val="baseline"/>
        <w:outlineLvl w:val="9"/>
        <w:rPr>
          <w:rFonts w:hint="eastAsia" w:ascii="宋体" w:hAnsi="宋体" w:eastAsia="宋体" w:cs="宋体"/>
          <w:sz w:val="32"/>
          <w:szCs w:val="32"/>
        </w:rPr>
      </w:pPr>
      <w:r>
        <w:rPr>
          <w:rFonts w:hint="eastAsia" w:ascii="宋体" w:hAnsi="宋体" w:eastAsia="宋体" w:cs="宋体"/>
          <w:sz w:val="32"/>
          <w:szCs w:val="32"/>
        </w:rPr>
        <w:t>一、总则</w:t>
      </w:r>
    </w:p>
    <w:p w14:paraId="369AF1A4">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1.适用范围</w:t>
      </w:r>
    </w:p>
    <w:p w14:paraId="6E9D620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1.1 本磋商文件仅适用此项目。</w:t>
      </w:r>
    </w:p>
    <w:p w14:paraId="5DECDF79">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1.2 本项目按标段分别确定成交供应商。</w:t>
      </w:r>
    </w:p>
    <w:p w14:paraId="1F53C95C">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2.采购方式</w:t>
      </w:r>
    </w:p>
    <w:p w14:paraId="44FB3238">
      <w:pPr>
        <w:keepNext w:val="0"/>
        <w:keepLines w:val="0"/>
        <w:pageBreakBefore w:val="0"/>
        <w:widowControl w:val="0"/>
        <w:kinsoku/>
        <w:wordWrap/>
        <w:overflowPunct/>
        <w:topLinePunct w:val="0"/>
        <w:bidi w:val="0"/>
        <w:adjustRightInd w:val="0"/>
        <w:snapToGri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2.1本项目为企业采购、非依法</w:t>
      </w:r>
      <w:r>
        <w:rPr>
          <w:rFonts w:hint="eastAsia" w:hAnsi="宋体" w:eastAsia="宋体" w:cs="宋体"/>
          <w:sz w:val="24"/>
          <w:szCs w:val="24"/>
          <w:lang w:val="en-US" w:eastAsia="zh-CN"/>
        </w:rPr>
        <w:t>必须</w:t>
      </w:r>
      <w:r>
        <w:rPr>
          <w:rFonts w:hint="eastAsia" w:hAnsi="宋体" w:eastAsia="宋体" w:cs="宋体"/>
          <w:sz w:val="24"/>
          <w:szCs w:val="24"/>
        </w:rPr>
        <w:t>招标项目，采用磋商方式实施采购。</w:t>
      </w:r>
    </w:p>
    <w:p w14:paraId="7A79426F">
      <w:pPr>
        <w:keepNext w:val="0"/>
        <w:keepLines w:val="0"/>
        <w:pageBreakBefore w:val="0"/>
        <w:widowControl w:val="0"/>
        <w:kinsoku/>
        <w:wordWrap/>
        <w:overflowPunct/>
        <w:topLinePunct w:val="0"/>
        <w:bidi w:val="0"/>
        <w:adjustRightInd w:val="0"/>
        <w:snapToGri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3.合格的供应商</w:t>
      </w:r>
    </w:p>
    <w:p w14:paraId="714286FC">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3.1 满足本磋商文件“磋商公告”中供应商资格要求的规定；</w:t>
      </w:r>
    </w:p>
    <w:p w14:paraId="23915C06">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3.2 满足本磋商文件实质性要求和条件的规定。</w:t>
      </w:r>
    </w:p>
    <w:p w14:paraId="26E30E5D">
      <w:pPr>
        <w:keepNext w:val="0"/>
        <w:keepLines w:val="0"/>
        <w:pageBreakBefore w:val="0"/>
        <w:widowControl w:val="0"/>
        <w:kinsoku/>
        <w:wordWrap/>
        <w:overflowPunct/>
        <w:topLinePunct w:val="0"/>
        <w:bidi w:val="0"/>
        <w:adjustRightInd w:val="0"/>
        <w:snapToGri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4.参加磋商费用</w:t>
      </w:r>
    </w:p>
    <w:p w14:paraId="184FBA6A">
      <w:pPr>
        <w:keepNext w:val="0"/>
        <w:keepLines w:val="0"/>
        <w:pageBreakBefore w:val="0"/>
        <w:widowControl w:val="0"/>
        <w:kinsoku/>
        <w:wordWrap/>
        <w:overflowPunct/>
        <w:topLinePunct w:val="0"/>
        <w:bidi w:val="0"/>
        <w:adjustRightInd w:val="0"/>
        <w:snapToGri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4.1 参加磋商供应商应自行承担所有与本次采购有关的费用。不论最终成交结果如何，代理机构和采购人在任何情况下均无义务和责任承担这些费用。</w:t>
      </w:r>
    </w:p>
    <w:p w14:paraId="663DD2D2">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4.2 本项目代理服务费</w:t>
      </w:r>
      <w:r>
        <w:rPr>
          <w:rFonts w:hint="eastAsia" w:hAnsi="宋体" w:eastAsia="宋体" w:cs="宋体"/>
          <w:sz w:val="24"/>
          <w:szCs w:val="24"/>
          <w:lang w:val="en-US" w:eastAsia="zh-CN"/>
        </w:rPr>
        <w:t>39420</w:t>
      </w:r>
      <w:r>
        <w:rPr>
          <w:rFonts w:hint="eastAsia" w:hAnsi="宋体" w:eastAsia="宋体" w:cs="宋体"/>
          <w:sz w:val="24"/>
          <w:szCs w:val="24"/>
        </w:rPr>
        <w:t>元，</w:t>
      </w:r>
      <w:r>
        <w:rPr>
          <w:rFonts w:hint="eastAsia" w:hAnsi="宋体" w:eastAsia="宋体" w:cs="宋体"/>
          <w:sz w:val="24"/>
          <w:szCs w:val="24"/>
          <w:lang w:val="zh-CN"/>
        </w:rPr>
        <w:t>代理</w:t>
      </w:r>
      <w:r>
        <w:rPr>
          <w:rFonts w:hint="eastAsia" w:hAnsi="宋体" w:eastAsia="宋体" w:cs="宋体"/>
          <w:sz w:val="24"/>
          <w:szCs w:val="24"/>
        </w:rPr>
        <w:t>服务</w:t>
      </w:r>
      <w:r>
        <w:rPr>
          <w:rFonts w:hint="eastAsia" w:hAnsi="宋体" w:eastAsia="宋体" w:cs="宋体"/>
          <w:sz w:val="24"/>
          <w:szCs w:val="24"/>
          <w:lang w:val="zh-CN"/>
        </w:rPr>
        <w:t>费用按《江苏省招标代理服务收费的指导意见》（苏招协【2022】002号）招标代理服务费率计算方法的基准价乘以</w:t>
      </w:r>
      <w:r>
        <w:rPr>
          <w:rFonts w:hint="eastAsia" w:hAnsi="宋体" w:eastAsia="宋体" w:cs="宋体"/>
          <w:sz w:val="24"/>
          <w:szCs w:val="24"/>
        </w:rPr>
        <w:t>18</w:t>
      </w:r>
      <w:r>
        <w:rPr>
          <w:rFonts w:hint="eastAsia" w:hAnsi="宋体" w:eastAsia="宋体" w:cs="宋体"/>
          <w:sz w:val="24"/>
          <w:szCs w:val="24"/>
          <w:lang w:val="zh-CN"/>
        </w:rPr>
        <w:t>%计算。</w:t>
      </w:r>
      <w:r>
        <w:rPr>
          <w:rFonts w:hint="eastAsia" w:hAnsi="宋体" w:eastAsia="宋体" w:cs="宋体"/>
          <w:sz w:val="24"/>
          <w:szCs w:val="24"/>
        </w:rPr>
        <w:t>各标段须支付额如下：标段一</w:t>
      </w:r>
      <w:r>
        <w:rPr>
          <w:rFonts w:hint="eastAsia" w:hAnsi="宋体" w:eastAsia="宋体" w:cs="宋体"/>
          <w:sz w:val="24"/>
          <w:szCs w:val="24"/>
          <w:highlight w:val="none"/>
          <w:lang w:val="en-US" w:eastAsia="zh-CN"/>
        </w:rPr>
        <w:t>13230</w:t>
      </w:r>
      <w:r>
        <w:rPr>
          <w:rFonts w:hint="eastAsia" w:hAnsi="宋体" w:eastAsia="宋体" w:cs="宋体"/>
          <w:sz w:val="24"/>
          <w:szCs w:val="24"/>
        </w:rPr>
        <w:t>元，标段二</w:t>
      </w:r>
      <w:r>
        <w:rPr>
          <w:rFonts w:hint="eastAsia" w:hAnsi="宋体" w:eastAsia="宋体" w:cs="宋体"/>
          <w:sz w:val="24"/>
          <w:szCs w:val="24"/>
          <w:lang w:val="en-US" w:eastAsia="zh-CN"/>
        </w:rPr>
        <w:t>3150</w:t>
      </w:r>
      <w:r>
        <w:rPr>
          <w:rFonts w:hint="eastAsia" w:hAnsi="宋体" w:eastAsia="宋体" w:cs="宋体"/>
          <w:sz w:val="24"/>
          <w:szCs w:val="24"/>
        </w:rPr>
        <w:t>元，标段三</w:t>
      </w:r>
      <w:r>
        <w:rPr>
          <w:rFonts w:hint="eastAsia" w:hAnsi="宋体" w:eastAsia="宋体" w:cs="宋体"/>
          <w:sz w:val="24"/>
          <w:szCs w:val="24"/>
          <w:lang w:val="en-US" w:eastAsia="zh-CN"/>
        </w:rPr>
        <w:t>17190</w:t>
      </w:r>
      <w:r>
        <w:rPr>
          <w:rFonts w:hint="eastAsia" w:hAnsi="宋体" w:eastAsia="宋体" w:cs="宋体"/>
          <w:sz w:val="24"/>
          <w:szCs w:val="24"/>
        </w:rPr>
        <w:t>元，标段四</w:t>
      </w:r>
      <w:r>
        <w:rPr>
          <w:rFonts w:hint="eastAsia" w:hAnsi="宋体" w:eastAsia="宋体" w:cs="宋体"/>
          <w:sz w:val="24"/>
          <w:szCs w:val="24"/>
          <w:lang w:val="en-US" w:eastAsia="zh-CN"/>
        </w:rPr>
        <w:t>5850</w:t>
      </w:r>
      <w:r>
        <w:rPr>
          <w:rFonts w:hint="eastAsia" w:hAnsi="宋体" w:eastAsia="宋体" w:cs="宋体"/>
          <w:sz w:val="24"/>
          <w:szCs w:val="24"/>
        </w:rPr>
        <w:t>元。由各标段</w:t>
      </w:r>
      <w:r>
        <w:rPr>
          <w:rFonts w:hint="eastAsia" w:hAnsi="宋体" w:eastAsia="宋体" w:cs="宋体"/>
          <w:sz w:val="24"/>
          <w:szCs w:val="24"/>
          <w:highlight w:val="none"/>
        </w:rPr>
        <w:t>成交供应商平均分摊</w:t>
      </w:r>
      <w:r>
        <w:rPr>
          <w:rFonts w:hint="eastAsia" w:hAnsi="宋体" w:eastAsia="宋体" w:cs="宋体"/>
          <w:sz w:val="24"/>
          <w:szCs w:val="24"/>
        </w:rPr>
        <w:t>向代理机构支付。</w:t>
      </w:r>
    </w:p>
    <w:p w14:paraId="5593A7CF">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5.磋商文件的约束力</w:t>
      </w:r>
    </w:p>
    <w:p w14:paraId="18F70B0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5.1磋商供应商一旦获取了本磋商文件并决定参加，即被认为接受了本磋商文件的规定和约束，并且视为自获取磋商文件之日起已经知道或应当知道自身权益是否受到了损害。</w:t>
      </w:r>
    </w:p>
    <w:p w14:paraId="2723DF62">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6</w:t>
      </w:r>
      <w:bookmarkStart w:id="105" w:name="_Toc20823283"/>
      <w:bookmarkStart w:id="106" w:name="_Toc462564070"/>
      <w:bookmarkStart w:id="107" w:name="_Toc513029211"/>
      <w:bookmarkStart w:id="108" w:name="_Toc16938527"/>
      <w:r>
        <w:rPr>
          <w:rFonts w:hint="eastAsia" w:ascii="宋体" w:hAnsi="宋体" w:eastAsia="宋体" w:cs="宋体"/>
          <w:b/>
          <w:sz w:val="24"/>
          <w:szCs w:val="24"/>
        </w:rPr>
        <w:t>.磋商文件的澄清</w:t>
      </w:r>
      <w:bookmarkEnd w:id="105"/>
      <w:bookmarkEnd w:id="106"/>
      <w:bookmarkEnd w:id="107"/>
      <w:bookmarkEnd w:id="108"/>
      <w:r>
        <w:rPr>
          <w:rFonts w:hint="eastAsia" w:ascii="宋体" w:hAnsi="宋体" w:eastAsia="宋体" w:cs="宋体"/>
          <w:b/>
          <w:sz w:val="24"/>
          <w:szCs w:val="24"/>
        </w:rPr>
        <w:t>及修改</w:t>
      </w:r>
    </w:p>
    <w:p w14:paraId="67B90638">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09" w:name="_Toc1861"/>
      <w:r>
        <w:rPr>
          <w:rFonts w:hint="eastAsia" w:hAnsi="宋体" w:eastAsia="宋体" w:cs="宋体"/>
          <w:sz w:val="24"/>
          <w:szCs w:val="24"/>
        </w:rPr>
        <w:t>6.1 任何要求对磋商文件进行澄清的供应商，均应在提交首次响应文件截止时间5日前按磋商公告中的通讯地址，以书面形式通知代理机构。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江苏省招标投标公共服务平台（</w:t>
      </w:r>
      <w:r>
        <w:rPr>
          <w:rFonts w:hint="eastAsia" w:ascii="宋体" w:hAnsi="宋体" w:eastAsia="宋体" w:cs="宋体"/>
          <w:bCs/>
          <w:sz w:val="24"/>
          <w:szCs w:val="24"/>
          <w:lang w:bidi="ar"/>
        </w:rPr>
        <w:t>https://www.jszbtb.com/#/newindex</w:t>
      </w:r>
      <w:r>
        <w:rPr>
          <w:rFonts w:hint="eastAsia" w:hAnsi="宋体" w:eastAsia="宋体" w:cs="宋体"/>
          <w:sz w:val="24"/>
          <w:szCs w:val="24"/>
        </w:rPr>
        <w:t>）发布更正公告，通知所有获取磋商文件的供应商。不足5日的，代理机构应当顺延提交首次响应文件截止时间。</w:t>
      </w:r>
      <w:bookmarkEnd w:id="109"/>
    </w:p>
    <w:p w14:paraId="39C9BAA0">
      <w:pPr>
        <w:keepNext w:val="0"/>
        <w:keepLines w:val="0"/>
        <w:pageBreakBefore w:val="0"/>
        <w:widowControl w:val="0"/>
        <w:kinsoku/>
        <w:wordWrap/>
        <w:overflowPunct/>
        <w:topLinePunct w:val="0"/>
        <w:bidi w:val="0"/>
        <w:adjustRightInd w:val="0"/>
        <w:spacing w:beforeLines="0" w:afterLines="0"/>
        <w:ind w:firstLine="640" w:firstLineChars="200"/>
        <w:textAlignment w:val="baseline"/>
        <w:outlineLvl w:val="9"/>
        <w:rPr>
          <w:rFonts w:hint="eastAsia" w:ascii="宋体" w:hAnsi="宋体" w:eastAsia="宋体" w:cs="宋体"/>
          <w:sz w:val="32"/>
          <w:szCs w:val="32"/>
        </w:rPr>
      </w:pPr>
      <w:r>
        <w:rPr>
          <w:rFonts w:hint="eastAsia" w:ascii="宋体" w:hAnsi="宋体" w:eastAsia="宋体" w:cs="宋体"/>
          <w:sz w:val="32"/>
          <w:szCs w:val="32"/>
        </w:rPr>
        <w:t>二、响应文件的编制</w:t>
      </w:r>
    </w:p>
    <w:p w14:paraId="48BB84B1">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110" w:name="_Toc61149561"/>
      <w:bookmarkStart w:id="111" w:name="_Toc513029223"/>
      <w:bookmarkStart w:id="112" w:name="_Toc14577361"/>
      <w:r>
        <w:rPr>
          <w:rFonts w:hint="eastAsia" w:ascii="宋体" w:hAnsi="宋体" w:eastAsia="宋体" w:cs="宋体"/>
          <w:b/>
          <w:sz w:val="24"/>
          <w:szCs w:val="24"/>
        </w:rPr>
        <w:t>7.响应文件份数和签署</w:t>
      </w:r>
      <w:bookmarkEnd w:id="110"/>
      <w:bookmarkEnd w:id="111"/>
      <w:bookmarkEnd w:id="112"/>
    </w:p>
    <w:p w14:paraId="26DC449B">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7.1供应商应严格按照磋商公告要求准备响应文件，每份响应文件须清楚地标明“正本”或“副本”字样。一旦正本</w:t>
      </w:r>
      <w:r>
        <w:rPr>
          <w:rFonts w:hint="eastAsia" w:hAnsi="宋体" w:eastAsia="宋体" w:cs="宋体"/>
          <w:sz w:val="24"/>
          <w:szCs w:val="24"/>
          <w:lang w:val="en-US" w:eastAsia="zh-CN"/>
        </w:rPr>
        <w:t>与</w:t>
      </w:r>
      <w:r>
        <w:rPr>
          <w:rFonts w:hint="eastAsia" w:hAnsi="宋体" w:eastAsia="宋体" w:cs="宋体"/>
          <w:sz w:val="24"/>
          <w:szCs w:val="24"/>
        </w:rPr>
        <w:t>副本不符，以正本为准。</w:t>
      </w:r>
      <w:r>
        <w:rPr>
          <w:rFonts w:hint="eastAsia" w:ascii="宋体" w:hAnsi="宋体" w:eastAsia="宋体" w:cs="宋体"/>
          <w:bCs/>
          <w:sz w:val="24"/>
          <w:szCs w:val="24"/>
        </w:rPr>
        <w:t>正本份数：1份，副本份数：6份。</w:t>
      </w:r>
    </w:p>
    <w:p w14:paraId="1AAB002F">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响应文件的正本、副本均需打印或复印。响应文件正本中，除磋商文件规定的可提交复印件外，其他文件均须提交原件，文字材料需打印或用不褪色墨水书写，响应文件正本须经法定代表人或授权代表签字</w:t>
      </w:r>
      <w:r>
        <w:rPr>
          <w:rFonts w:hint="eastAsia" w:hAnsi="宋体" w:eastAsia="宋体" w:cs="宋体"/>
          <w:sz w:val="24"/>
          <w:szCs w:val="24"/>
          <w:lang w:val="en-US" w:eastAsia="zh-CN"/>
        </w:rPr>
        <w:t>并</w:t>
      </w:r>
      <w:r>
        <w:rPr>
          <w:rFonts w:hint="eastAsia" w:hAnsi="宋体" w:eastAsia="宋体" w:cs="宋体"/>
          <w:sz w:val="24"/>
          <w:szCs w:val="24"/>
        </w:rPr>
        <w:t>加盖供应商公章。本磋商文件所表述（指定）的公章是指刻有供应商法定名称的印章，不包括合同、财务、税务、发票等形式的业务专用章。</w:t>
      </w:r>
    </w:p>
    <w:p w14:paraId="1C03F039">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7.2 除供应商对错处</w:t>
      </w:r>
      <w:r>
        <w:rPr>
          <w:rFonts w:hint="eastAsia" w:hAnsi="宋体" w:eastAsia="宋体" w:cs="宋体"/>
          <w:sz w:val="24"/>
          <w:szCs w:val="24"/>
          <w:lang w:val="en-US" w:eastAsia="zh-CN"/>
        </w:rPr>
        <w:t>做</w:t>
      </w:r>
      <w:r>
        <w:rPr>
          <w:rFonts w:hint="eastAsia" w:hAnsi="宋体" w:eastAsia="宋体" w:cs="宋体"/>
          <w:sz w:val="24"/>
          <w:szCs w:val="24"/>
        </w:rPr>
        <w:t>必要修改外，响应文件不得行间插字、涂改或增删。如有修改错漏处，必须由响应文件签署人签字或盖章。</w:t>
      </w:r>
    </w:p>
    <w:p w14:paraId="136511B0">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113" w:name="_Hlt26954834"/>
      <w:bookmarkEnd w:id="113"/>
      <w:bookmarkStart w:id="114" w:name="_Toc14577353"/>
      <w:bookmarkStart w:id="115" w:name="_Toc462564074"/>
      <w:bookmarkStart w:id="116" w:name="_Toc513029215"/>
      <w:bookmarkStart w:id="117" w:name="_Toc61149555"/>
      <w:bookmarkStart w:id="118" w:name="_Toc14577352"/>
      <w:bookmarkStart w:id="119" w:name="_Toc513029214"/>
      <w:bookmarkStart w:id="120" w:name="_Toc462564073"/>
      <w:bookmarkStart w:id="121" w:name="_Toc61149554"/>
      <w:r>
        <w:rPr>
          <w:rFonts w:hint="eastAsia" w:ascii="宋体" w:hAnsi="宋体" w:eastAsia="宋体" w:cs="宋体"/>
          <w:b/>
          <w:sz w:val="24"/>
          <w:szCs w:val="24"/>
        </w:rPr>
        <w:t>8.响应文件</w:t>
      </w:r>
      <w:bookmarkEnd w:id="114"/>
      <w:bookmarkEnd w:id="115"/>
      <w:bookmarkEnd w:id="116"/>
      <w:bookmarkEnd w:id="117"/>
      <w:r>
        <w:rPr>
          <w:rFonts w:hint="eastAsia" w:ascii="宋体" w:hAnsi="宋体" w:eastAsia="宋体" w:cs="宋体"/>
          <w:b/>
          <w:sz w:val="24"/>
          <w:szCs w:val="24"/>
        </w:rPr>
        <w:t>编制要求</w:t>
      </w:r>
    </w:p>
    <w:bookmarkEnd w:id="118"/>
    <w:bookmarkEnd w:id="119"/>
    <w:bookmarkEnd w:id="120"/>
    <w:bookmarkEnd w:id="121"/>
    <w:p w14:paraId="64982548">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8.1供应商提交的响应文件，以及供应商与代理机构或采购人就有关采购的所有来往函电均应使用简体中文。响应文件中既有中文也有外文的，以中文意义为准。</w:t>
      </w:r>
    </w:p>
    <w:p w14:paraId="5E55AE8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8.2 除技术性能另有规定外，响应文件所使用的度量衡单位，均须采用国家法定计量单位。</w:t>
      </w:r>
    </w:p>
    <w:p w14:paraId="65DB62AF">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8.3 响应文件应按照磋商文件规定的顺序，统一用A4规格幅面打印、装订成册并编制目录。</w:t>
      </w:r>
    </w:p>
    <w:p w14:paraId="3F3D1541">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8.4 供应商应在响应文件中写清相应的项目名称、项目编号、标段号，以及供应商全称、地址、电话、传真等。</w:t>
      </w:r>
    </w:p>
    <w:p w14:paraId="3B65D02D">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9.</w:t>
      </w:r>
      <w:bookmarkStart w:id="122" w:name="_Toc513029219"/>
      <w:bookmarkStart w:id="123" w:name="_Toc14577357"/>
      <w:bookmarkStart w:id="124" w:name="_Toc61149558"/>
      <w:r>
        <w:rPr>
          <w:rFonts w:hint="eastAsia" w:ascii="宋体" w:hAnsi="宋体" w:eastAsia="宋体" w:cs="宋体"/>
          <w:b/>
          <w:sz w:val="24"/>
          <w:szCs w:val="24"/>
        </w:rPr>
        <w:t>供应商资格</w:t>
      </w:r>
      <w:bookmarkEnd w:id="122"/>
      <w:bookmarkEnd w:id="123"/>
      <w:bookmarkEnd w:id="124"/>
      <w:r>
        <w:rPr>
          <w:rFonts w:hint="eastAsia" w:ascii="宋体" w:hAnsi="宋体" w:eastAsia="宋体" w:cs="宋体"/>
          <w:b/>
          <w:sz w:val="24"/>
          <w:szCs w:val="24"/>
        </w:rPr>
        <w:t>证明文件</w:t>
      </w:r>
    </w:p>
    <w:p w14:paraId="7B5B253C">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25" w:name="_Hlt26668999"/>
      <w:bookmarkEnd w:id="125"/>
      <w:r>
        <w:rPr>
          <w:rFonts w:hint="eastAsia" w:hAnsi="宋体" w:eastAsia="宋体" w:cs="宋体"/>
          <w:sz w:val="24"/>
          <w:szCs w:val="24"/>
        </w:rPr>
        <w:t>9.1供应商应提交证明其有资格参加采购</w:t>
      </w:r>
      <w:r>
        <w:rPr>
          <w:rFonts w:hint="eastAsia" w:hAnsi="宋体" w:eastAsia="宋体" w:cs="宋体"/>
          <w:sz w:val="24"/>
          <w:szCs w:val="24"/>
          <w:lang w:val="en-US" w:eastAsia="zh-CN"/>
        </w:rPr>
        <w:t>且</w:t>
      </w:r>
      <w:r>
        <w:rPr>
          <w:rFonts w:hint="eastAsia" w:hAnsi="宋体" w:eastAsia="宋体" w:cs="宋体"/>
          <w:sz w:val="24"/>
          <w:szCs w:val="24"/>
        </w:rPr>
        <w:t>成交后有能力独立履行合同的文件，并作为其响应文件的一部分。</w:t>
      </w:r>
    </w:p>
    <w:p w14:paraId="083AADDF">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9.2供应商除必须具有履行合同所需提供的设备以及服务的能力外，还必须具备相应的财务、技术方面的能力。</w:t>
      </w:r>
    </w:p>
    <w:p w14:paraId="5F9CFC61">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9.3供应商应</w:t>
      </w:r>
      <w:r>
        <w:rPr>
          <w:rFonts w:hint="eastAsia" w:hAnsi="宋体" w:eastAsia="宋体" w:cs="宋体"/>
          <w:sz w:val="24"/>
          <w:szCs w:val="24"/>
          <w:lang w:val="en-US" w:eastAsia="zh-CN"/>
        </w:rPr>
        <w:t>按照响应文件格式</w:t>
      </w:r>
      <w:r>
        <w:rPr>
          <w:rFonts w:hint="eastAsia" w:hAnsi="宋体" w:eastAsia="宋体" w:cs="宋体"/>
          <w:sz w:val="24"/>
          <w:szCs w:val="24"/>
        </w:rPr>
        <w:t>填写并提交“资格</w:t>
      </w:r>
      <w:r>
        <w:rPr>
          <w:rFonts w:hint="eastAsia" w:hAnsi="宋体" w:eastAsia="宋体" w:cs="宋体"/>
          <w:sz w:val="24"/>
          <w:szCs w:val="24"/>
          <w:lang w:val="en-US" w:eastAsia="zh-CN"/>
        </w:rPr>
        <w:t>证明</w:t>
      </w:r>
      <w:r>
        <w:rPr>
          <w:rFonts w:hint="eastAsia" w:hAnsi="宋体" w:eastAsia="宋体" w:cs="宋体"/>
          <w:sz w:val="24"/>
          <w:szCs w:val="24"/>
        </w:rPr>
        <w:t>材料”。</w:t>
      </w:r>
    </w:p>
    <w:p w14:paraId="0CEA63B9">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10.响应报价</w:t>
      </w:r>
      <w:bookmarkStart w:id="126" w:name="_Hlt26670373"/>
      <w:bookmarkEnd w:id="126"/>
    </w:p>
    <w:p w14:paraId="4BEB30E1">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10.1 供应商应按照磋商文件规定格式填报响应报价表（含分项报价）。</w:t>
      </w:r>
    </w:p>
    <w:p w14:paraId="5D265484">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11.磋商保证金</w:t>
      </w:r>
    </w:p>
    <w:p w14:paraId="38189924">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11.1 供应商应按照要求提交磋商保证金，并作为其响应文件的一部分。</w:t>
      </w:r>
    </w:p>
    <w:p w14:paraId="18ED3E76">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27" w:name="_Toc22915"/>
      <w:bookmarkStart w:id="128" w:name="_Toc12853"/>
      <w:bookmarkStart w:id="129" w:name="_Toc25154"/>
      <w:r>
        <w:rPr>
          <w:rFonts w:hint="eastAsia" w:hAnsi="宋体" w:eastAsia="宋体" w:cs="宋体"/>
          <w:sz w:val="24"/>
          <w:szCs w:val="24"/>
        </w:rPr>
        <w:t>11.2 磋商保证金金额：一标段壹万元（¥10000.00）整；二标段贰仟元整（¥2000.00）；三标段壹万肆仟元整（¥14000.00）；四标段肆仟元整（¥4000.00）；磋商保证金有效期应当与响应文件有效期一致。</w:t>
      </w:r>
      <w:bookmarkEnd w:id="127"/>
      <w:bookmarkEnd w:id="128"/>
      <w:bookmarkEnd w:id="129"/>
    </w:p>
    <w:p w14:paraId="3A632EF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30" w:name="_Toc238"/>
      <w:bookmarkStart w:id="131" w:name="_Toc14335"/>
      <w:bookmarkStart w:id="132" w:name="_Toc21859"/>
      <w:r>
        <w:rPr>
          <w:rFonts w:hint="eastAsia" w:hAnsi="宋体" w:eastAsia="宋体" w:cs="宋体"/>
          <w:sz w:val="24"/>
          <w:szCs w:val="24"/>
        </w:rPr>
        <w:t>11.3 磋商保证金缴纳形式：电汇</w:t>
      </w:r>
      <w:bookmarkEnd w:id="130"/>
      <w:bookmarkEnd w:id="131"/>
      <w:r>
        <w:rPr>
          <w:rFonts w:hint="eastAsia" w:hAnsi="宋体" w:eastAsia="宋体" w:cs="宋体"/>
          <w:sz w:val="24"/>
          <w:szCs w:val="24"/>
        </w:rPr>
        <w:t>或银行保函。如以电汇方式缴纳，供应商须通过本单位账户于递交响应文件截止时间前转入收款单位开户银行；如以银行保函形式</w:t>
      </w:r>
      <w:r>
        <w:rPr>
          <w:rFonts w:hint="eastAsia" w:hAnsi="宋体" w:eastAsia="宋体" w:cs="宋体"/>
          <w:sz w:val="24"/>
          <w:szCs w:val="24"/>
          <w:lang w:val="en-US" w:eastAsia="zh-CN"/>
        </w:rPr>
        <w:t>缴纳，</w:t>
      </w:r>
      <w:r>
        <w:rPr>
          <w:rFonts w:hint="eastAsia" w:hAnsi="宋体" w:eastAsia="宋体" w:cs="宋体"/>
          <w:sz w:val="24"/>
          <w:szCs w:val="24"/>
        </w:rPr>
        <w:t>供应商</w:t>
      </w:r>
      <w:r>
        <w:rPr>
          <w:rFonts w:hint="eastAsia" w:hAnsi="宋体" w:eastAsia="宋体" w:cs="宋体"/>
          <w:sz w:val="24"/>
          <w:szCs w:val="24"/>
          <w:lang w:val="en-US" w:eastAsia="zh-CN"/>
        </w:rPr>
        <w:t>须</w:t>
      </w:r>
      <w:r>
        <w:rPr>
          <w:rFonts w:hint="eastAsia" w:hAnsi="宋体" w:eastAsia="宋体" w:cs="宋体"/>
          <w:sz w:val="24"/>
          <w:szCs w:val="24"/>
        </w:rPr>
        <w:t>于递交响应文件截止时间前当场提交。银行汇款证明或收款单位开具的收款凭证或银行保函的复印件，应放入响应文件中。</w:t>
      </w:r>
      <w:bookmarkEnd w:id="132"/>
    </w:p>
    <w:p w14:paraId="45F2A0B2">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ascii="宋体" w:hAnsi="宋体" w:eastAsia="宋体" w:cs="宋体"/>
          <w:sz w:val="24"/>
          <w:szCs w:val="24"/>
        </w:rPr>
      </w:pPr>
      <w:bookmarkStart w:id="133" w:name="_Toc27218"/>
      <w:bookmarkStart w:id="134" w:name="_Toc12455"/>
      <w:bookmarkStart w:id="135" w:name="_Toc19321"/>
      <w:r>
        <w:rPr>
          <w:rFonts w:hint="eastAsia" w:ascii="宋体" w:hAnsi="宋体" w:eastAsia="宋体" w:cs="宋体"/>
          <w:sz w:val="24"/>
          <w:szCs w:val="24"/>
        </w:rPr>
        <w:t>11.4 磋商保证金收款单位账户名称、收款开户行、收款账号：</w:t>
      </w:r>
      <w:bookmarkEnd w:id="133"/>
      <w:bookmarkEnd w:id="134"/>
    </w:p>
    <w:p w14:paraId="1B0E1987">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ascii="宋体" w:hAnsi="宋体" w:eastAsia="宋体" w:cs="宋体"/>
          <w:sz w:val="24"/>
          <w:szCs w:val="24"/>
        </w:rPr>
      </w:pPr>
      <w:bookmarkStart w:id="136" w:name="_Toc32293"/>
      <w:bookmarkStart w:id="137" w:name="_Toc29538"/>
      <w:bookmarkStart w:id="138" w:name="_Toc17799"/>
      <w:bookmarkStart w:id="139" w:name="_Toc12545"/>
      <w:r>
        <w:rPr>
          <w:rFonts w:hint="eastAsia" w:ascii="宋体" w:hAnsi="宋体" w:eastAsia="宋体" w:cs="宋体"/>
          <w:sz w:val="24"/>
          <w:szCs w:val="24"/>
        </w:rPr>
        <w:t>收款单位账户名称：江苏国信政府采购服务中心有限公司</w:t>
      </w:r>
    </w:p>
    <w:p w14:paraId="10B11542">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收款开户行：上海银行南京湖南路支行</w:t>
      </w:r>
    </w:p>
    <w:p w14:paraId="4C530CA9">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收款账号：03005013727</w:t>
      </w:r>
    </w:p>
    <w:bookmarkEnd w:id="136"/>
    <w:bookmarkEnd w:id="137"/>
    <w:p w14:paraId="50D3DE01">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ascii="宋体" w:hAnsi="宋体" w:eastAsia="宋体" w:cs="宋体"/>
          <w:sz w:val="24"/>
          <w:szCs w:val="24"/>
        </w:rPr>
        <w:t>11.5 未成交供应商的磋商保证金，将</w:t>
      </w:r>
      <w:r>
        <w:rPr>
          <w:rFonts w:hint="eastAsia" w:ascii="宋体" w:hAnsi="宋体" w:eastAsia="宋体" w:cs="宋体"/>
          <w:sz w:val="24"/>
          <w:szCs w:val="24"/>
          <w:lang w:val="en-US" w:eastAsia="zh-CN"/>
        </w:rPr>
        <w:t>于</w:t>
      </w:r>
      <w:r>
        <w:rPr>
          <w:rFonts w:hint="eastAsia" w:ascii="宋体" w:hAnsi="宋体" w:eastAsia="宋体" w:cs="宋体"/>
          <w:sz w:val="24"/>
          <w:szCs w:val="24"/>
        </w:rPr>
        <w:t>成交通知</w:t>
      </w:r>
      <w:r>
        <w:rPr>
          <w:rFonts w:hint="eastAsia" w:ascii="宋体" w:hAnsi="宋体" w:eastAsia="宋体" w:cs="宋体"/>
          <w:sz w:val="24"/>
          <w:szCs w:val="24"/>
          <w:lang w:val="en-US" w:eastAsia="zh-CN"/>
        </w:rPr>
        <w:t>书</w:t>
      </w:r>
      <w:r>
        <w:rPr>
          <w:rFonts w:hint="eastAsia" w:ascii="宋体" w:hAnsi="宋体" w:eastAsia="宋体" w:cs="宋体"/>
          <w:sz w:val="24"/>
          <w:szCs w:val="24"/>
        </w:rPr>
        <w:t>发出后5个工作日内无</w:t>
      </w:r>
      <w:r>
        <w:rPr>
          <w:rFonts w:hint="eastAsia" w:hAnsi="宋体" w:eastAsia="宋体" w:cs="宋体"/>
          <w:sz w:val="24"/>
          <w:szCs w:val="24"/>
        </w:rPr>
        <w:t>息退还。未成交的供应商应主动与响应文件接收人联系办理保证金退还事宜，及时办理退还手续，由于供应商自身原因未联系办理保证金退还的，其责任和由此造成的后果由供应商自行承担。</w:t>
      </w:r>
      <w:bookmarkEnd w:id="135"/>
      <w:bookmarkEnd w:id="138"/>
      <w:bookmarkEnd w:id="139"/>
    </w:p>
    <w:p w14:paraId="34CE43A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40" w:name="_Toc28058"/>
      <w:bookmarkStart w:id="141" w:name="_Toc24858"/>
      <w:bookmarkStart w:id="142" w:name="_Toc494"/>
      <w:r>
        <w:rPr>
          <w:rFonts w:hint="eastAsia" w:hAnsi="宋体" w:eastAsia="宋体" w:cs="宋体"/>
          <w:sz w:val="24"/>
          <w:szCs w:val="24"/>
        </w:rPr>
        <w:t>成交供应商的磋商保证金在签订合同后5个工作日内无息退还。</w:t>
      </w:r>
      <w:bookmarkEnd w:id="140"/>
      <w:bookmarkEnd w:id="141"/>
      <w:bookmarkEnd w:id="142"/>
    </w:p>
    <w:p w14:paraId="5D1728B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43" w:name="_Toc20633"/>
      <w:bookmarkStart w:id="144" w:name="_Toc23314"/>
      <w:bookmarkStart w:id="145" w:name="_Toc17428"/>
      <w:r>
        <w:rPr>
          <w:rFonts w:hint="eastAsia" w:hAnsi="宋体" w:eastAsia="宋体" w:cs="宋体"/>
          <w:sz w:val="24"/>
          <w:szCs w:val="24"/>
        </w:rPr>
        <w:t>11.6 发生下列情况之一的，磋商保证金不予退还：</w:t>
      </w:r>
      <w:bookmarkEnd w:id="143"/>
      <w:bookmarkEnd w:id="144"/>
      <w:bookmarkEnd w:id="145"/>
    </w:p>
    <w:p w14:paraId="166A202A">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46" w:name="_Toc1865"/>
      <w:bookmarkStart w:id="147" w:name="_Toc10569"/>
      <w:bookmarkStart w:id="148" w:name="_Toc17031"/>
      <w:r>
        <w:rPr>
          <w:rFonts w:hint="eastAsia" w:hAnsi="宋体" w:eastAsia="宋体" w:cs="宋体"/>
          <w:sz w:val="24"/>
          <w:szCs w:val="24"/>
        </w:rPr>
        <w:t>（1）成交通知书发出后三十日内，供应商放弃或拒绝签订合同的（发生法律规定的不能预见、不能避免并不能克服的客观情况除外）；</w:t>
      </w:r>
      <w:bookmarkEnd w:id="146"/>
      <w:bookmarkEnd w:id="147"/>
    </w:p>
    <w:p w14:paraId="129B76B1">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49" w:name="_Toc26478"/>
      <w:bookmarkStart w:id="150" w:name="_Toc25513"/>
      <w:r>
        <w:rPr>
          <w:rFonts w:hint="eastAsia" w:hAnsi="宋体" w:eastAsia="宋体" w:cs="宋体"/>
          <w:sz w:val="24"/>
          <w:szCs w:val="24"/>
        </w:rPr>
        <w:t>（2）供应商在响应文件中提供虚假材料的；</w:t>
      </w:r>
      <w:bookmarkEnd w:id="149"/>
      <w:bookmarkEnd w:id="150"/>
    </w:p>
    <w:p w14:paraId="7A139B9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51" w:name="_Toc4256"/>
      <w:bookmarkStart w:id="152" w:name="_Toc28587"/>
      <w:r>
        <w:rPr>
          <w:rFonts w:hint="eastAsia" w:hAnsi="宋体" w:eastAsia="宋体" w:cs="宋体"/>
          <w:sz w:val="24"/>
          <w:szCs w:val="24"/>
        </w:rPr>
        <w:t>（3）经查实，供应商与采购人、其他供应商或者代理机构恶意串通的；</w:t>
      </w:r>
      <w:bookmarkEnd w:id="151"/>
      <w:bookmarkEnd w:id="152"/>
    </w:p>
    <w:p w14:paraId="760899BF">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53" w:name="_Toc9047"/>
      <w:bookmarkStart w:id="154" w:name="_Toc23472"/>
      <w:r>
        <w:rPr>
          <w:rFonts w:hint="eastAsia" w:hAnsi="宋体" w:eastAsia="宋体" w:cs="宋体"/>
          <w:sz w:val="24"/>
          <w:szCs w:val="24"/>
        </w:rPr>
        <w:t>（4）供应商在提交响应文件截止时间后撤回响应文件的。</w:t>
      </w:r>
      <w:bookmarkEnd w:id="153"/>
      <w:bookmarkEnd w:id="154"/>
    </w:p>
    <w:bookmarkEnd w:id="148"/>
    <w:p w14:paraId="7A2F11B5">
      <w:pPr>
        <w:keepNext w:val="0"/>
        <w:keepLines w:val="0"/>
        <w:pageBreakBefore w:val="0"/>
        <w:widowControl w:val="0"/>
        <w:kinsoku/>
        <w:wordWrap/>
        <w:overflowPunct/>
        <w:topLinePunct w:val="0"/>
        <w:bidi w:val="0"/>
        <w:adjustRightInd w:val="0"/>
        <w:spacing w:beforeLines="0" w:afterLines="0"/>
        <w:ind w:firstLine="640" w:firstLineChars="200"/>
        <w:textAlignment w:val="baseline"/>
        <w:outlineLvl w:val="9"/>
        <w:rPr>
          <w:rFonts w:hint="eastAsia" w:ascii="宋体" w:hAnsi="宋体" w:eastAsia="宋体" w:cs="宋体"/>
          <w:sz w:val="32"/>
          <w:szCs w:val="32"/>
        </w:rPr>
      </w:pPr>
      <w:bookmarkStart w:id="155" w:name="_Toc25394"/>
      <w:bookmarkStart w:id="156" w:name="_Toc16060"/>
      <w:bookmarkStart w:id="157" w:name="_Toc4462"/>
      <w:r>
        <w:rPr>
          <w:rFonts w:hint="eastAsia" w:ascii="宋体" w:hAnsi="宋体" w:eastAsia="宋体" w:cs="宋体"/>
          <w:sz w:val="32"/>
          <w:szCs w:val="32"/>
        </w:rPr>
        <w:t>三、响应文件的递交</w:t>
      </w:r>
      <w:bookmarkEnd w:id="155"/>
      <w:bookmarkEnd w:id="156"/>
      <w:bookmarkEnd w:id="157"/>
    </w:p>
    <w:p w14:paraId="2A586628">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158" w:name="_Toc14065"/>
      <w:bookmarkStart w:id="159" w:name="_Toc2635"/>
      <w:bookmarkStart w:id="160" w:name="_Toc13983"/>
      <w:r>
        <w:rPr>
          <w:rFonts w:hint="eastAsia" w:ascii="宋体" w:hAnsi="宋体" w:eastAsia="宋体" w:cs="宋体"/>
          <w:b/>
          <w:sz w:val="24"/>
          <w:szCs w:val="24"/>
        </w:rPr>
        <w:t>12.</w:t>
      </w:r>
      <w:bookmarkStart w:id="161" w:name="_Toc14577363"/>
      <w:bookmarkStart w:id="162" w:name="_Toc513029225"/>
      <w:bookmarkStart w:id="163" w:name="_Toc462564084"/>
      <w:bookmarkStart w:id="164" w:name="_Toc61149563"/>
      <w:r>
        <w:rPr>
          <w:rFonts w:hint="eastAsia" w:ascii="宋体" w:hAnsi="宋体" w:eastAsia="宋体" w:cs="宋体"/>
          <w:b/>
          <w:sz w:val="24"/>
          <w:szCs w:val="24"/>
        </w:rPr>
        <w:t>响应文件</w:t>
      </w:r>
      <w:bookmarkStart w:id="165" w:name="_Hlt26954743"/>
      <w:bookmarkEnd w:id="165"/>
      <w:r>
        <w:rPr>
          <w:rFonts w:hint="eastAsia" w:ascii="宋体" w:hAnsi="宋体" w:eastAsia="宋体" w:cs="宋体"/>
          <w:b/>
          <w:sz w:val="24"/>
          <w:szCs w:val="24"/>
        </w:rPr>
        <w:t>的密封和标记</w:t>
      </w:r>
      <w:bookmarkEnd w:id="158"/>
      <w:bookmarkEnd w:id="161"/>
      <w:bookmarkEnd w:id="162"/>
      <w:bookmarkEnd w:id="163"/>
      <w:bookmarkEnd w:id="164"/>
    </w:p>
    <w:p w14:paraId="0C3A6F8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66" w:name="_Toc22038"/>
      <w:r>
        <w:rPr>
          <w:rFonts w:hint="eastAsia" w:hAnsi="宋体" w:eastAsia="宋体" w:cs="宋体"/>
          <w:sz w:val="24"/>
          <w:szCs w:val="24"/>
        </w:rPr>
        <w:t>12.1供应商应将响应文件正本和所有副本密封。</w:t>
      </w:r>
      <w:bookmarkEnd w:id="166"/>
    </w:p>
    <w:p w14:paraId="330ABB43">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67" w:name="_Toc24048"/>
      <w:r>
        <w:rPr>
          <w:rFonts w:hint="eastAsia" w:hAnsi="宋体" w:eastAsia="宋体" w:cs="宋体"/>
          <w:sz w:val="24"/>
          <w:szCs w:val="24"/>
        </w:rPr>
        <w:t>12.2密封的响应文件应：</w:t>
      </w:r>
      <w:bookmarkEnd w:id="167"/>
    </w:p>
    <w:p w14:paraId="4FBBA524">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68" w:name="_Toc14647"/>
      <w:r>
        <w:rPr>
          <w:rFonts w:hint="eastAsia" w:hAnsi="宋体" w:eastAsia="宋体" w:cs="宋体"/>
          <w:sz w:val="24"/>
          <w:szCs w:val="24"/>
        </w:rPr>
        <w:t>（1）按</w:t>
      </w:r>
      <w:r>
        <w:rPr>
          <w:rFonts w:hint="eastAsia" w:hAnsi="宋体" w:eastAsia="宋体" w:cs="宋体"/>
          <w:sz w:val="24"/>
          <w:szCs w:val="24"/>
          <w:lang w:val="en-US" w:eastAsia="zh-CN"/>
        </w:rPr>
        <w:t>磋商</w:t>
      </w:r>
      <w:r>
        <w:rPr>
          <w:rFonts w:hint="eastAsia" w:hAnsi="宋体" w:eastAsia="宋体" w:cs="宋体"/>
          <w:sz w:val="24"/>
          <w:szCs w:val="24"/>
        </w:rPr>
        <w:t>公告中注明的地址送达规定地点；</w:t>
      </w:r>
      <w:bookmarkEnd w:id="168"/>
    </w:p>
    <w:p w14:paraId="36EA52C6">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（2）注明参加采购项目名称、项目编号及参加的标段号；</w:t>
      </w:r>
    </w:p>
    <w:p w14:paraId="2B8BBEF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69" w:name="_Toc9937"/>
      <w:r>
        <w:rPr>
          <w:rFonts w:hint="eastAsia" w:hAnsi="宋体" w:eastAsia="宋体" w:cs="宋体"/>
          <w:sz w:val="24"/>
          <w:szCs w:val="24"/>
        </w:rPr>
        <w:t>（3）密封包装上应写明供应商名称和地址。</w:t>
      </w:r>
      <w:bookmarkEnd w:id="169"/>
    </w:p>
    <w:p w14:paraId="0F47FE70">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70" w:name="_Toc6116"/>
      <w:r>
        <w:rPr>
          <w:rFonts w:hint="eastAsia" w:hAnsi="宋体" w:eastAsia="宋体" w:cs="宋体"/>
          <w:sz w:val="24"/>
          <w:szCs w:val="24"/>
        </w:rPr>
        <w:t>12.3 如果密封包装未按要求密封和加写标记，代理机构对误投或过早启封概不负责。对由此造成提前开封的响应文件，代理机构将予以拒绝，作无效响应处理。</w:t>
      </w:r>
      <w:bookmarkEnd w:id="170"/>
      <w:bookmarkStart w:id="171" w:name="_Toc19403"/>
      <w:bookmarkStart w:id="172" w:name="_Toc3481"/>
    </w:p>
    <w:p w14:paraId="7C157693">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73" w:name="_Toc11901"/>
      <w:r>
        <w:rPr>
          <w:rFonts w:hint="eastAsia" w:hAnsi="宋体" w:eastAsia="宋体" w:cs="宋体"/>
          <w:sz w:val="24"/>
          <w:szCs w:val="24"/>
        </w:rPr>
        <w:t>12.4 有下列情形之一的响应文件将被拒收：</w:t>
      </w:r>
      <w:bookmarkEnd w:id="171"/>
      <w:bookmarkEnd w:id="172"/>
      <w:bookmarkEnd w:id="173"/>
    </w:p>
    <w:p w14:paraId="6D55AD1A">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74" w:name="_Toc267"/>
      <w:bookmarkStart w:id="175" w:name="_Toc9961"/>
      <w:bookmarkStart w:id="176" w:name="_Toc23596"/>
      <w:r>
        <w:rPr>
          <w:rFonts w:hint="eastAsia" w:hAnsi="宋体" w:eastAsia="宋体" w:cs="宋体"/>
          <w:sz w:val="24"/>
          <w:szCs w:val="24"/>
        </w:rPr>
        <w:t>（1）未按磋商文件规定的金额和</w:t>
      </w:r>
      <w:r>
        <w:rPr>
          <w:rFonts w:hint="eastAsia" w:hAnsi="宋体" w:eastAsia="宋体" w:cs="宋体"/>
          <w:sz w:val="24"/>
          <w:szCs w:val="24"/>
          <w:lang w:val="en-US" w:eastAsia="zh-CN"/>
        </w:rPr>
        <w:t>方式</w:t>
      </w:r>
      <w:r>
        <w:rPr>
          <w:rFonts w:hint="eastAsia" w:hAnsi="宋体" w:eastAsia="宋体" w:cs="宋体"/>
          <w:sz w:val="24"/>
          <w:szCs w:val="24"/>
        </w:rPr>
        <w:t>缴纳磋商保证金的；</w:t>
      </w:r>
      <w:bookmarkEnd w:id="174"/>
      <w:bookmarkEnd w:id="175"/>
      <w:bookmarkEnd w:id="176"/>
    </w:p>
    <w:p w14:paraId="42FD4DC0">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77" w:name="_Toc8248"/>
      <w:bookmarkStart w:id="178" w:name="_Toc23533"/>
      <w:bookmarkStart w:id="179" w:name="_Toc1459"/>
      <w:r>
        <w:rPr>
          <w:rFonts w:hint="eastAsia" w:hAnsi="宋体" w:eastAsia="宋体" w:cs="宋体"/>
          <w:sz w:val="24"/>
          <w:szCs w:val="24"/>
        </w:rPr>
        <w:t>（2）在递交响应文件截止时间之后送达的</w:t>
      </w:r>
      <w:bookmarkEnd w:id="177"/>
      <w:r>
        <w:rPr>
          <w:rFonts w:hint="eastAsia" w:hAnsi="宋体" w:eastAsia="宋体" w:cs="宋体"/>
          <w:sz w:val="24"/>
          <w:szCs w:val="24"/>
        </w:rPr>
        <w:t>。</w:t>
      </w:r>
      <w:bookmarkEnd w:id="178"/>
    </w:p>
    <w:bookmarkEnd w:id="179"/>
    <w:p w14:paraId="42F2B04F">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180" w:name="_Hlt26954860"/>
      <w:bookmarkEnd w:id="180"/>
      <w:bookmarkStart w:id="181" w:name="_Hlt26670496"/>
      <w:bookmarkEnd w:id="181"/>
      <w:bookmarkStart w:id="182" w:name="_Hlt26954858"/>
      <w:bookmarkEnd w:id="182"/>
      <w:bookmarkStart w:id="183" w:name="_Hlt26954752"/>
      <w:bookmarkEnd w:id="183"/>
      <w:bookmarkStart w:id="184" w:name="_Hlt26954754"/>
      <w:bookmarkEnd w:id="184"/>
      <w:bookmarkStart w:id="185" w:name="_Hlt26954862"/>
      <w:bookmarkEnd w:id="185"/>
      <w:bookmarkStart w:id="186" w:name="_Toc14577366"/>
      <w:bookmarkStart w:id="187" w:name="_Toc61149566"/>
      <w:bookmarkStart w:id="188" w:name="_Toc10553"/>
      <w:bookmarkStart w:id="189" w:name="_Toc513029228"/>
      <w:r>
        <w:rPr>
          <w:rFonts w:hint="eastAsia" w:ascii="宋体" w:hAnsi="宋体" w:eastAsia="宋体" w:cs="宋体"/>
          <w:b/>
          <w:sz w:val="24"/>
          <w:szCs w:val="24"/>
        </w:rPr>
        <w:t>13.响应文件</w:t>
      </w:r>
      <w:bookmarkStart w:id="190" w:name="_Hlt26670588"/>
      <w:r>
        <w:rPr>
          <w:rFonts w:hint="eastAsia" w:ascii="宋体" w:hAnsi="宋体" w:eastAsia="宋体" w:cs="宋体"/>
          <w:b/>
          <w:sz w:val="24"/>
          <w:szCs w:val="24"/>
        </w:rPr>
        <w:t>的修改</w:t>
      </w:r>
      <w:bookmarkEnd w:id="190"/>
      <w:r>
        <w:rPr>
          <w:rFonts w:hint="eastAsia" w:ascii="宋体" w:hAnsi="宋体" w:eastAsia="宋体" w:cs="宋体"/>
          <w:b/>
          <w:sz w:val="24"/>
          <w:szCs w:val="24"/>
        </w:rPr>
        <w:t>和撤回</w:t>
      </w:r>
      <w:bookmarkEnd w:id="186"/>
      <w:bookmarkEnd w:id="187"/>
      <w:bookmarkEnd w:id="188"/>
      <w:bookmarkEnd w:id="189"/>
    </w:p>
    <w:p w14:paraId="71A44DBB">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91" w:name="_Toc26302"/>
      <w:r>
        <w:rPr>
          <w:rFonts w:hint="eastAsia" w:hAnsi="宋体" w:eastAsia="宋体" w:cs="宋体"/>
          <w:sz w:val="24"/>
          <w:szCs w:val="24"/>
        </w:rPr>
        <w:t>13.1 供应商在递交响应文件后，可以修改或撤回其响应文件，但这种修改和撤回，必须在规定的响应文件接收截止时间前，以书面形式送达指定地点。</w:t>
      </w:r>
      <w:bookmarkEnd w:id="191"/>
    </w:p>
    <w:p w14:paraId="4B05927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92" w:name="_Toc16036"/>
      <w:r>
        <w:rPr>
          <w:rFonts w:hint="eastAsia" w:hAnsi="宋体" w:eastAsia="宋体" w:cs="宋体"/>
          <w:sz w:val="24"/>
          <w:szCs w:val="24"/>
        </w:rPr>
        <w:t>13.2供应商修改或撤回通知书，应按本磋商文件规定进行编制、密封、标记和发送，并应在封套上加注“修改”或“撤回”字样。</w:t>
      </w:r>
      <w:bookmarkEnd w:id="192"/>
    </w:p>
    <w:p w14:paraId="283D3E6B">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13.3 供应商在提交最后报价之前，可以根据情况退出。</w:t>
      </w:r>
    </w:p>
    <w:p w14:paraId="5FE39798">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14.响应文件有效期</w:t>
      </w:r>
    </w:p>
    <w:p w14:paraId="48EA298C">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14.1 响应文件有效期为响应文件接收截止时间后六十（60）天。响应文件有效期比规定短的将被视为非实质性响应而予以拒绝。</w:t>
      </w:r>
    </w:p>
    <w:p w14:paraId="18B40386">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14.2 在特殊情况下，代理机构于原响应有效期届满之前，可向供应商提出延长响应有效期的要求。这种要求与答复均应采用书面形式。供应商可以拒绝代理机构的这一要求而放弃响应，同意延长响应有效期的供应商既不能要求也不允许修改其响应文件，同时受响应有效期约束的所有权利与义务均延长至新的有效期。</w:t>
      </w:r>
    </w:p>
    <w:bookmarkEnd w:id="159"/>
    <w:bookmarkEnd w:id="160"/>
    <w:p w14:paraId="2EA3371F">
      <w:pPr>
        <w:keepNext w:val="0"/>
        <w:keepLines w:val="0"/>
        <w:pageBreakBefore w:val="0"/>
        <w:widowControl w:val="0"/>
        <w:kinsoku/>
        <w:wordWrap/>
        <w:overflowPunct/>
        <w:topLinePunct w:val="0"/>
        <w:bidi w:val="0"/>
        <w:adjustRightInd w:val="0"/>
        <w:spacing w:beforeLines="0" w:afterLines="0"/>
        <w:ind w:firstLine="640" w:firstLineChars="200"/>
        <w:textAlignment w:val="baseline"/>
        <w:outlineLvl w:val="9"/>
        <w:rPr>
          <w:rFonts w:hint="eastAsia" w:ascii="宋体" w:hAnsi="宋体" w:eastAsia="宋体" w:cs="宋体"/>
          <w:sz w:val="32"/>
          <w:szCs w:val="32"/>
        </w:rPr>
      </w:pPr>
      <w:r>
        <w:rPr>
          <w:rFonts w:hint="eastAsia" w:ascii="宋体" w:hAnsi="宋体" w:eastAsia="宋体" w:cs="宋体"/>
          <w:sz w:val="32"/>
          <w:szCs w:val="32"/>
        </w:rPr>
        <w:t>四、采购评审</w:t>
      </w:r>
    </w:p>
    <w:p w14:paraId="57FD108A">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193" w:name="_Toc18285"/>
      <w:bookmarkStart w:id="194" w:name="_Toc20955"/>
      <w:r>
        <w:rPr>
          <w:rFonts w:hint="eastAsia" w:ascii="宋体" w:hAnsi="宋体" w:eastAsia="宋体" w:cs="宋体"/>
          <w:b/>
          <w:sz w:val="24"/>
          <w:szCs w:val="24"/>
        </w:rPr>
        <w:t xml:space="preserve">15. </w:t>
      </w:r>
      <w:bookmarkEnd w:id="193"/>
      <w:bookmarkEnd w:id="194"/>
      <w:r>
        <w:rPr>
          <w:rFonts w:hint="eastAsia" w:ascii="宋体" w:hAnsi="宋体" w:eastAsia="宋体" w:cs="宋体"/>
          <w:b/>
          <w:sz w:val="24"/>
          <w:szCs w:val="24"/>
        </w:rPr>
        <w:t>开启响应文件</w:t>
      </w:r>
    </w:p>
    <w:p w14:paraId="2994FF9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15.1代理机构将在磋商文件中规定的时间和地点开启响应文件，供应商应委派携带有效证件的法定代表人或授权代表准时参加响应文件开启会议。</w:t>
      </w:r>
    </w:p>
    <w:p w14:paraId="3B959DD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15.2 响应文件开启结束后，代理机构将立即组织磋商小组进行评审。</w:t>
      </w:r>
    </w:p>
    <w:p w14:paraId="7BE19F57">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195" w:name="_Toc11203"/>
      <w:bookmarkStart w:id="196" w:name="_Toc25614"/>
      <w:r>
        <w:rPr>
          <w:rFonts w:hint="eastAsia" w:ascii="宋体" w:hAnsi="宋体" w:eastAsia="宋体" w:cs="宋体"/>
          <w:b/>
          <w:sz w:val="24"/>
          <w:szCs w:val="24"/>
        </w:rPr>
        <w:t>16.磋商程序</w:t>
      </w:r>
      <w:bookmarkEnd w:id="195"/>
      <w:bookmarkEnd w:id="196"/>
    </w:p>
    <w:p w14:paraId="715725D2">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97" w:name="_Toc21036"/>
      <w:r>
        <w:rPr>
          <w:rFonts w:hint="eastAsia" w:hAnsi="宋体" w:eastAsia="宋体" w:cs="宋体"/>
          <w:sz w:val="24"/>
          <w:szCs w:val="24"/>
        </w:rPr>
        <w:t>16.1 磋商小组对供应商所递交的响应文件进行审查，凡不具备资格条件、</w:t>
      </w:r>
      <w:r>
        <w:rPr>
          <w:rFonts w:hint="eastAsia" w:hAnsi="宋体" w:eastAsia="宋体" w:cs="宋体"/>
          <w:sz w:val="24"/>
          <w:szCs w:val="24"/>
          <w:lang w:val="en-US" w:eastAsia="zh-CN"/>
        </w:rPr>
        <w:t>符合性审查、</w:t>
      </w:r>
      <w:r>
        <w:rPr>
          <w:rFonts w:hint="eastAsia" w:hAnsi="宋体" w:eastAsia="宋体" w:cs="宋体"/>
          <w:sz w:val="24"/>
          <w:szCs w:val="24"/>
        </w:rPr>
        <w:t>未实质性响应磋商文件的供应商不得进入评审程序。</w:t>
      </w:r>
      <w:bookmarkEnd w:id="197"/>
    </w:p>
    <w:p w14:paraId="0D165384">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符合性审查的内容包括：</w:t>
      </w:r>
    </w:p>
    <w:p w14:paraId="34964DC7">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（1）响应报价是否超过采购预算或最高限价。</w:t>
      </w:r>
    </w:p>
    <w:p w14:paraId="297EC5F5">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（2）响应文件的有效性(签署、盖章情况等)；</w:t>
      </w:r>
    </w:p>
    <w:p w14:paraId="4C0EB33F">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lang w:eastAsia="zh-CN"/>
        </w:rPr>
      </w:pPr>
      <w:r>
        <w:rPr>
          <w:rFonts w:hint="eastAsia" w:hAnsi="宋体" w:eastAsia="宋体" w:cs="宋体"/>
          <w:sz w:val="24"/>
          <w:szCs w:val="24"/>
        </w:rPr>
        <w:t>（3）响应文件的完整性（正本、副本、内容等）</w:t>
      </w:r>
      <w:r>
        <w:rPr>
          <w:rFonts w:hint="eastAsia" w:hAnsi="宋体" w:eastAsia="宋体" w:cs="宋体"/>
          <w:sz w:val="24"/>
          <w:szCs w:val="24"/>
          <w:lang w:eastAsia="zh-CN"/>
        </w:rPr>
        <w:t>。</w:t>
      </w:r>
    </w:p>
    <w:p w14:paraId="35C66288">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16.2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FD67FF">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16.3接到磋商小组要求的供应商应派人按磋商小组通知的时间和地点作出书面澄清、说明或更正。供应商的澄清、说明或者更正应当由法定代表人或授权代表签字或加盖公章。</w:t>
      </w:r>
    </w:p>
    <w:p w14:paraId="5F47038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接到磋商小组澄清、说明或者更正要求的供应商如未按规定作出澄清、说明或者更正，其风险由供应商自行承担。</w:t>
      </w:r>
    </w:p>
    <w:p w14:paraId="2E42577F">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198" w:name="_Toc16616"/>
      <w:bookmarkStart w:id="199" w:name="_Toc7461"/>
      <w:r>
        <w:rPr>
          <w:rFonts w:hint="eastAsia" w:hAnsi="宋体" w:eastAsia="宋体" w:cs="宋体"/>
          <w:sz w:val="24"/>
          <w:szCs w:val="24"/>
        </w:rPr>
        <w:t>16.4磋商小组所有成员集中与单一供应商分别就采购项目的技术、商务和价格进行磋商。</w:t>
      </w:r>
      <w:bookmarkEnd w:id="198"/>
      <w:bookmarkEnd w:id="199"/>
      <w:bookmarkStart w:id="200" w:name="_Toc22010"/>
      <w:bookmarkStart w:id="201" w:name="_Toc7741"/>
      <w:bookmarkStart w:id="202" w:name="_Toc17280"/>
    </w:p>
    <w:p w14:paraId="499B50C9">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16.5 磋商过程中，磋商小组可以根据磋商文件和磋商情况，实质性变动采购需求中的技术、服务要求以及合同草案条款，但不得变动磋商文件中的其他内容。实质性变动的内容，须经采购人代表确认。</w:t>
      </w:r>
      <w:bookmarkEnd w:id="200"/>
      <w:bookmarkEnd w:id="201"/>
      <w:bookmarkEnd w:id="202"/>
    </w:p>
    <w:p w14:paraId="12D5698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03" w:name="_Toc7517"/>
      <w:bookmarkStart w:id="204" w:name="_Toc5496"/>
      <w:bookmarkStart w:id="205" w:name="_Toc20222"/>
      <w:r>
        <w:rPr>
          <w:rFonts w:hint="eastAsia" w:hAnsi="宋体" w:eastAsia="宋体" w:cs="宋体"/>
          <w:sz w:val="24"/>
          <w:szCs w:val="24"/>
        </w:rPr>
        <w:t>作出的实质性变动属于磋商文件的有效组成部分，磋商小组应当及时以书面形式同时通知所有参加磋商的供应商</w:t>
      </w:r>
      <w:bookmarkEnd w:id="203"/>
      <w:bookmarkEnd w:id="204"/>
      <w:bookmarkEnd w:id="205"/>
      <w:r>
        <w:rPr>
          <w:rFonts w:hint="eastAsia" w:hAnsi="宋体" w:eastAsia="宋体" w:cs="宋体"/>
          <w:sz w:val="24"/>
          <w:szCs w:val="24"/>
        </w:rPr>
        <w:t>。</w:t>
      </w:r>
    </w:p>
    <w:p w14:paraId="51B60F01">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06" w:name="_Toc29725"/>
      <w:bookmarkStart w:id="207" w:name="_Toc7187"/>
      <w:bookmarkStart w:id="208" w:name="_Toc11098"/>
      <w:r>
        <w:rPr>
          <w:rFonts w:hint="eastAsia" w:hAnsi="宋体" w:eastAsia="宋体" w:cs="宋体"/>
          <w:sz w:val="24"/>
          <w:szCs w:val="24"/>
        </w:rPr>
        <w:t>16.6 如对磋商文件有实质性变动的，供应商应当按照磋商文件变动情况和磋商小组要求提交补充文件。补充文件应由法定代表人或授权代表签字或者加盖公章。</w:t>
      </w:r>
      <w:bookmarkEnd w:id="206"/>
      <w:bookmarkEnd w:id="207"/>
      <w:bookmarkEnd w:id="208"/>
    </w:p>
    <w:p w14:paraId="4710E393">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09" w:name="_Toc25724"/>
      <w:bookmarkStart w:id="210" w:name="_Toc32262"/>
      <w:bookmarkStart w:id="211" w:name="_Toc26392"/>
      <w:r>
        <w:rPr>
          <w:rFonts w:hint="eastAsia" w:hAnsi="宋体" w:eastAsia="宋体" w:cs="宋体"/>
          <w:sz w:val="24"/>
          <w:szCs w:val="24"/>
        </w:rPr>
        <w:t>16.7 磋商结束后，磋商小组将要求所有实质性响应的供应商在规定时间内提交最终报价。</w:t>
      </w:r>
      <w:bookmarkEnd w:id="209"/>
      <w:bookmarkEnd w:id="210"/>
      <w:bookmarkEnd w:id="211"/>
      <w:bookmarkStart w:id="212" w:name="_Toc28323"/>
      <w:bookmarkStart w:id="213" w:name="_Toc21303"/>
      <w:bookmarkStart w:id="214" w:name="_Toc25083"/>
      <w:r>
        <w:rPr>
          <w:rFonts w:hint="eastAsia" w:hAnsi="宋体" w:eastAsia="宋体" w:cs="宋体"/>
          <w:sz w:val="24"/>
          <w:szCs w:val="24"/>
        </w:rPr>
        <w:t>本次磋商为两轮报价，最终报价不得高于前一轮报价。最终报价由其法定代表人或授权代表签字或者加盖公章。最终报价是供应商响应文件的有效组成部分。</w:t>
      </w:r>
      <w:bookmarkEnd w:id="212"/>
      <w:bookmarkEnd w:id="213"/>
      <w:bookmarkEnd w:id="214"/>
    </w:p>
    <w:p w14:paraId="19FD10CD">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215" w:name="_Toc27221"/>
      <w:r>
        <w:rPr>
          <w:rFonts w:hint="eastAsia" w:ascii="宋体" w:hAnsi="宋体" w:eastAsia="宋体" w:cs="宋体"/>
          <w:b/>
          <w:sz w:val="24"/>
          <w:szCs w:val="24"/>
        </w:rPr>
        <w:t>17.响应文件的无效情形</w:t>
      </w:r>
    </w:p>
    <w:p w14:paraId="58E11C0F">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17.1出现下列情形之一的响应文件，应当认定为无效文件：</w:t>
      </w:r>
    </w:p>
    <w:p w14:paraId="1C2A71D8">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（1）不满足磋商文件对合格供应商的资格要求的；</w:t>
      </w:r>
    </w:p>
    <w:p w14:paraId="53288A94">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（2）供应商在响应文件中对于磋商文件“第四章 项目采购需求”</w:t>
      </w:r>
      <w:r>
        <w:rPr>
          <w:rFonts w:hint="eastAsia" w:hAnsi="宋体" w:eastAsia="宋体" w:cs="宋体"/>
          <w:bCs/>
          <w:sz w:val="24"/>
        </w:rPr>
        <w:t>未作出实质性响应</w:t>
      </w:r>
      <w:r>
        <w:rPr>
          <w:rFonts w:hint="eastAsia" w:hAnsi="宋体" w:eastAsia="宋体" w:cs="宋体"/>
          <w:sz w:val="24"/>
          <w:szCs w:val="24"/>
        </w:rPr>
        <w:t>的；</w:t>
      </w:r>
    </w:p>
    <w:p w14:paraId="68D2351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（3）供应商在响应文件中对于合同条款有任何负偏离的；</w:t>
      </w:r>
    </w:p>
    <w:p w14:paraId="2ACC6EC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（4）资格证明文件不全、失效或不符合磋商文件要求的；</w:t>
      </w:r>
    </w:p>
    <w:p w14:paraId="0CBCC6EB">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（5）响应文件无法定代表人签字，或签字人无法定代表人有效授权的；</w:t>
      </w:r>
    </w:p>
    <w:p w14:paraId="6D162539">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（6）响应文件或磋商保证金有效期不足的；</w:t>
      </w:r>
    </w:p>
    <w:p w14:paraId="58E42537">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（7）响应文件中提供虚假或失实资料的；</w:t>
      </w:r>
    </w:p>
    <w:p w14:paraId="6B513C9C">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（8）未向代理机构获取磋商文件参与磋商的；</w:t>
      </w:r>
    </w:p>
    <w:p w14:paraId="1259F894">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（9) 未按磋商文件规定的金额和</w:t>
      </w:r>
      <w:r>
        <w:rPr>
          <w:rFonts w:hint="eastAsia" w:hAnsi="宋体" w:eastAsia="宋体" w:cs="宋体"/>
          <w:sz w:val="24"/>
          <w:szCs w:val="24"/>
          <w:lang w:val="en-US" w:eastAsia="zh-CN"/>
        </w:rPr>
        <w:t>方式</w:t>
      </w:r>
      <w:r>
        <w:rPr>
          <w:rFonts w:hint="eastAsia" w:hAnsi="宋体" w:eastAsia="宋体" w:cs="宋体"/>
          <w:sz w:val="24"/>
          <w:szCs w:val="24"/>
        </w:rPr>
        <w:t>缴纳磋商保证金的；</w:t>
      </w:r>
    </w:p>
    <w:p w14:paraId="41CE8641">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（10）磋商小组认为不能实质上满足磋商文件要求的其他情形。</w:t>
      </w:r>
    </w:p>
    <w:bookmarkEnd w:id="215"/>
    <w:p w14:paraId="1E7A1641">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216" w:name="_Toc5978"/>
      <w:bookmarkStart w:id="217" w:name="_Toc9213"/>
      <w:bookmarkStart w:id="218" w:name="_Toc16889"/>
      <w:r>
        <w:rPr>
          <w:rFonts w:hint="eastAsia" w:ascii="宋体" w:hAnsi="宋体" w:eastAsia="宋体" w:cs="宋体"/>
          <w:b/>
          <w:sz w:val="24"/>
          <w:szCs w:val="24"/>
        </w:rPr>
        <w:t>18.磋商终止</w:t>
      </w:r>
      <w:bookmarkEnd w:id="216"/>
    </w:p>
    <w:p w14:paraId="7722FE45">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19" w:name="_Toc13303"/>
      <w:r>
        <w:rPr>
          <w:rFonts w:hint="eastAsia" w:hAnsi="宋体" w:eastAsia="宋体" w:cs="宋体"/>
          <w:sz w:val="24"/>
          <w:szCs w:val="24"/>
        </w:rPr>
        <w:t>各标段磋商中出现下列情形之一的，该标段磋商终止：</w:t>
      </w:r>
      <w:bookmarkEnd w:id="217"/>
      <w:bookmarkEnd w:id="219"/>
    </w:p>
    <w:p w14:paraId="4A5321C2">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20" w:name="_Toc18086"/>
      <w:bookmarkStart w:id="221" w:name="_Toc23110"/>
      <w:r>
        <w:rPr>
          <w:rFonts w:hint="eastAsia" w:hAnsi="宋体" w:eastAsia="宋体" w:cs="宋体"/>
          <w:sz w:val="24"/>
          <w:szCs w:val="24"/>
        </w:rPr>
        <w:t>18.1 出现影响采购公正的违法、违规行为的；</w:t>
      </w:r>
      <w:bookmarkEnd w:id="220"/>
      <w:bookmarkEnd w:id="221"/>
    </w:p>
    <w:p w14:paraId="19A6C0F3">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lang w:eastAsia="zh-CN"/>
        </w:rPr>
      </w:pPr>
      <w:r>
        <w:rPr>
          <w:rFonts w:hint="eastAsia" w:hAnsi="宋体" w:eastAsia="宋体" w:cs="宋体"/>
          <w:sz w:val="24"/>
          <w:szCs w:val="24"/>
        </w:rPr>
        <w:t>18.2 提交响应文件</w:t>
      </w:r>
      <w:r>
        <w:rPr>
          <w:rFonts w:hint="eastAsia" w:hAnsi="宋体" w:eastAsia="宋体" w:cs="宋体"/>
          <w:sz w:val="24"/>
          <w:szCs w:val="24"/>
          <w:lang w:val="en-US" w:eastAsia="zh-CN"/>
        </w:rPr>
        <w:t>的供应商</w:t>
      </w:r>
      <w:r>
        <w:rPr>
          <w:rFonts w:hint="eastAsia" w:hAnsi="宋体" w:eastAsia="宋体" w:cs="宋体"/>
          <w:sz w:val="24"/>
          <w:szCs w:val="24"/>
        </w:rPr>
        <w:t>不足3家的</w:t>
      </w:r>
      <w:r>
        <w:rPr>
          <w:rFonts w:hint="eastAsia" w:hAnsi="宋体" w:eastAsia="宋体" w:cs="宋体"/>
          <w:sz w:val="24"/>
          <w:szCs w:val="24"/>
          <w:lang w:eastAsia="zh-CN"/>
        </w:rPr>
        <w:t>；</w:t>
      </w:r>
    </w:p>
    <w:p w14:paraId="5C6D6C10">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lang w:val="en-US" w:eastAsia="zh-CN"/>
        </w:rPr>
        <w:t xml:space="preserve">18.3 </w:t>
      </w:r>
      <w:r>
        <w:rPr>
          <w:rFonts w:hint="eastAsia" w:hAnsi="宋体" w:eastAsia="宋体" w:cs="宋体"/>
          <w:sz w:val="24"/>
          <w:szCs w:val="24"/>
          <w:highlight w:val="none"/>
          <w:lang w:val="en-US" w:eastAsia="zh-CN"/>
        </w:rPr>
        <w:t>通过资格审查和符合性审查</w:t>
      </w:r>
      <w:r>
        <w:rPr>
          <w:rFonts w:hint="eastAsia" w:hAnsi="宋体" w:eastAsia="宋体" w:cs="宋体"/>
          <w:sz w:val="24"/>
          <w:szCs w:val="24"/>
        </w:rPr>
        <w:t>的供应商不足3家的</w:t>
      </w:r>
      <w:bookmarkEnd w:id="218"/>
      <w:r>
        <w:rPr>
          <w:rFonts w:hint="eastAsia" w:hAnsi="宋体" w:eastAsia="宋体" w:cs="宋体"/>
          <w:sz w:val="24"/>
          <w:szCs w:val="24"/>
        </w:rPr>
        <w:t>。</w:t>
      </w:r>
    </w:p>
    <w:p w14:paraId="54DA168E">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222" w:name="_Toc29748"/>
      <w:bookmarkStart w:id="223" w:name="_Toc28334"/>
      <w:bookmarkStart w:id="224" w:name="_Toc14576"/>
      <w:r>
        <w:rPr>
          <w:rFonts w:hint="eastAsia" w:ascii="宋体" w:hAnsi="宋体" w:eastAsia="宋体" w:cs="宋体"/>
          <w:b/>
          <w:sz w:val="24"/>
          <w:szCs w:val="24"/>
        </w:rPr>
        <w:t>19.磋商评审方法和标准</w:t>
      </w:r>
      <w:bookmarkEnd w:id="222"/>
      <w:bookmarkEnd w:id="223"/>
      <w:bookmarkEnd w:id="224"/>
    </w:p>
    <w:p w14:paraId="14E58E7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25" w:name="_Toc29771"/>
      <w:r>
        <w:rPr>
          <w:rFonts w:hint="eastAsia" w:hAnsi="宋体" w:eastAsia="宋体" w:cs="宋体"/>
          <w:sz w:val="24"/>
          <w:szCs w:val="24"/>
        </w:rPr>
        <w:t>19.1 磋商评审方法。经磋商确定最终采购需求和提交最后报价的供应商后，由磋商小组采用综合评分法对提交最后报价的供应商的响应文件和最后报价进行综合评分。</w:t>
      </w:r>
    </w:p>
    <w:p w14:paraId="6E18864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bookmarkEnd w:id="225"/>
    <w:p w14:paraId="4250CCB0">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26" w:name="_Toc6364"/>
      <w:bookmarkStart w:id="227" w:name="_Toc15710"/>
      <w:bookmarkStart w:id="228" w:name="_Toc30525"/>
      <w:r>
        <w:rPr>
          <w:rFonts w:hint="eastAsia" w:hAnsi="宋体" w:eastAsia="宋体" w:cs="宋体"/>
          <w:sz w:val="24"/>
          <w:szCs w:val="24"/>
        </w:rPr>
        <w:t>19.2 评审标准：详见本磋商文件第</w:t>
      </w:r>
      <w:r>
        <w:rPr>
          <w:rFonts w:hint="eastAsia" w:hAnsi="宋体" w:eastAsia="宋体" w:cs="宋体"/>
          <w:sz w:val="24"/>
          <w:szCs w:val="24"/>
          <w:lang w:val="en-US" w:eastAsia="zh-CN"/>
        </w:rPr>
        <w:t>四</w:t>
      </w:r>
      <w:r>
        <w:rPr>
          <w:rFonts w:hint="eastAsia" w:hAnsi="宋体" w:eastAsia="宋体" w:cs="宋体"/>
          <w:sz w:val="24"/>
          <w:szCs w:val="24"/>
        </w:rPr>
        <w:t>章。</w:t>
      </w:r>
      <w:bookmarkEnd w:id="226"/>
      <w:bookmarkEnd w:id="227"/>
      <w:bookmarkEnd w:id="228"/>
    </w:p>
    <w:p w14:paraId="2423067F">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229" w:name="_Toc72"/>
      <w:bookmarkStart w:id="230" w:name="_Toc14673"/>
      <w:bookmarkStart w:id="231" w:name="_Toc3143"/>
      <w:r>
        <w:rPr>
          <w:rFonts w:hint="eastAsia" w:ascii="宋体" w:hAnsi="宋体" w:eastAsia="宋体" w:cs="宋体"/>
          <w:b/>
          <w:sz w:val="24"/>
          <w:szCs w:val="24"/>
        </w:rPr>
        <w:t>20.确定成交供应商</w:t>
      </w:r>
      <w:bookmarkEnd w:id="229"/>
      <w:bookmarkEnd w:id="230"/>
      <w:bookmarkEnd w:id="231"/>
    </w:p>
    <w:p w14:paraId="1E95591F">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32" w:name="_Toc20227"/>
      <w:bookmarkStart w:id="233" w:name="_Toc4754"/>
      <w:bookmarkStart w:id="234" w:name="_Toc9686"/>
      <w:r>
        <w:rPr>
          <w:rFonts w:hint="eastAsia" w:hAnsi="宋体" w:eastAsia="宋体" w:cs="宋体"/>
          <w:sz w:val="24"/>
          <w:szCs w:val="24"/>
        </w:rPr>
        <w:t>20.1 磋商小组根据综合评分情况，按照评审</w:t>
      </w:r>
      <w:r>
        <w:rPr>
          <w:rFonts w:hint="eastAsia" w:hAnsi="宋体" w:eastAsia="宋体" w:cs="宋体"/>
          <w:sz w:val="24"/>
          <w:szCs w:val="24"/>
          <w:lang w:val="en-US" w:eastAsia="zh-CN"/>
        </w:rPr>
        <w:t>总</w:t>
      </w:r>
      <w:r>
        <w:rPr>
          <w:rFonts w:hint="eastAsia" w:hAnsi="宋体" w:eastAsia="宋体" w:cs="宋体"/>
          <w:sz w:val="24"/>
          <w:szCs w:val="24"/>
        </w:rPr>
        <w:t>得分由高到低顺序推荐各标段成交候选供应商。</w:t>
      </w:r>
      <w:r>
        <w:rPr>
          <w:rFonts w:hint="eastAsia" w:hAnsi="宋体" w:eastAsia="宋体" w:cs="宋体"/>
          <w:sz w:val="24"/>
          <w:szCs w:val="24"/>
          <w:lang w:val="en-US" w:eastAsia="zh-CN"/>
        </w:rPr>
        <w:t>总</w:t>
      </w:r>
      <w:r>
        <w:rPr>
          <w:rFonts w:hint="eastAsia" w:hAnsi="宋体" w:eastAsia="宋体" w:cs="宋体"/>
          <w:sz w:val="24"/>
          <w:szCs w:val="24"/>
        </w:rPr>
        <w:t>得分相同的，按价格得分由高到低顺序排列；价格得分也相同的，按</w:t>
      </w:r>
      <w:r>
        <w:rPr>
          <w:rFonts w:hint="eastAsia" w:hAnsi="宋体" w:eastAsia="宋体" w:cs="宋体"/>
          <w:sz w:val="24"/>
          <w:szCs w:val="24"/>
          <w:lang w:val="en-US" w:eastAsia="zh-CN"/>
        </w:rPr>
        <w:t>企业实力</w:t>
      </w:r>
      <w:r>
        <w:rPr>
          <w:rFonts w:hint="eastAsia" w:hAnsi="宋体" w:eastAsia="宋体" w:cs="宋体"/>
          <w:sz w:val="24"/>
          <w:szCs w:val="24"/>
        </w:rPr>
        <w:t>得分由高到低顺序排列；</w:t>
      </w:r>
      <w:r>
        <w:rPr>
          <w:rFonts w:hint="eastAsia" w:hAnsi="宋体" w:eastAsia="宋体" w:cs="宋体"/>
          <w:sz w:val="24"/>
          <w:szCs w:val="24"/>
          <w:lang w:val="en-US" w:eastAsia="zh-CN"/>
        </w:rPr>
        <w:t>企业实力</w:t>
      </w:r>
      <w:r>
        <w:rPr>
          <w:rFonts w:hint="eastAsia" w:hAnsi="宋体" w:eastAsia="宋体" w:cs="宋体"/>
          <w:sz w:val="24"/>
          <w:szCs w:val="24"/>
        </w:rPr>
        <w:t>得分也相同的，由磋商小组抽签确定排序。</w:t>
      </w:r>
      <w:bookmarkEnd w:id="232"/>
      <w:bookmarkEnd w:id="233"/>
      <w:bookmarkEnd w:id="234"/>
      <w:bookmarkStart w:id="235" w:name="_Toc20820"/>
      <w:bookmarkStart w:id="236" w:name="_Toc12520"/>
    </w:p>
    <w:p w14:paraId="1517A59D">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37" w:name="_Toc17455"/>
      <w:r>
        <w:rPr>
          <w:rFonts w:hint="eastAsia" w:hAnsi="宋体" w:eastAsia="宋体" w:cs="宋体"/>
          <w:sz w:val="24"/>
          <w:szCs w:val="24"/>
        </w:rPr>
        <w:t>20.2</w:t>
      </w:r>
      <w:bookmarkEnd w:id="235"/>
      <w:bookmarkEnd w:id="236"/>
      <w:bookmarkStart w:id="238" w:name="_Toc16301"/>
      <w:bookmarkStart w:id="239" w:name="_Toc6563"/>
      <w:r>
        <w:rPr>
          <w:rFonts w:hint="eastAsia" w:hAnsi="宋体" w:eastAsia="宋体" w:cs="宋体"/>
          <w:sz w:val="24"/>
          <w:szCs w:val="24"/>
        </w:rPr>
        <w:t xml:space="preserve"> 磋商小组根据磋商过程和评审结果编写采购评审报告。</w:t>
      </w:r>
      <w:bookmarkEnd w:id="237"/>
      <w:bookmarkEnd w:id="238"/>
      <w:bookmarkEnd w:id="239"/>
    </w:p>
    <w:p w14:paraId="43CC1F8C">
      <w:pPr>
        <w:keepNext w:val="0"/>
        <w:keepLines w:val="0"/>
        <w:pageBreakBefore w:val="0"/>
        <w:widowControl w:val="0"/>
        <w:kinsoku/>
        <w:wordWrap/>
        <w:overflowPunct/>
        <w:topLinePunct w:val="0"/>
        <w:bidi w:val="0"/>
        <w:adjustRightInd w:val="0"/>
        <w:spacing w:beforeLines="0" w:afterLines="0"/>
        <w:ind w:firstLine="480" w:firstLineChars="200"/>
        <w:jc w:val="left"/>
        <w:textAlignment w:val="baseline"/>
        <w:outlineLvl w:val="9"/>
        <w:rPr>
          <w:rFonts w:hint="eastAsia" w:hAnsi="宋体" w:eastAsia="宋体" w:cs="宋体"/>
          <w:sz w:val="24"/>
          <w:szCs w:val="24"/>
        </w:rPr>
      </w:pPr>
      <w:bookmarkStart w:id="240" w:name="_Toc9151"/>
      <w:bookmarkStart w:id="241" w:name="_Toc10457"/>
      <w:bookmarkStart w:id="242" w:name="_Toc31437"/>
      <w:r>
        <w:rPr>
          <w:rFonts w:hint="eastAsia" w:hAnsi="宋体" w:eastAsia="宋体" w:cs="宋体"/>
          <w:sz w:val="24"/>
          <w:szCs w:val="24"/>
        </w:rPr>
        <w:t>20.3 采购人从采购评审报告推荐的成交候选供应商中，按照排序由高到低的原则确定成交供应商。采购人确定成交供应商后，在江苏省招标投标公共服务平台（https://www.jszbtb.com/#/newindex）</w:t>
      </w:r>
      <w:bookmarkEnd w:id="240"/>
      <w:bookmarkStart w:id="243" w:name="_Toc24134"/>
      <w:r>
        <w:rPr>
          <w:rFonts w:hint="eastAsia" w:hAnsi="宋体" w:eastAsia="宋体" w:cs="宋体"/>
          <w:sz w:val="24"/>
          <w:szCs w:val="24"/>
        </w:rPr>
        <w:t>发布成交结果公告，公告期为1个工作日，同时向成交供应商发出成交通知书。</w:t>
      </w:r>
      <w:bookmarkEnd w:id="241"/>
      <w:bookmarkEnd w:id="242"/>
      <w:bookmarkEnd w:id="243"/>
    </w:p>
    <w:p w14:paraId="7D8974E7">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44" w:name="_Toc5182"/>
      <w:bookmarkStart w:id="245" w:name="_Toc11655"/>
      <w:bookmarkStart w:id="246" w:name="_Toc8123"/>
      <w:r>
        <w:rPr>
          <w:rFonts w:hint="eastAsia" w:hAnsi="宋体" w:eastAsia="宋体" w:cs="宋体"/>
          <w:sz w:val="24"/>
          <w:szCs w:val="24"/>
        </w:rPr>
        <w:t>成交通知书对采购人和成交供应商具有同等法律效力。</w:t>
      </w:r>
      <w:bookmarkEnd w:id="244"/>
      <w:bookmarkEnd w:id="245"/>
      <w:bookmarkEnd w:id="246"/>
    </w:p>
    <w:p w14:paraId="569D1244">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47" w:name="_Toc18230"/>
      <w:bookmarkStart w:id="248" w:name="_Toc8"/>
      <w:bookmarkStart w:id="249" w:name="_Toc21039"/>
      <w:r>
        <w:rPr>
          <w:rFonts w:hint="eastAsia" w:hAnsi="宋体" w:eastAsia="宋体" w:cs="宋体"/>
          <w:sz w:val="24"/>
          <w:szCs w:val="24"/>
        </w:rPr>
        <w:t xml:space="preserve">20.4 </w:t>
      </w:r>
      <w:bookmarkEnd w:id="247"/>
      <w:bookmarkEnd w:id="248"/>
      <w:bookmarkStart w:id="250" w:name="_Toc14058"/>
      <w:bookmarkStart w:id="251" w:name="_Toc16322"/>
      <w:r>
        <w:rPr>
          <w:rFonts w:hint="eastAsia" w:hAnsi="宋体" w:eastAsia="宋体" w:cs="宋体"/>
          <w:sz w:val="24"/>
          <w:szCs w:val="24"/>
        </w:rPr>
        <w:t>代理机构对未成交的供应商不作未成交原因的解释。</w:t>
      </w:r>
      <w:bookmarkEnd w:id="249"/>
      <w:bookmarkEnd w:id="250"/>
      <w:bookmarkEnd w:id="251"/>
    </w:p>
    <w:p w14:paraId="12959C91">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bookmarkStart w:id="252" w:name="_Toc5801"/>
      <w:bookmarkStart w:id="253" w:name="_Toc14476"/>
      <w:bookmarkStart w:id="254" w:name="_Toc24190"/>
      <w:r>
        <w:rPr>
          <w:rFonts w:hint="eastAsia" w:hAnsi="宋体" w:eastAsia="宋体" w:cs="宋体"/>
          <w:sz w:val="24"/>
          <w:szCs w:val="24"/>
        </w:rPr>
        <w:t>20.5 参加磋商的供应商不论成交与否，代理机构均不退回响应文件。</w:t>
      </w:r>
      <w:bookmarkEnd w:id="252"/>
      <w:bookmarkEnd w:id="253"/>
      <w:bookmarkEnd w:id="254"/>
    </w:p>
    <w:p w14:paraId="793704C3">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255" w:name="_Toc29813"/>
      <w:bookmarkStart w:id="256" w:name="_Toc9661"/>
      <w:bookmarkStart w:id="257" w:name="_Toc7428"/>
      <w:r>
        <w:rPr>
          <w:rFonts w:hint="eastAsia" w:ascii="宋体" w:hAnsi="宋体" w:eastAsia="宋体" w:cs="宋体"/>
          <w:b/>
          <w:sz w:val="24"/>
          <w:szCs w:val="24"/>
        </w:rPr>
        <w:t>21.签订合同</w:t>
      </w:r>
      <w:bookmarkEnd w:id="255"/>
      <w:bookmarkEnd w:id="256"/>
      <w:bookmarkEnd w:id="257"/>
      <w:bookmarkStart w:id="258" w:name="_Toc17964"/>
      <w:bookmarkStart w:id="259" w:name="_Toc28926"/>
      <w:bookmarkStart w:id="260" w:name="_Toc16761"/>
    </w:p>
    <w:p w14:paraId="39B62328">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21.1成交供应商应当自成交通知书发出之日起30日内，与江苏丰之源有限公司签订总合同，与采购人终端用户分签合同。所签订的合同不得对磋商文件和响应文件作实质性修改。</w:t>
      </w:r>
      <w:bookmarkEnd w:id="258"/>
      <w:bookmarkEnd w:id="259"/>
      <w:bookmarkEnd w:id="260"/>
    </w:p>
    <w:p w14:paraId="3F72772B">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21.2成交供应商放弃或拒绝签订合同的（发生法律规定的不能预见、不能避免并不能克服的客观情况除外）</w:t>
      </w:r>
      <w:r>
        <w:rPr>
          <w:rFonts w:hint="eastAsia" w:hAnsi="宋体" w:eastAsia="宋体" w:cs="宋体"/>
          <w:sz w:val="24"/>
          <w:szCs w:val="24"/>
          <w:lang w:eastAsia="zh-CN"/>
        </w:rPr>
        <w:t>，</w:t>
      </w:r>
      <w:r>
        <w:rPr>
          <w:rFonts w:hint="eastAsia" w:hAnsi="宋体" w:eastAsia="宋体" w:cs="宋体"/>
          <w:sz w:val="24"/>
          <w:szCs w:val="24"/>
        </w:rPr>
        <w:t>采购人取消其成交资格，其磋商保证金不予退还。</w:t>
      </w:r>
    </w:p>
    <w:p w14:paraId="145F91D9">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21.3成交供应商</w:t>
      </w:r>
      <w:r>
        <w:rPr>
          <w:rFonts w:hint="eastAsia" w:hAnsi="宋体" w:eastAsia="宋体" w:cs="宋体"/>
          <w:sz w:val="24"/>
          <w:szCs w:val="24"/>
          <w:lang w:val="en-US" w:eastAsia="zh-CN"/>
        </w:rPr>
        <w:t>被取消成交资格</w:t>
      </w:r>
      <w:r>
        <w:rPr>
          <w:rFonts w:hint="eastAsia" w:hAnsi="宋体" w:eastAsia="宋体" w:cs="宋体"/>
          <w:sz w:val="24"/>
          <w:szCs w:val="24"/>
        </w:rPr>
        <w:t>，或因不可抗力</w:t>
      </w:r>
      <w:r>
        <w:rPr>
          <w:rFonts w:hint="eastAsia" w:hAnsi="宋体" w:eastAsia="宋体" w:cs="宋体"/>
          <w:sz w:val="24"/>
          <w:szCs w:val="24"/>
          <w:lang w:eastAsia="zh-CN"/>
        </w:rPr>
        <w:t>、</w:t>
      </w:r>
      <w:r>
        <w:rPr>
          <w:rFonts w:hint="eastAsia" w:hAnsi="宋体" w:eastAsia="宋体" w:cs="宋体"/>
          <w:sz w:val="24"/>
          <w:szCs w:val="24"/>
        </w:rPr>
        <w:t>自身原因不能履行合同的，采购人可以按照磋商评审报告推荐的成交候选人名单的排序确定下一候选人为成交供应商</w:t>
      </w:r>
      <w:r>
        <w:rPr>
          <w:rFonts w:hint="eastAsia" w:hAnsi="宋体" w:eastAsia="宋体" w:cs="宋体"/>
          <w:sz w:val="24"/>
          <w:szCs w:val="24"/>
          <w:lang w:eastAsia="zh-CN"/>
        </w:rPr>
        <w:t>，</w:t>
      </w:r>
      <w:r>
        <w:rPr>
          <w:rFonts w:hint="eastAsia" w:hAnsi="宋体" w:eastAsia="宋体" w:cs="宋体"/>
          <w:sz w:val="24"/>
          <w:szCs w:val="24"/>
          <w:lang w:val="en-US" w:eastAsia="zh-CN"/>
        </w:rPr>
        <w:t>也可以</w:t>
      </w:r>
      <w:r>
        <w:rPr>
          <w:rFonts w:hint="eastAsia" w:hAnsi="宋体" w:eastAsia="宋体" w:cs="宋体"/>
          <w:sz w:val="24"/>
          <w:szCs w:val="24"/>
        </w:rPr>
        <w:t>重新</w:t>
      </w:r>
      <w:r>
        <w:rPr>
          <w:rFonts w:hint="eastAsia" w:hAnsi="宋体" w:eastAsia="宋体" w:cs="宋体"/>
          <w:sz w:val="24"/>
          <w:szCs w:val="24"/>
          <w:lang w:val="en-US" w:eastAsia="zh-CN"/>
        </w:rPr>
        <w:t>开展</w:t>
      </w:r>
      <w:r>
        <w:rPr>
          <w:rFonts w:hint="eastAsia" w:hAnsi="宋体" w:eastAsia="宋体" w:cs="宋体"/>
          <w:sz w:val="24"/>
          <w:szCs w:val="24"/>
        </w:rPr>
        <w:t>采购</w:t>
      </w:r>
      <w:r>
        <w:rPr>
          <w:rFonts w:hint="eastAsia" w:hAnsi="宋体" w:eastAsia="宋体" w:cs="宋体"/>
          <w:sz w:val="24"/>
          <w:szCs w:val="24"/>
          <w:lang w:val="en-US" w:eastAsia="zh-CN"/>
        </w:rPr>
        <w:t>活动</w:t>
      </w:r>
      <w:r>
        <w:rPr>
          <w:rFonts w:hint="eastAsia" w:hAnsi="宋体" w:eastAsia="宋体" w:cs="宋体"/>
          <w:sz w:val="24"/>
          <w:szCs w:val="24"/>
        </w:rPr>
        <w:t>。</w:t>
      </w:r>
    </w:p>
    <w:p w14:paraId="1117F60B">
      <w:pPr>
        <w:keepNext w:val="0"/>
        <w:keepLines w:val="0"/>
        <w:pageBreakBefore w:val="0"/>
        <w:widowControl w:val="0"/>
        <w:kinsoku/>
        <w:wordWrap/>
        <w:overflowPunct/>
        <w:topLinePunct w:val="0"/>
        <w:bidi w:val="0"/>
        <w:adjustRightInd w:val="0"/>
        <w:spacing w:beforeLines="0" w:afterLines="0"/>
        <w:ind w:firstLine="320" w:firstLineChars="100"/>
        <w:textAlignment w:val="baseline"/>
        <w:outlineLvl w:val="9"/>
        <w:rPr>
          <w:rFonts w:hint="eastAsia" w:ascii="宋体" w:hAnsi="宋体" w:eastAsia="宋体" w:cs="宋体"/>
          <w:sz w:val="32"/>
          <w:szCs w:val="32"/>
        </w:rPr>
      </w:pPr>
      <w:r>
        <w:rPr>
          <w:rFonts w:hint="eastAsia" w:ascii="宋体" w:hAnsi="宋体" w:eastAsia="宋体" w:cs="宋体"/>
          <w:sz w:val="32"/>
          <w:szCs w:val="32"/>
        </w:rPr>
        <w:t>五、异议及处理</w:t>
      </w:r>
    </w:p>
    <w:p w14:paraId="023594CC">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261" w:name="_Toc29609"/>
      <w:bookmarkStart w:id="262" w:name="_Toc18899"/>
      <w:r>
        <w:rPr>
          <w:rFonts w:hint="eastAsia" w:ascii="宋体" w:hAnsi="宋体" w:eastAsia="宋体" w:cs="宋体"/>
          <w:b/>
          <w:sz w:val="24"/>
          <w:szCs w:val="24"/>
        </w:rPr>
        <w:t>22.异议提出</w:t>
      </w:r>
    </w:p>
    <w:p w14:paraId="4685E943">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22.1供应商认为磋商文件、采购过程和采购结果使自己的权益受到损害的，可以在知道或应知其权益受到损害之日起7个工作日内，以书面形式向代理机构或采购人提出异议。上述应知其权益受到损害之日，是指：</w:t>
      </w:r>
    </w:p>
    <w:p w14:paraId="46794774">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（1）</w:t>
      </w:r>
      <w:r>
        <w:rPr>
          <w:rFonts w:hint="eastAsia" w:hAnsi="宋体" w:eastAsia="宋体" w:cs="宋体"/>
          <w:sz w:val="24"/>
          <w:szCs w:val="24"/>
          <w:highlight w:val="none"/>
        </w:rPr>
        <w:t>对磋商文件提出异议的，为获取磋商文件之日；</w:t>
      </w:r>
    </w:p>
    <w:p w14:paraId="72F8EC3B">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（2）对采购过程提出异议的，为各采购程序环节结束之日；</w:t>
      </w:r>
    </w:p>
    <w:p w14:paraId="1FE14536">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（3）对采购结果提出异议的，为成交结果公告期限届满之日。</w:t>
      </w:r>
    </w:p>
    <w:p w14:paraId="3C623E6C">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供应商应当在规定期限内一次性提出针对同一采购程序环节的异议。供应商如在规定期限内对同一采购程序环节提出多次异议的，代理机构、采购人将只对供应商第一次异议作出答复。</w:t>
      </w:r>
    </w:p>
    <w:p w14:paraId="4C61764A">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22.2 异议函必须按照本磋商文件中《异议函格式》进行填写</w:t>
      </w:r>
      <w:bookmarkEnd w:id="261"/>
      <w:bookmarkEnd w:id="262"/>
      <w:r>
        <w:rPr>
          <w:rFonts w:hint="eastAsia" w:hAnsi="宋体" w:eastAsia="宋体" w:cs="宋体"/>
          <w:sz w:val="24"/>
          <w:szCs w:val="24"/>
        </w:rPr>
        <w:t>，并对异议内容的真实性负责。</w:t>
      </w:r>
    </w:p>
    <w:p w14:paraId="015EF8AF">
      <w:pPr>
        <w:keepNext w:val="0"/>
        <w:keepLines w:val="0"/>
        <w:pageBreakBefore w:val="0"/>
        <w:widowControl w:val="0"/>
        <w:kinsoku/>
        <w:wordWrap/>
        <w:overflowPunct/>
        <w:topLinePunct w:val="0"/>
        <w:bidi w:val="0"/>
        <w:adjustRightInd w:val="0"/>
        <w:spacing w:beforeLines="0" w:afterLines="0"/>
        <w:ind w:firstLine="482" w:firstLineChars="200"/>
        <w:textAlignment w:val="baseline"/>
        <w:outlineLvl w:val="9"/>
        <w:rPr>
          <w:rFonts w:hint="eastAsia" w:ascii="宋体" w:hAnsi="宋体" w:eastAsia="宋体" w:cs="宋体"/>
          <w:b/>
          <w:sz w:val="24"/>
          <w:szCs w:val="24"/>
        </w:rPr>
      </w:pPr>
      <w:bookmarkStart w:id="263" w:name="_Toc22664"/>
      <w:bookmarkStart w:id="264" w:name="_Toc6509"/>
      <w:r>
        <w:rPr>
          <w:rFonts w:hint="eastAsia" w:ascii="宋体" w:hAnsi="宋体" w:eastAsia="宋体" w:cs="宋体"/>
          <w:b/>
          <w:sz w:val="24"/>
          <w:szCs w:val="24"/>
        </w:rPr>
        <w:t>23.异议处理</w:t>
      </w:r>
    </w:p>
    <w:p w14:paraId="6A43824E">
      <w:pPr>
        <w:keepNext w:val="0"/>
        <w:keepLines w:val="0"/>
        <w:pageBreakBefore w:val="0"/>
        <w:widowControl w:val="0"/>
        <w:kinsoku/>
        <w:wordWrap/>
        <w:overflowPunct/>
        <w:topLinePunct w:val="0"/>
        <w:bidi w:val="0"/>
        <w:adjustRightInd w:val="0"/>
        <w:spacing w:beforeLines="0" w:afterLines="0"/>
        <w:ind w:firstLine="480" w:firstLineChars="200"/>
        <w:textAlignment w:val="baseline"/>
        <w:outlineLvl w:val="9"/>
        <w:rPr>
          <w:rFonts w:hint="eastAsia" w:hAnsi="宋体" w:eastAsia="宋体" w:cs="宋体"/>
          <w:sz w:val="24"/>
          <w:szCs w:val="24"/>
        </w:rPr>
      </w:pPr>
      <w:r>
        <w:rPr>
          <w:rFonts w:hint="eastAsia" w:hAnsi="宋体" w:eastAsia="宋体" w:cs="宋体"/>
          <w:sz w:val="24"/>
          <w:szCs w:val="24"/>
        </w:rPr>
        <w:t>23.1 代理机构或采购人在收到供应商的书面异议后将及时组织调查核实，在7个工作日内作出答复，并以书面或在网站公告形式通知异议供应商和其他有关供应商，答复的内容不得涉及商业秘密。</w:t>
      </w:r>
      <w:bookmarkEnd w:id="263"/>
      <w:bookmarkEnd w:id="264"/>
    </w:p>
    <w:p w14:paraId="45EAFE1A">
      <w:pPr>
        <w:numPr>
          <w:ilvl w:val="0"/>
          <w:numId w:val="0"/>
        </w:numPr>
        <w:spacing w:beforeLines="0" w:afterLines="0" w:line="360" w:lineRule="auto"/>
        <w:jc w:val="center"/>
        <w:outlineLvl w:val="9"/>
        <w:rPr>
          <w:rFonts w:hint="default" w:ascii="宋体" w:hAnsi="宋体" w:eastAsia="宋体" w:cs="Cambria Math"/>
          <w:b/>
          <w:bCs/>
          <w:color w:val="auto"/>
          <w:kern w:val="44"/>
          <w:sz w:val="36"/>
          <w:szCs w:val="36"/>
        </w:rPr>
      </w:pPr>
      <w:r>
        <w:rPr>
          <w:rFonts w:hint="eastAsia" w:ascii="宋体" w:hAnsi="宋体" w:eastAsia="宋体" w:cs="宋体"/>
          <w:color w:val="000000" w:themeColor="text1"/>
          <w:sz w:val="24"/>
          <w:szCs w:val="24"/>
          <w14:textFill>
            <w14:solidFill>
              <w14:schemeClr w14:val="tx1"/>
            </w14:solidFill>
          </w14:textFill>
        </w:rPr>
        <w:br w:type="page"/>
      </w:r>
      <w:bookmarkStart w:id="265" w:name="_Hlk297273538"/>
      <w:bookmarkEnd w:id="265"/>
      <w:bookmarkStart w:id="266" w:name="_Toc25032666"/>
      <w:bookmarkEnd w:id="266"/>
      <w:bookmarkStart w:id="267" w:name="_Toc163629751"/>
      <w:bookmarkEnd w:id="267"/>
      <w:bookmarkStart w:id="268" w:name="_Toc521839351"/>
      <w:bookmarkEnd w:id="268"/>
      <w:bookmarkStart w:id="269" w:name="_Toc189726853"/>
      <w:bookmarkEnd w:id="269"/>
      <w:bookmarkStart w:id="270" w:name="_Toc142623417"/>
      <w:bookmarkEnd w:id="270"/>
      <w:bookmarkStart w:id="271" w:name="_Toc522347554"/>
      <w:bookmarkEnd w:id="271"/>
    </w:p>
    <w:p w14:paraId="19C4FD1C">
      <w:pPr>
        <w:numPr>
          <w:ilvl w:val="0"/>
          <w:numId w:val="0"/>
        </w:numPr>
        <w:spacing w:beforeLines="0" w:afterLines="0" w:line="360" w:lineRule="auto"/>
        <w:jc w:val="center"/>
        <w:outlineLvl w:val="0"/>
        <w:rPr>
          <w:rFonts w:hAnsi="宋体" w:eastAsia="宋体" w:cs="Cambria Math"/>
          <w:b/>
          <w:bCs/>
          <w:kern w:val="44"/>
          <w:sz w:val="36"/>
          <w:szCs w:val="36"/>
        </w:rPr>
      </w:pPr>
      <w:bookmarkStart w:id="272" w:name="_Toc3828"/>
      <w:r>
        <w:rPr>
          <w:rFonts w:hint="default" w:ascii="宋体" w:hAnsi="宋体" w:eastAsia="宋体" w:cs="Cambria Math"/>
          <w:b/>
          <w:bCs/>
          <w:color w:val="auto"/>
          <w:kern w:val="44"/>
          <w:sz w:val="36"/>
          <w:szCs w:val="36"/>
        </w:rPr>
        <w:t>第</w:t>
      </w:r>
      <w:r>
        <w:rPr>
          <w:rFonts w:hint="eastAsia" w:hAnsi="宋体" w:eastAsia="宋体" w:cs="Cambria Math"/>
          <w:b/>
          <w:bCs/>
          <w:color w:val="auto"/>
          <w:kern w:val="44"/>
          <w:sz w:val="36"/>
          <w:szCs w:val="36"/>
          <w:lang w:val="en-US" w:eastAsia="zh-CN"/>
        </w:rPr>
        <w:t>三</w:t>
      </w:r>
      <w:r>
        <w:rPr>
          <w:rFonts w:hint="default" w:ascii="宋体" w:hAnsi="宋体" w:eastAsia="宋体" w:cs="Cambria Math"/>
          <w:b/>
          <w:bCs/>
          <w:color w:val="auto"/>
          <w:kern w:val="44"/>
          <w:sz w:val="36"/>
          <w:szCs w:val="36"/>
        </w:rPr>
        <w:t>章  项目需求</w:t>
      </w:r>
      <w:bookmarkEnd w:id="272"/>
    </w:p>
    <w:p w14:paraId="699F1442">
      <w:pPr>
        <w:pStyle w:val="30"/>
        <w:snapToGrid w:val="0"/>
        <w:spacing w:beforeLines="0" w:afterLines="0"/>
        <w:ind w:firstLine="482"/>
        <w:outlineLvl w:val="0"/>
        <w:rPr>
          <w:rFonts w:hint="eastAsia" w:ascii="仿宋" w:hAnsi="仿宋" w:cs="宋体"/>
          <w:b/>
          <w:szCs w:val="24"/>
        </w:rPr>
      </w:pPr>
      <w:bookmarkStart w:id="273" w:name="_Toc483929313"/>
      <w:bookmarkStart w:id="274" w:name="_Toc18883"/>
      <w:bookmarkStart w:id="275" w:name="_Toc7152"/>
      <w:bookmarkStart w:id="276" w:name="_Toc26624"/>
      <w:bookmarkStart w:id="277" w:name="_Toc475371521"/>
      <w:bookmarkStart w:id="278" w:name="_Toc475371382"/>
      <w:bookmarkStart w:id="279" w:name="_Toc31079"/>
      <w:bookmarkStart w:id="280" w:name="_Toc481050435"/>
      <w:bookmarkStart w:id="281" w:name="_Toc11906"/>
    </w:p>
    <w:bookmarkEnd w:id="273"/>
    <w:bookmarkEnd w:id="274"/>
    <w:bookmarkEnd w:id="275"/>
    <w:bookmarkEnd w:id="276"/>
    <w:bookmarkEnd w:id="277"/>
    <w:bookmarkEnd w:id="278"/>
    <w:bookmarkEnd w:id="279"/>
    <w:bookmarkEnd w:id="280"/>
    <w:bookmarkEnd w:id="281"/>
    <w:p w14:paraId="1BD07892">
      <w:pPr>
        <w:pStyle w:val="30"/>
        <w:snapToGrid w:val="0"/>
        <w:spacing w:beforeLines="0" w:afterLines="0"/>
        <w:ind w:firstLine="562"/>
        <w:outlineLvl w:val="9"/>
        <w:rPr>
          <w:rFonts w:hint="eastAsia" w:ascii="宋体" w:hAnsi="宋体" w:eastAsia="宋体" w:cs="宋体"/>
          <w:b/>
          <w:sz w:val="28"/>
          <w:szCs w:val="28"/>
        </w:rPr>
      </w:pPr>
      <w:r>
        <w:rPr>
          <w:rFonts w:hint="eastAsia" w:ascii="宋体" w:hAnsi="宋体" w:eastAsia="宋体" w:cs="宋体"/>
          <w:b/>
          <w:sz w:val="28"/>
          <w:szCs w:val="28"/>
        </w:rPr>
        <w:t>一、项目简要说明</w:t>
      </w:r>
    </w:p>
    <w:p w14:paraId="39FDC27F">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1.1江苏丰之源有限公司供应江苏方源集团有限公司下属子公司所需</w:t>
      </w:r>
      <w:r>
        <w:rPr>
          <w:rFonts w:hint="eastAsia" w:ascii="宋体" w:hAnsi="宋体" w:eastAsia="宋体" w:cs="宋体"/>
          <w:b w:val="0"/>
          <w:bCs w:val="0"/>
          <w:kern w:val="0"/>
          <w:sz w:val="24"/>
          <w:szCs w:val="24"/>
          <w:shd w:val="clear" w:color="auto" w:fill="FFFFFF"/>
          <w:lang w:val="en-US" w:eastAsia="zh-CN"/>
        </w:rPr>
        <w:t>光纤和变压器加工设备及耗材</w:t>
      </w:r>
      <w:r>
        <w:rPr>
          <w:rFonts w:hint="eastAsia" w:ascii="宋体" w:hAnsi="宋体" w:eastAsia="宋体"/>
          <w:bCs/>
          <w:sz w:val="24"/>
          <w:szCs w:val="24"/>
        </w:rPr>
        <w:t>，分</w:t>
      </w:r>
      <w:r>
        <w:rPr>
          <w:rFonts w:hint="eastAsia" w:hAnsi="宋体" w:eastAsia="宋体"/>
          <w:bCs/>
          <w:sz w:val="24"/>
          <w:szCs w:val="24"/>
          <w:lang w:val="en-US" w:eastAsia="zh-CN"/>
        </w:rPr>
        <w:t>四</w:t>
      </w:r>
      <w:r>
        <w:rPr>
          <w:rFonts w:hint="eastAsia" w:ascii="宋体" w:hAnsi="宋体" w:eastAsia="宋体"/>
          <w:bCs/>
          <w:sz w:val="24"/>
          <w:szCs w:val="24"/>
        </w:rPr>
        <w:t>个标段遴选供应商，标段划分如下：</w:t>
      </w:r>
    </w:p>
    <w:p w14:paraId="2D06CC98">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标段一：光纤加工设备（主要包括裁缆绕扎线设备、穿散设备、固化压接设备、研磨设备、检测设备等），拟确定5家供应商；</w:t>
      </w:r>
    </w:p>
    <w:p w14:paraId="3127496E">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标段二：</w:t>
      </w:r>
      <w:r>
        <w:rPr>
          <w:rFonts w:hint="eastAsia" w:ascii="宋体" w:hAnsi="宋体" w:eastAsia="宋体" w:cs="宋体"/>
          <w:sz w:val="24"/>
          <w:szCs w:val="24"/>
        </w:rPr>
        <w:t>变压器加工设备</w:t>
      </w:r>
      <w:r>
        <w:rPr>
          <w:rFonts w:hint="eastAsia" w:ascii="宋体" w:hAnsi="宋体" w:eastAsia="宋体"/>
          <w:bCs/>
          <w:sz w:val="24"/>
          <w:szCs w:val="24"/>
        </w:rPr>
        <w:t>（主要包括切线绕线设备、焊接设备、包胶设备、加热设备、检测设备等），拟确定3家供应商；</w:t>
      </w:r>
    </w:p>
    <w:p w14:paraId="5B9DE831">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标段三：光纤加工耗材（主要包括插芯、插芯胶水、抛光片、研磨纸、研磨垫、研磨液等），拟确定5家供应商；</w:t>
      </w:r>
    </w:p>
    <w:p w14:paraId="2A4CE809">
      <w:pPr>
        <w:pStyle w:val="27"/>
        <w:snapToGrid w:val="0"/>
        <w:spacing w:beforeLines="0" w:afterLines="0"/>
        <w:outlineLvl w:val="9"/>
        <w:rPr>
          <w:rFonts w:hint="eastAsia" w:ascii="宋体" w:hAnsi="宋体" w:eastAsia="宋体"/>
          <w:bCs/>
          <w:sz w:val="24"/>
          <w:szCs w:val="24"/>
          <w:lang w:eastAsia="zh-CN"/>
        </w:rPr>
      </w:pPr>
      <w:r>
        <w:rPr>
          <w:rFonts w:hint="eastAsia" w:ascii="宋体" w:hAnsi="宋体" w:eastAsia="宋体"/>
          <w:bCs/>
          <w:sz w:val="24"/>
          <w:szCs w:val="24"/>
        </w:rPr>
        <w:t>标段四：</w:t>
      </w:r>
      <w:r>
        <w:rPr>
          <w:rFonts w:hint="eastAsia" w:ascii="宋体" w:hAnsi="宋体" w:eastAsia="宋体" w:cs="宋体"/>
          <w:sz w:val="24"/>
          <w:szCs w:val="24"/>
        </w:rPr>
        <w:t>变压器及线路板耗材（主要包括助焊剂、绝缘漆、清洁剂、稀释剂、白胶等，不含酒精）</w:t>
      </w:r>
      <w:r>
        <w:rPr>
          <w:rFonts w:hint="eastAsia" w:ascii="宋体" w:hAnsi="宋体" w:eastAsia="宋体"/>
          <w:bCs/>
          <w:sz w:val="24"/>
          <w:szCs w:val="24"/>
        </w:rPr>
        <w:t>，拟确定3家供应商</w:t>
      </w:r>
      <w:r>
        <w:rPr>
          <w:rFonts w:hint="eastAsia" w:hAnsi="宋体" w:eastAsia="宋体"/>
          <w:bCs/>
          <w:sz w:val="24"/>
          <w:szCs w:val="24"/>
          <w:lang w:eastAsia="zh-CN"/>
        </w:rPr>
        <w:t>。</w:t>
      </w:r>
    </w:p>
    <w:p w14:paraId="35E2F138">
      <w:pPr>
        <w:pStyle w:val="27"/>
        <w:snapToGrid w:val="0"/>
        <w:spacing w:beforeLines="0" w:afterLines="0"/>
        <w:outlineLvl w:val="9"/>
        <w:rPr>
          <w:rFonts w:hint="eastAsia" w:ascii="宋体" w:hAnsi="宋体" w:eastAsia="宋体"/>
          <w:bCs/>
          <w:sz w:val="24"/>
          <w:szCs w:val="24"/>
        </w:rPr>
      </w:pPr>
      <w:r>
        <w:rPr>
          <w:rFonts w:hint="eastAsia" w:ascii="宋体" w:hAnsi="宋体" w:eastAsia="宋体"/>
          <w:bCs/>
          <w:sz w:val="24"/>
          <w:szCs w:val="24"/>
        </w:rPr>
        <w:t>1.2 项目金额及资金来源：采购金额共约</w:t>
      </w:r>
      <w:r>
        <w:rPr>
          <w:rFonts w:hint="eastAsia" w:hAnsi="宋体" w:eastAsia="宋体"/>
          <w:bCs/>
          <w:sz w:val="24"/>
          <w:szCs w:val="24"/>
          <w:lang w:val="en-US" w:eastAsia="zh-CN"/>
        </w:rPr>
        <w:t>1</w:t>
      </w:r>
      <w:r>
        <w:rPr>
          <w:rFonts w:hint="eastAsia" w:ascii="宋体" w:hAnsi="宋体" w:eastAsia="宋体"/>
          <w:bCs/>
          <w:sz w:val="24"/>
          <w:szCs w:val="24"/>
        </w:rPr>
        <w:t>500万元（合同履行期限内预估数，实际采购金额以合同期内实际发生金额为准），企业自有资金。</w:t>
      </w:r>
    </w:p>
    <w:p w14:paraId="27EF90E3">
      <w:pPr>
        <w:pStyle w:val="29"/>
        <w:numPr>
          <w:ilvl w:val="2"/>
          <w:numId w:val="0"/>
        </w:numPr>
        <w:snapToGrid w:val="0"/>
        <w:spacing w:beforeLines="0" w:afterLines="0"/>
        <w:ind w:firstLine="562" w:firstLineChars="200"/>
        <w:outlineLvl w:val="9"/>
        <w:rPr>
          <w:rFonts w:hint="eastAsia" w:ascii="宋体" w:hAnsi="宋体" w:eastAsia="宋体" w:cs="宋体"/>
          <w:b/>
          <w:color w:val="000000"/>
          <w:szCs w:val="28"/>
        </w:rPr>
      </w:pPr>
      <w:r>
        <w:rPr>
          <w:rFonts w:hint="eastAsia" w:ascii="宋体" w:hAnsi="宋体" w:eastAsia="宋体" w:cs="宋体"/>
          <w:b/>
          <w:color w:val="000000"/>
          <w:szCs w:val="28"/>
        </w:rPr>
        <w:t>二、技术要求</w:t>
      </w:r>
    </w:p>
    <w:p w14:paraId="636BC3A8">
      <w:pPr>
        <w:snapToGrid w:val="0"/>
        <w:spacing w:beforeLines="0" w:afterLines="0"/>
        <w:ind w:firstLine="480" w:firstLineChars="200"/>
        <w:jc w:val="both"/>
        <w:outlineLvl w:val="9"/>
        <w:rPr>
          <w:rFonts w:hint="default" w:ascii="宋体" w:hAnsi="宋体" w:eastAsia="宋体" w:cs="宋体"/>
          <w:bCs/>
          <w:sz w:val="24"/>
          <w:szCs w:val="24"/>
          <w:lang w:val="en-US" w:eastAsia="zh-CN"/>
        </w:rPr>
      </w:pPr>
      <w:r>
        <w:rPr>
          <w:rFonts w:hint="eastAsia" w:ascii="宋体" w:hAnsi="宋体" w:eastAsia="宋体" w:cs="宋体"/>
          <w:bCs/>
          <w:sz w:val="24"/>
          <w:szCs w:val="24"/>
        </w:rPr>
        <w:t>2.1</w:t>
      </w:r>
      <w:r>
        <w:rPr>
          <w:rFonts w:hint="eastAsia" w:ascii="宋体" w:hAnsi="宋体" w:eastAsia="宋体" w:cs="宋体"/>
          <w:sz w:val="24"/>
          <w:szCs w:val="24"/>
        </w:rPr>
        <w:t>供应商所供产品</w:t>
      </w:r>
      <w:r>
        <w:rPr>
          <w:rFonts w:hint="eastAsia" w:ascii="宋体" w:hAnsi="宋体" w:eastAsia="宋体" w:cs="宋体"/>
          <w:sz w:val="24"/>
          <w:szCs w:val="24"/>
          <w:lang w:val="en-US" w:eastAsia="zh-CN"/>
        </w:rPr>
        <w:t>和</w:t>
      </w:r>
      <w:r>
        <w:rPr>
          <w:rFonts w:hint="eastAsia" w:ascii="宋体" w:hAnsi="宋体" w:eastAsia="宋体" w:cs="宋体"/>
          <w:sz w:val="24"/>
          <w:szCs w:val="24"/>
        </w:rPr>
        <w:t>生产制造所需要的所有主材和辅助材料的</w:t>
      </w:r>
      <w:r>
        <w:rPr>
          <w:rFonts w:hint="eastAsia" w:ascii="宋体" w:hAnsi="宋体" w:eastAsia="宋体" w:cs="宋体"/>
          <w:sz w:val="24"/>
          <w:szCs w:val="24"/>
          <w:lang w:val="en-US" w:eastAsia="zh-CN"/>
        </w:rPr>
        <w:t>质量以及</w:t>
      </w:r>
      <w:r>
        <w:rPr>
          <w:rFonts w:hint="eastAsia" w:ascii="宋体" w:hAnsi="宋体" w:eastAsia="宋体" w:cs="宋体"/>
          <w:sz w:val="24"/>
          <w:szCs w:val="24"/>
        </w:rPr>
        <w:t>生产、安</w:t>
      </w:r>
      <w:r>
        <w:rPr>
          <w:rFonts w:hint="eastAsia" w:hAnsi="宋体" w:eastAsia="宋体" w:cs="宋体"/>
          <w:sz w:val="24"/>
          <w:szCs w:val="24"/>
          <w:lang w:val="en-US" w:eastAsia="zh-CN"/>
        </w:rPr>
        <w:t>装、维修、检验、验收等，应严格按照相关国家标准、行业标准、地方标准执行。成交供应商应根据采购人终端用户要求，提供相关产品的质量检测报告</w:t>
      </w:r>
      <w:r>
        <w:rPr>
          <w:rFonts w:hint="eastAsia" w:ascii="宋体" w:hAnsi="宋体" w:eastAsia="宋体" w:cs="宋体"/>
          <w:bCs/>
          <w:sz w:val="24"/>
          <w:szCs w:val="24"/>
          <w:lang w:val="en-US" w:eastAsia="zh-CN"/>
        </w:rPr>
        <w:t>。</w:t>
      </w:r>
    </w:p>
    <w:p w14:paraId="3FC51AA3">
      <w:pPr>
        <w:snapToGrid w:val="0"/>
        <w:spacing w:beforeLines="0" w:afterLines="0"/>
        <w:ind w:firstLine="562" w:firstLineChars="200"/>
        <w:jc w:val="left"/>
        <w:outlineLvl w:val="9"/>
        <w:rPr>
          <w:rFonts w:hint="eastAsia" w:ascii="宋体" w:hAnsi="宋体" w:eastAsia="宋体" w:cs="宋体"/>
          <w:szCs w:val="28"/>
        </w:rPr>
      </w:pPr>
      <w:r>
        <w:rPr>
          <w:rFonts w:hint="eastAsia" w:ascii="宋体" w:hAnsi="宋体" w:eastAsia="宋体" w:cs="宋体"/>
          <w:b/>
          <w:szCs w:val="28"/>
        </w:rPr>
        <w:t>三、商务要求</w:t>
      </w:r>
    </w:p>
    <w:p w14:paraId="3F8CE441">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t>3.1</w:t>
      </w:r>
      <w:r>
        <w:rPr>
          <w:rFonts w:hint="eastAsia" w:ascii="宋体" w:hAnsi="宋体" w:eastAsia="宋体" w:cs="宋体"/>
          <w:b/>
          <w:color w:val="000000" w:themeColor="text1"/>
          <w:sz w:val="24"/>
          <w:szCs w:val="24"/>
          <w14:textFill>
            <w14:solidFill>
              <w14:schemeClr w14:val="tx1"/>
            </w14:solidFill>
          </w14:textFill>
        </w:rPr>
        <w:t>产品</w:t>
      </w:r>
      <w:r>
        <w:rPr>
          <w:rFonts w:hint="eastAsia" w:ascii="宋体" w:hAnsi="宋体" w:eastAsia="宋体" w:cs="宋体"/>
          <w:b/>
          <w:sz w:val="24"/>
          <w:szCs w:val="24"/>
        </w:rPr>
        <w:t>报价</w:t>
      </w:r>
    </w:p>
    <w:p w14:paraId="634A0A37">
      <w:pPr>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3.1.1供应商可以对</w:t>
      </w:r>
      <w:r>
        <w:rPr>
          <w:rFonts w:hint="eastAsia" w:hAnsi="宋体" w:eastAsia="宋体" w:cs="宋体"/>
          <w:sz w:val="24"/>
          <w:szCs w:val="24"/>
          <w:lang w:val="en-US" w:eastAsia="zh-CN"/>
        </w:rPr>
        <w:t>四</w:t>
      </w:r>
      <w:r>
        <w:rPr>
          <w:rFonts w:hint="eastAsia" w:ascii="宋体" w:hAnsi="宋体" w:eastAsia="宋体" w:cs="宋体"/>
          <w:sz w:val="24"/>
          <w:szCs w:val="24"/>
        </w:rPr>
        <w:t>个标段中的一个或多个标段</w:t>
      </w:r>
      <w:r>
        <w:rPr>
          <w:rFonts w:hint="eastAsia" w:ascii="宋体" w:hAnsi="宋体" w:eastAsia="宋体" w:cs="宋体"/>
          <w:color w:val="000000" w:themeColor="text1"/>
          <w:sz w:val="24"/>
          <w:szCs w:val="24"/>
          <w14:textFill>
            <w14:solidFill>
              <w14:schemeClr w14:val="tx1"/>
            </w14:solidFill>
          </w14:textFill>
        </w:rPr>
        <w:t>进行报价。</w:t>
      </w:r>
    </w:p>
    <w:p w14:paraId="3BCBBB4D">
      <w:pPr>
        <w:snapToGrid w:val="0"/>
        <w:spacing w:beforeLines="0" w:afterLines="0"/>
        <w:ind w:firstLine="475" w:firstLineChars="198"/>
        <w:jc w:val="left"/>
        <w:outlineLvl w:val="9"/>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2</w:t>
      </w:r>
      <w:r>
        <w:rPr>
          <w:rFonts w:hint="eastAsia" w:ascii="宋体" w:hAnsi="宋体" w:eastAsia="宋体" w:cs="宋体"/>
          <w:sz w:val="24"/>
          <w:szCs w:val="24"/>
        </w:rPr>
        <w:t>供应商应列出所供产品清单、磋商</w:t>
      </w:r>
      <w:r>
        <w:rPr>
          <w:rFonts w:hint="eastAsia" w:ascii="宋体" w:hAnsi="宋体" w:eastAsia="宋体" w:cs="宋体"/>
          <w:sz w:val="24"/>
          <w:szCs w:val="24"/>
          <w:lang w:val="en-US" w:eastAsia="zh-CN"/>
        </w:rPr>
        <w:t>开启日</w:t>
      </w:r>
      <w:r>
        <w:rPr>
          <w:rFonts w:hint="eastAsia" w:ascii="宋体" w:hAnsi="宋体" w:eastAsia="宋体" w:cs="宋体"/>
          <w:sz w:val="24"/>
          <w:szCs w:val="24"/>
        </w:rPr>
        <w:t>前2年</w:t>
      </w:r>
      <w:r>
        <w:rPr>
          <w:rFonts w:hint="eastAsia" w:ascii="宋体" w:hAnsi="宋体" w:eastAsia="宋体" w:cs="宋体"/>
          <w:sz w:val="24"/>
          <w:szCs w:val="24"/>
          <w:lang w:val="en-US" w:eastAsia="zh-CN"/>
        </w:rPr>
        <w:t>内</w:t>
      </w:r>
      <w:r>
        <w:rPr>
          <w:rFonts w:hint="eastAsia" w:ascii="宋体" w:hAnsi="宋体" w:eastAsia="宋体" w:cs="宋体"/>
          <w:sz w:val="24"/>
          <w:szCs w:val="24"/>
        </w:rPr>
        <w:t>供应</w:t>
      </w:r>
      <w:r>
        <w:rPr>
          <w:rFonts w:hint="eastAsia" w:ascii="宋体" w:hAnsi="宋体" w:eastAsia="宋体" w:cs="宋体"/>
          <w:sz w:val="24"/>
          <w:szCs w:val="24"/>
          <w:lang w:val="en-US" w:eastAsia="zh-CN"/>
        </w:rPr>
        <w:t>江苏区域最新市场销售价格、价格折扣比例、产品报价。价格折扣比例=(产品报价/磋商开启日前2年内供应江苏区域最新市场销售价格)</w:t>
      </w:r>
      <w:r>
        <w:rPr>
          <w:rFonts w:hint="eastAsia" w:ascii="宋体" w:hAnsi="宋体" w:eastAsia="宋体" w:cs="宋体"/>
          <w:sz w:val="24"/>
          <w:szCs w:val="24"/>
        </w:rPr>
        <w:t>×100%。</w:t>
      </w:r>
    </w:p>
    <w:p w14:paraId="100B92F6">
      <w:pPr>
        <w:snapToGrid w:val="0"/>
        <w:spacing w:beforeLines="0" w:afterLines="0"/>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3.1.3</w:t>
      </w:r>
      <w:r>
        <w:rPr>
          <w:rFonts w:hint="eastAsia" w:ascii="宋体" w:hAnsi="宋体" w:eastAsia="宋体" w:cs="宋体"/>
          <w:sz w:val="24"/>
          <w:szCs w:val="24"/>
          <w:lang w:val="en-US" w:eastAsia="zh-CN"/>
        </w:rPr>
        <w:t>供应商</w:t>
      </w:r>
      <w:r>
        <w:rPr>
          <w:rFonts w:hint="eastAsia" w:ascii="宋体" w:hAnsi="宋体" w:eastAsia="宋体" w:cs="宋体"/>
          <w:color w:val="000000" w:themeColor="text1"/>
          <w:sz w:val="24"/>
          <w:szCs w:val="24"/>
          <w14:textFill>
            <w14:solidFill>
              <w14:schemeClr w14:val="tx1"/>
            </w14:solidFill>
          </w14:textFill>
        </w:rPr>
        <w:t>提供的产品</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sz w:val="24"/>
          <w:szCs w:val="24"/>
        </w:rPr>
        <w:t>与供应江苏区域市场的产品属同品牌、同型号，不</w:t>
      </w:r>
      <w:r>
        <w:rPr>
          <w:rFonts w:hint="eastAsia" w:hAnsi="宋体" w:eastAsia="宋体" w:cs="宋体"/>
          <w:sz w:val="24"/>
          <w:szCs w:val="24"/>
          <w:lang w:val="en-US" w:eastAsia="zh-CN"/>
        </w:rPr>
        <w:t>得</w:t>
      </w:r>
      <w:r>
        <w:rPr>
          <w:rFonts w:hint="eastAsia" w:ascii="宋体" w:hAnsi="宋体" w:eastAsia="宋体" w:cs="宋体"/>
          <w:sz w:val="24"/>
          <w:szCs w:val="24"/>
        </w:rPr>
        <w:t>针对本项目编制单独的产品型号；</w:t>
      </w:r>
      <w:r>
        <w:rPr>
          <w:rFonts w:hint="eastAsia" w:ascii="宋体" w:hAnsi="宋体" w:eastAsia="宋体" w:cs="宋体"/>
          <w:color w:val="000000" w:themeColor="text1"/>
          <w:sz w:val="24"/>
          <w:szCs w:val="24"/>
          <w14:textFill>
            <w14:solidFill>
              <w14:schemeClr w14:val="tx1"/>
            </w14:solidFill>
          </w14:textFill>
        </w:rPr>
        <w:t>响应文件中所报价格为江苏区域市场最新销售价格均为真实价格，如所报价格虚高，</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有权取消</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成交资格。（提供承诺书</w:t>
      </w:r>
      <w:r>
        <w:rPr>
          <w:rFonts w:hint="eastAsia" w:ascii="宋体" w:hAnsi="宋体" w:eastAsia="宋体" w:cs="宋体"/>
          <w:color w:val="000000" w:themeColor="text1"/>
          <w:sz w:val="24"/>
          <w:szCs w:val="24"/>
          <w:lang w:val="en-US" w:eastAsia="zh-CN"/>
          <w14:textFill>
            <w14:solidFill>
              <w14:schemeClr w14:val="tx1"/>
            </w14:solidFill>
          </w14:textFill>
        </w:rPr>
        <w:t>原件</w:t>
      </w:r>
      <w:r>
        <w:rPr>
          <w:rFonts w:hint="eastAsia" w:ascii="宋体" w:hAnsi="宋体" w:eastAsia="宋体" w:cs="宋体"/>
          <w:color w:val="000000" w:themeColor="text1"/>
          <w:sz w:val="24"/>
          <w:szCs w:val="24"/>
          <w14:textFill>
            <w14:solidFill>
              <w14:schemeClr w14:val="tx1"/>
            </w14:solidFill>
          </w14:textFill>
        </w:rPr>
        <w:t>，见</w:t>
      </w:r>
      <w:r>
        <w:rPr>
          <w:rFonts w:hint="eastAsia" w:ascii="宋体" w:hAnsi="宋体" w:eastAsia="宋体" w:cs="宋体"/>
          <w:b/>
          <w:bCs/>
          <w:color w:val="000000" w:themeColor="text1"/>
          <w:sz w:val="24"/>
          <w:szCs w:val="24"/>
          <w14:textFill>
            <w14:solidFill>
              <w14:schemeClr w14:val="tx1"/>
            </w14:solidFill>
          </w14:textFill>
        </w:rPr>
        <w:t>格式6</w:t>
      </w:r>
      <w:r>
        <w:rPr>
          <w:rFonts w:hint="eastAsia" w:ascii="宋体" w:hAnsi="宋体" w:eastAsia="宋体" w:cs="宋体"/>
          <w:color w:val="000000" w:themeColor="text1"/>
          <w:sz w:val="24"/>
          <w:szCs w:val="24"/>
          <w14:textFill>
            <w14:solidFill>
              <w14:schemeClr w14:val="tx1"/>
            </w14:solidFill>
          </w14:textFill>
        </w:rPr>
        <w:t>）</w:t>
      </w:r>
    </w:p>
    <w:p w14:paraId="0BC3F874">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sz w:val="24"/>
          <w:szCs w:val="24"/>
        </w:rPr>
        <w:t>产品最终磋商报价为产品采购结算价，包括材料、生产、人工、运输、安装、损耗、免费维保、增值税发票等所有费用，成交后不得再向采购人或采购人终端用户收取其他任何费用。</w:t>
      </w:r>
    </w:p>
    <w:p w14:paraId="48E6669A">
      <w:pPr>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r>
        <w:rPr>
          <w:rFonts w:hint="eastAsia"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供应商对所投标段产品只能报一个唯一的价格折扣比例。</w:t>
      </w:r>
    </w:p>
    <w:p w14:paraId="158A0F5B">
      <w:pPr>
        <w:snapToGrid w:val="0"/>
        <w:spacing w:beforeLines="0" w:afterLines="0"/>
        <w:ind w:firstLine="482" w:firstLineChars="200"/>
        <w:jc w:val="left"/>
        <w:outlineLvl w:val="9"/>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hAnsi="宋体" w:eastAsia="宋体" w:cs="宋体"/>
          <w:b/>
          <w:bCs/>
          <w:sz w:val="24"/>
          <w:szCs w:val="24"/>
          <w:lang w:val="en-US" w:eastAsia="zh-CN"/>
        </w:rPr>
        <w:t>2</w:t>
      </w:r>
      <w:r>
        <w:rPr>
          <w:rFonts w:hint="eastAsia" w:ascii="宋体" w:hAnsi="宋体" w:eastAsia="宋体" w:cs="宋体"/>
          <w:b/>
          <w:bCs/>
          <w:sz w:val="24"/>
          <w:szCs w:val="24"/>
        </w:rPr>
        <w:t xml:space="preserve"> 产品包装、运输</w:t>
      </w:r>
    </w:p>
    <w:p w14:paraId="5018FA50">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2</w:t>
      </w:r>
      <w:r>
        <w:rPr>
          <w:rFonts w:hint="eastAsia" w:ascii="宋体" w:hAnsi="宋体" w:eastAsia="宋体" w:cs="宋体"/>
          <w:sz w:val="24"/>
          <w:szCs w:val="24"/>
        </w:rPr>
        <w:t>.1供应商所供产品的包装应满足运输距离、防潮、防震、防锈和防破损装卸等要求，以保证产品安全运达采购人终端用户指定地点。</w:t>
      </w:r>
    </w:p>
    <w:p w14:paraId="1B714D41">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2</w:t>
      </w:r>
      <w:r>
        <w:rPr>
          <w:rFonts w:hint="eastAsia" w:ascii="宋体" w:hAnsi="宋体" w:eastAsia="宋体" w:cs="宋体"/>
          <w:sz w:val="24"/>
          <w:szCs w:val="24"/>
        </w:rPr>
        <w:t>.2产品用户手册、随配附件以及清单一并随产品交付。</w:t>
      </w:r>
    </w:p>
    <w:p w14:paraId="1DAF707E">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2</w:t>
      </w:r>
      <w:r>
        <w:rPr>
          <w:rFonts w:hint="eastAsia" w:ascii="宋体" w:hAnsi="宋体" w:eastAsia="宋体" w:cs="宋体"/>
          <w:sz w:val="24"/>
          <w:szCs w:val="24"/>
        </w:rPr>
        <w:t>.3供应商应在办理产品发运手续完毕后24小时内，或货到采购方指定地点48小时前，通知采购人终端用户。</w:t>
      </w:r>
    </w:p>
    <w:p w14:paraId="306FE7B8">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2</w:t>
      </w:r>
      <w:r>
        <w:rPr>
          <w:rFonts w:hint="eastAsia" w:ascii="宋体" w:hAnsi="宋体" w:eastAsia="宋体" w:cs="宋体"/>
          <w:sz w:val="24"/>
          <w:szCs w:val="24"/>
        </w:rPr>
        <w:t>.4产品在交付终端用户前发生的风险均由供应商负责。</w:t>
      </w:r>
    </w:p>
    <w:p w14:paraId="4A3688C4">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2</w:t>
      </w:r>
      <w:r>
        <w:rPr>
          <w:rFonts w:hint="eastAsia" w:ascii="宋体" w:hAnsi="宋体" w:eastAsia="宋体" w:cs="宋体"/>
          <w:sz w:val="24"/>
          <w:szCs w:val="24"/>
        </w:rPr>
        <w:t>.5供应商应按合同要求办理交付手续。</w:t>
      </w:r>
    </w:p>
    <w:p w14:paraId="46CFF712">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2</w:t>
      </w:r>
      <w:r>
        <w:rPr>
          <w:rFonts w:hint="eastAsia" w:ascii="宋体" w:hAnsi="宋体" w:eastAsia="宋体" w:cs="宋体"/>
          <w:sz w:val="24"/>
          <w:szCs w:val="24"/>
        </w:rPr>
        <w:t>.6采购人终端用户地址详见附件。</w:t>
      </w:r>
    </w:p>
    <w:p w14:paraId="7CE26F2C">
      <w:pPr>
        <w:snapToGrid w:val="0"/>
        <w:spacing w:beforeLines="0" w:afterLines="0"/>
        <w:ind w:firstLine="482" w:firstLineChars="200"/>
        <w:jc w:val="left"/>
        <w:outlineLvl w:val="9"/>
        <w:rPr>
          <w:rFonts w:hint="eastAsia" w:ascii="宋体" w:hAnsi="宋体" w:eastAsia="宋体" w:cs="宋体"/>
          <w:b/>
          <w:bCs/>
          <w:sz w:val="24"/>
          <w:szCs w:val="24"/>
        </w:rPr>
      </w:pPr>
      <w:bookmarkStart w:id="282" w:name="_Toc146334222"/>
      <w:bookmarkEnd w:id="282"/>
      <w:bookmarkStart w:id="283" w:name="_Toc146167288"/>
      <w:bookmarkEnd w:id="283"/>
      <w:bookmarkStart w:id="284" w:name="_Toc146167290"/>
      <w:bookmarkEnd w:id="284"/>
      <w:bookmarkStart w:id="285" w:name="_Toc146167289"/>
      <w:bookmarkEnd w:id="285"/>
      <w:bookmarkStart w:id="286" w:name="_Toc146167287"/>
      <w:bookmarkEnd w:id="286"/>
      <w:bookmarkStart w:id="287" w:name="_Toc146334219"/>
      <w:bookmarkEnd w:id="287"/>
      <w:bookmarkStart w:id="288" w:name="_Toc146334221"/>
      <w:bookmarkEnd w:id="288"/>
      <w:bookmarkStart w:id="289" w:name="_Toc146334220"/>
      <w:bookmarkEnd w:id="289"/>
      <w:r>
        <w:rPr>
          <w:rFonts w:hint="eastAsia" w:ascii="宋体" w:hAnsi="宋体" w:eastAsia="宋体" w:cs="宋体"/>
          <w:b/>
          <w:bCs/>
          <w:sz w:val="24"/>
          <w:szCs w:val="24"/>
        </w:rPr>
        <w:t>3.</w:t>
      </w:r>
      <w:r>
        <w:rPr>
          <w:rFonts w:hint="eastAsia" w:hAnsi="宋体" w:eastAsia="宋体" w:cs="宋体"/>
          <w:b/>
          <w:bCs/>
          <w:sz w:val="24"/>
          <w:szCs w:val="24"/>
          <w:lang w:val="en-US" w:eastAsia="zh-CN"/>
        </w:rPr>
        <w:t xml:space="preserve">3 </w:t>
      </w:r>
      <w:r>
        <w:rPr>
          <w:rFonts w:hint="eastAsia" w:ascii="宋体" w:hAnsi="宋体" w:eastAsia="宋体" w:cs="宋体"/>
          <w:b/>
          <w:bCs/>
          <w:color w:val="000000" w:themeColor="text1"/>
          <w:sz w:val="24"/>
          <w:szCs w:val="24"/>
          <w14:textFill>
            <w14:solidFill>
              <w14:schemeClr w14:val="tx1"/>
            </w14:solidFill>
          </w14:textFill>
        </w:rPr>
        <w:t>质保期及售后服务</w:t>
      </w:r>
      <w:r>
        <w:rPr>
          <w:rFonts w:hint="eastAsia" w:ascii="宋体" w:hAnsi="宋体" w:eastAsia="宋体" w:cs="宋体"/>
          <w:b/>
          <w:bCs/>
          <w:sz w:val="24"/>
          <w:szCs w:val="24"/>
        </w:rPr>
        <w:t>（标段一、标段二响应文件须提供承诺书原件，见格式5）</w:t>
      </w:r>
    </w:p>
    <w:p w14:paraId="081FC944">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w:t>
      </w:r>
      <w:r>
        <w:rPr>
          <w:rFonts w:hint="eastAsia"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i w:val="0"/>
          <w:iCs w:val="0"/>
          <w:sz w:val="24"/>
          <w:szCs w:val="24"/>
          <w:u w:val="none"/>
        </w:rPr>
        <w:t>供应商应保证所供产品是全新、未使用过的原装合格正品，并完全符合本磋商文件规定的质量、规格和性能的要求。</w:t>
      </w:r>
      <w:r>
        <w:rPr>
          <w:rFonts w:hint="eastAsia" w:ascii="宋体" w:hAnsi="宋体" w:eastAsia="宋体" w:cs="宋体"/>
          <w:color w:val="000000" w:themeColor="text1"/>
          <w:sz w:val="24"/>
          <w:szCs w:val="24"/>
          <w14:textFill>
            <w14:solidFill>
              <w14:schemeClr w14:val="tx1"/>
            </w14:solidFill>
          </w14:textFill>
        </w:rPr>
        <w:t>如采购人</w:t>
      </w:r>
      <w:r>
        <w:rPr>
          <w:rFonts w:hint="eastAsia" w:ascii="宋体" w:hAnsi="宋体" w:eastAsia="宋体" w:cs="宋体"/>
          <w:color w:val="000000" w:themeColor="text1"/>
          <w:sz w:val="24"/>
          <w:szCs w:val="24"/>
          <w:lang w:val="en-US" w:eastAsia="zh-CN"/>
          <w14:textFill>
            <w14:solidFill>
              <w14:schemeClr w14:val="tx1"/>
            </w14:solidFill>
          </w14:textFill>
        </w:rPr>
        <w:t>或采购人终端用户</w:t>
      </w:r>
      <w:r>
        <w:rPr>
          <w:rFonts w:hint="eastAsia" w:ascii="宋体" w:hAnsi="宋体" w:eastAsia="宋体" w:cs="宋体"/>
          <w:color w:val="000000" w:themeColor="text1"/>
          <w:sz w:val="24"/>
          <w:szCs w:val="24"/>
          <w14:textFill>
            <w14:solidFill>
              <w14:schemeClr w14:val="tx1"/>
            </w14:solidFill>
          </w14:textFill>
        </w:rPr>
        <w:t>在实际测试中或经第三方检测达不到标注性能要求的，采购人</w:t>
      </w:r>
      <w:r>
        <w:rPr>
          <w:rFonts w:hint="eastAsia" w:ascii="宋体" w:hAnsi="宋体" w:eastAsia="宋体" w:cs="宋体"/>
          <w:color w:val="000000" w:themeColor="text1"/>
          <w:sz w:val="24"/>
          <w:szCs w:val="24"/>
          <w:lang w:val="en-US" w:eastAsia="zh-CN"/>
          <w14:textFill>
            <w14:solidFill>
              <w14:schemeClr w14:val="tx1"/>
            </w14:solidFill>
          </w14:textFill>
        </w:rPr>
        <w:t>和采购人终端用户</w:t>
      </w:r>
      <w:r>
        <w:rPr>
          <w:rFonts w:hint="eastAsia" w:ascii="宋体" w:hAnsi="宋体" w:eastAsia="宋体" w:cs="宋体"/>
          <w:color w:val="000000" w:themeColor="text1"/>
          <w:sz w:val="24"/>
          <w:szCs w:val="24"/>
          <w14:textFill>
            <w14:solidFill>
              <w14:schemeClr w14:val="tx1"/>
            </w14:solidFill>
          </w14:textFill>
        </w:rPr>
        <w:t>有权要求解除合同，因此所产生的损失由供应商承担。</w:t>
      </w:r>
    </w:p>
    <w:p w14:paraId="099DD0CF">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w:t>
      </w:r>
      <w:r>
        <w:rPr>
          <w:rFonts w:hint="eastAsia"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b/>
          <w:bCs/>
          <w:i w:val="0"/>
          <w:iCs w:val="0"/>
          <w:sz w:val="24"/>
          <w:szCs w:val="24"/>
          <w:u w:val="none"/>
        </w:rPr>
        <w:t>标段一、标段二产品免费质保期最低要求为整机2年</w:t>
      </w:r>
      <w:r>
        <w:rPr>
          <w:rFonts w:hint="eastAsia" w:hAnsi="宋体" w:eastAsia="宋体" w:cs="宋体"/>
          <w:b/>
          <w:bCs/>
          <w:i w:val="0"/>
          <w:iCs w:val="0"/>
          <w:sz w:val="24"/>
          <w:szCs w:val="24"/>
          <w:u w:val="none"/>
          <w:lang w:eastAsia="zh-CN"/>
        </w:rPr>
        <w:t>，</w:t>
      </w:r>
      <w:r>
        <w:rPr>
          <w:rFonts w:hint="eastAsia" w:ascii="宋体" w:hAnsi="宋体" w:eastAsia="宋体" w:cs="宋体"/>
          <w:b/>
          <w:bCs/>
          <w:i w:val="0"/>
          <w:iCs w:val="0"/>
          <w:sz w:val="24"/>
          <w:szCs w:val="24"/>
          <w:u w:val="none"/>
        </w:rPr>
        <w:t>标段三、标段四免费质保期</w:t>
      </w:r>
      <w:r>
        <w:rPr>
          <w:rFonts w:hint="eastAsia" w:ascii="宋体" w:hAnsi="宋体" w:eastAsia="宋体" w:cs="宋体"/>
          <w:b/>
          <w:bCs/>
          <w:i w:val="0"/>
          <w:iCs w:val="0"/>
          <w:color w:val="000000" w:themeColor="text1"/>
          <w:sz w:val="24"/>
          <w:szCs w:val="24"/>
          <w:u w:val="none"/>
          <w14:textFill>
            <w14:solidFill>
              <w14:schemeClr w14:val="tx1"/>
            </w14:solidFill>
          </w14:textFill>
        </w:rPr>
        <w:t>为6个月。</w:t>
      </w:r>
      <w:r>
        <w:rPr>
          <w:rFonts w:hint="eastAsia" w:ascii="宋体" w:hAnsi="宋体" w:eastAsia="宋体" w:cs="宋体"/>
          <w:color w:val="000000" w:themeColor="text1"/>
          <w:sz w:val="24"/>
          <w:szCs w:val="24"/>
          <w14:textFill>
            <w14:solidFill>
              <w14:schemeClr w14:val="tx1"/>
            </w14:solidFill>
          </w14:textFill>
        </w:rPr>
        <w:t>质保期内由供应商提供免费保修服务，因</w:t>
      </w:r>
      <w:r>
        <w:rPr>
          <w:rFonts w:hint="eastAsia" w:ascii="宋体" w:hAnsi="宋体" w:eastAsia="宋体" w:cs="宋体"/>
          <w:sz w:val="24"/>
          <w:szCs w:val="24"/>
        </w:rPr>
        <w:t>采购人</w:t>
      </w:r>
      <w:r>
        <w:rPr>
          <w:rFonts w:hint="eastAsia" w:ascii="宋体" w:hAnsi="宋体" w:eastAsia="宋体" w:cs="宋体"/>
          <w:sz w:val="24"/>
          <w:szCs w:val="24"/>
          <w:lang w:val="en-US" w:eastAsia="zh-CN"/>
        </w:rPr>
        <w:t>终端用户</w:t>
      </w:r>
      <w:r>
        <w:rPr>
          <w:rFonts w:hint="eastAsia" w:ascii="宋体" w:hAnsi="宋体" w:eastAsia="宋体" w:cs="宋体"/>
          <w:color w:val="000000" w:themeColor="text1"/>
          <w:sz w:val="24"/>
          <w:szCs w:val="24"/>
          <w14:textFill>
            <w14:solidFill>
              <w14:schemeClr w14:val="tx1"/>
            </w14:solidFill>
          </w14:textFill>
        </w:rPr>
        <w:t>人为</w:t>
      </w:r>
      <w:r>
        <w:rPr>
          <w:rFonts w:hint="eastAsia" w:hAnsi="宋体" w:eastAsia="宋体" w:cs="宋体"/>
          <w:color w:val="000000" w:themeColor="text1"/>
          <w:sz w:val="24"/>
          <w:szCs w:val="24"/>
          <w:lang w:val="en-US"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出现的故障不在免费保修范围内。</w:t>
      </w:r>
    </w:p>
    <w:p w14:paraId="38672D76">
      <w:pPr>
        <w:widowControl/>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w:t>
      </w:r>
      <w:r>
        <w:rPr>
          <w:rFonts w:hint="eastAsia"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sz w:val="24"/>
          <w:szCs w:val="24"/>
        </w:rPr>
        <w:t>质保期内，非采购人</w:t>
      </w:r>
      <w:r>
        <w:rPr>
          <w:rFonts w:hint="eastAsia" w:ascii="宋体" w:hAnsi="宋体" w:eastAsia="宋体" w:cs="宋体"/>
          <w:sz w:val="24"/>
          <w:szCs w:val="24"/>
          <w:lang w:val="en-US" w:eastAsia="zh-CN"/>
        </w:rPr>
        <w:t>终端用户</w:t>
      </w:r>
      <w:r>
        <w:rPr>
          <w:rFonts w:hint="eastAsia" w:ascii="宋体" w:hAnsi="宋体" w:eastAsia="宋体" w:cs="宋体"/>
          <w:sz w:val="24"/>
          <w:szCs w:val="24"/>
        </w:rPr>
        <w:t>人为原因而出现产品质量问题的，由供应商负责包修、包退或包换，并承担因此而产生的一切费用。所有维修服务方式均为上门服务，即由供应商派工作人员到</w:t>
      </w:r>
      <w:r>
        <w:rPr>
          <w:rFonts w:hint="eastAsia" w:ascii="宋体" w:hAnsi="宋体" w:eastAsia="宋体" w:cs="宋体"/>
          <w:sz w:val="24"/>
          <w:szCs w:val="24"/>
          <w:lang w:val="en-US" w:eastAsia="zh-CN"/>
        </w:rPr>
        <w:t>产品</w:t>
      </w:r>
      <w:r>
        <w:rPr>
          <w:rFonts w:hint="eastAsia" w:ascii="宋体" w:hAnsi="宋体" w:eastAsia="宋体" w:cs="宋体"/>
          <w:sz w:val="24"/>
          <w:szCs w:val="24"/>
        </w:rPr>
        <w:t>使用现场维修，由此产生的一切费用均由供应商承担。</w:t>
      </w:r>
    </w:p>
    <w:p w14:paraId="11D414B5">
      <w:pPr>
        <w:widowControl/>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3</w:t>
      </w:r>
      <w:r>
        <w:rPr>
          <w:rFonts w:hint="eastAsia" w:ascii="宋体" w:hAnsi="宋体" w:eastAsia="宋体" w:cs="宋体"/>
          <w:sz w:val="24"/>
          <w:szCs w:val="24"/>
        </w:rPr>
        <w:t>.4成交供应商须设有售后维修服务电话，</w:t>
      </w:r>
      <w:r>
        <w:rPr>
          <w:rFonts w:hint="eastAsia"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lang w:val="en-US" w:eastAsia="zh-CN"/>
          <w14:textFill>
            <w14:solidFill>
              <w14:schemeClr w14:val="tx1"/>
            </w14:solidFill>
          </w14:textFill>
        </w:rPr>
        <w:t>采购人终端用户</w:t>
      </w:r>
      <w:r>
        <w:rPr>
          <w:rFonts w:hint="eastAsia" w:ascii="宋体" w:hAnsi="宋体" w:eastAsia="宋体" w:cs="宋体"/>
          <w:color w:val="000000" w:themeColor="text1"/>
          <w:sz w:val="24"/>
          <w:szCs w:val="24"/>
          <w14:textFill>
            <w14:solidFill>
              <w14:schemeClr w14:val="tx1"/>
            </w14:solidFill>
          </w14:textFill>
        </w:rPr>
        <w:t>提供免费的电话咨询及技术服务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负责解答</w:t>
      </w:r>
      <w:r>
        <w:rPr>
          <w:rFonts w:hint="eastAsia" w:ascii="宋体" w:hAnsi="宋体" w:eastAsia="宋体" w:cs="宋体"/>
          <w:sz w:val="24"/>
          <w:szCs w:val="24"/>
          <w:lang w:val="en-US" w:eastAsia="zh-CN"/>
        </w:rPr>
        <w:t>其</w:t>
      </w:r>
      <w:r>
        <w:rPr>
          <w:rFonts w:hint="eastAsia" w:ascii="宋体" w:hAnsi="宋体" w:eastAsia="宋体" w:cs="宋体"/>
          <w:sz w:val="24"/>
          <w:szCs w:val="24"/>
        </w:rPr>
        <w:t>在使用过程中遇到的问题，及时提出解决问题的建议和操作方法。</w:t>
      </w:r>
    </w:p>
    <w:p w14:paraId="5D8072B3">
      <w:pPr>
        <w:spacing w:beforeLines="0" w:afterLines="0"/>
        <w:ind w:firstLine="480" w:firstLineChars="200"/>
        <w:outlineLvl w:val="9"/>
        <w:rPr>
          <w:rFonts w:hint="eastAsia" w:ascii="宋体" w:hAnsi="宋体" w:eastAsia="宋体" w:cs="宋体"/>
          <w:i/>
          <w:iCs/>
          <w:sz w:val="24"/>
          <w:szCs w:val="24"/>
          <w:u w:val="single"/>
        </w:rPr>
      </w:pPr>
      <w:r>
        <w:rPr>
          <w:rFonts w:hint="eastAsia" w:ascii="宋体" w:hAnsi="宋体" w:eastAsia="宋体" w:cs="宋体"/>
          <w:sz w:val="24"/>
          <w:szCs w:val="24"/>
        </w:rPr>
        <w:t>3.</w:t>
      </w:r>
      <w:r>
        <w:rPr>
          <w:rFonts w:hint="eastAsia" w:hAnsi="宋体" w:eastAsia="宋体" w:cs="宋体"/>
          <w:sz w:val="24"/>
          <w:szCs w:val="24"/>
          <w:lang w:val="en-US" w:eastAsia="zh-CN"/>
        </w:rPr>
        <w:t>3</w:t>
      </w:r>
      <w:r>
        <w:rPr>
          <w:rFonts w:hint="eastAsia" w:ascii="宋体" w:hAnsi="宋体" w:eastAsia="宋体" w:cs="宋体"/>
          <w:sz w:val="24"/>
          <w:szCs w:val="24"/>
        </w:rPr>
        <w:t>.5</w:t>
      </w:r>
      <w:r>
        <w:rPr>
          <w:rFonts w:hint="eastAsia" w:ascii="宋体" w:hAnsi="宋体" w:eastAsia="宋体" w:cs="宋体"/>
          <w:i w:val="0"/>
          <w:iCs w:val="0"/>
          <w:sz w:val="24"/>
          <w:szCs w:val="24"/>
          <w:u w:val="none"/>
        </w:rPr>
        <w:t>售后服务响应时间：售后服务电话2小时</w:t>
      </w:r>
      <w:r>
        <w:rPr>
          <w:rFonts w:hint="eastAsia" w:ascii="宋体" w:hAnsi="宋体" w:eastAsia="宋体" w:cs="宋体"/>
          <w:i w:val="0"/>
          <w:iCs w:val="0"/>
          <w:sz w:val="24"/>
          <w:szCs w:val="24"/>
          <w:u w:val="none"/>
          <w:lang w:val="en-US" w:eastAsia="zh-CN"/>
        </w:rPr>
        <w:t>内</w:t>
      </w:r>
      <w:r>
        <w:rPr>
          <w:rFonts w:hint="eastAsia" w:ascii="宋体" w:hAnsi="宋体" w:eastAsia="宋体" w:cs="宋体"/>
          <w:i w:val="0"/>
          <w:iCs w:val="0"/>
          <w:sz w:val="24"/>
          <w:szCs w:val="24"/>
          <w:u w:val="none"/>
        </w:rPr>
        <w:t>响应，如设备（或</w:t>
      </w:r>
      <w:r>
        <w:rPr>
          <w:rFonts w:hint="eastAsia" w:ascii="宋体" w:hAnsi="宋体" w:eastAsia="宋体" w:cs="宋体"/>
          <w:i w:val="0"/>
          <w:iCs w:val="0"/>
          <w:sz w:val="24"/>
          <w:szCs w:val="24"/>
          <w:u w:val="none"/>
          <w:lang w:val="en-US" w:eastAsia="zh-CN"/>
        </w:rPr>
        <w:t>产品</w:t>
      </w:r>
      <w:r>
        <w:rPr>
          <w:rFonts w:hint="eastAsia" w:ascii="宋体" w:hAnsi="宋体" w:eastAsia="宋体" w:cs="宋体"/>
          <w:i w:val="0"/>
          <w:iCs w:val="0"/>
          <w:sz w:val="24"/>
          <w:szCs w:val="24"/>
          <w:u w:val="none"/>
        </w:rPr>
        <w:t>）出现故障等问题且电话响应无法解决，成交供应商须在24小时内到达现场并解决问题。</w:t>
      </w:r>
    </w:p>
    <w:p w14:paraId="59F83A01">
      <w:pPr>
        <w:spacing w:beforeLines="0" w:afterLines="0"/>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.6标段一、标段二的成交供应商须另行遵守的售后服务条款</w:t>
      </w:r>
      <w:r>
        <w:rPr>
          <w:rFonts w:hint="eastAsia" w:ascii="宋体" w:hAnsi="宋体" w:eastAsia="宋体" w:cs="宋体"/>
          <w:sz w:val="24"/>
          <w:szCs w:val="24"/>
          <w:lang w:eastAsia="zh-CN"/>
        </w:rPr>
        <w:t>：</w:t>
      </w:r>
    </w:p>
    <w:p w14:paraId="6B4AA408">
      <w:pPr>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①负责所供产品的安装调试服务并确保通过采购人</w:t>
      </w:r>
      <w:r>
        <w:rPr>
          <w:rFonts w:hint="eastAsia" w:ascii="宋体" w:hAnsi="宋体" w:eastAsia="宋体" w:cs="宋体"/>
          <w:sz w:val="24"/>
          <w:szCs w:val="24"/>
          <w:lang w:eastAsia="zh-CN"/>
        </w:rPr>
        <w:t>终端用户</w:t>
      </w:r>
      <w:r>
        <w:rPr>
          <w:rFonts w:hint="eastAsia" w:ascii="宋体" w:hAnsi="宋体" w:eastAsia="宋体" w:cs="宋体"/>
          <w:sz w:val="24"/>
          <w:szCs w:val="24"/>
        </w:rPr>
        <w:t>的验收。如产品存在质量问题，实行1个月</w:t>
      </w:r>
      <w:r>
        <w:rPr>
          <w:rFonts w:hint="eastAsia" w:ascii="宋体" w:hAnsi="宋体" w:eastAsia="宋体" w:cs="宋体"/>
          <w:sz w:val="24"/>
          <w:szCs w:val="24"/>
          <w:lang w:val="en-US" w:eastAsia="zh-CN"/>
        </w:rPr>
        <w:t>内</w:t>
      </w:r>
      <w:r>
        <w:rPr>
          <w:rFonts w:hint="eastAsia" w:ascii="宋体" w:hAnsi="宋体" w:eastAsia="宋体" w:cs="宋体"/>
          <w:sz w:val="24"/>
          <w:szCs w:val="24"/>
        </w:rPr>
        <w:t>（自安装调试验收合格之日起)包换。</w:t>
      </w:r>
    </w:p>
    <w:p w14:paraId="16879AD6">
      <w:pPr>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②根据采购人终端用户的需求，为其提供产品线规划方案并协助实施。</w:t>
      </w:r>
    </w:p>
    <w:p w14:paraId="585AC7E2">
      <w:pPr>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③提供设备终身售后服务，在设备的设计使用寿命周期内，保证采购人终端用户更换到原厂正宗的备件材料，以确保设备的正常使用。设备设计使用寿命周期内的零部件、配件损坏，如需更换零部件、配件，按不高于市场价收取。</w:t>
      </w:r>
    </w:p>
    <w:p w14:paraId="7D9DCE5D">
      <w:pPr>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④免费对采购人</w:t>
      </w:r>
      <w:r>
        <w:rPr>
          <w:rFonts w:hint="eastAsia" w:ascii="宋体" w:hAnsi="宋体" w:eastAsia="宋体" w:cs="宋体"/>
          <w:sz w:val="24"/>
          <w:szCs w:val="24"/>
          <w:lang w:val="en-US" w:eastAsia="zh-CN"/>
        </w:rPr>
        <w:t>终端用户</w:t>
      </w:r>
      <w:r>
        <w:rPr>
          <w:rFonts w:hint="eastAsia" w:ascii="宋体" w:hAnsi="宋体" w:eastAsia="宋体" w:cs="宋体"/>
          <w:sz w:val="24"/>
          <w:szCs w:val="24"/>
        </w:rPr>
        <w:t>指定人员（不少于2人）进行现场培训，并直至正常使用设备。根据采购人</w:t>
      </w:r>
      <w:r>
        <w:rPr>
          <w:rFonts w:hint="eastAsia" w:ascii="宋体" w:hAnsi="宋体" w:eastAsia="宋体" w:cs="宋体"/>
          <w:sz w:val="24"/>
          <w:szCs w:val="24"/>
          <w:lang w:eastAsia="zh-CN"/>
        </w:rPr>
        <w:t>终端用户</w:t>
      </w:r>
      <w:r>
        <w:rPr>
          <w:rFonts w:hint="eastAsia" w:ascii="宋体" w:hAnsi="宋体" w:eastAsia="宋体" w:cs="宋体"/>
          <w:sz w:val="24"/>
          <w:szCs w:val="24"/>
        </w:rPr>
        <w:t>需要，供应商应提供详细的培训方案、计划、课程、人员及期限，培训的内容应包括但不限于：设备正常操作和使用方法、日常维护和保养方法、安全操作规程、安全注意事项等。</w:t>
      </w:r>
    </w:p>
    <w:p w14:paraId="2EDE603B">
      <w:pPr>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⑤免费向采购人</w:t>
      </w:r>
      <w:r>
        <w:rPr>
          <w:rFonts w:hint="eastAsia" w:ascii="宋体" w:hAnsi="宋体" w:eastAsia="宋体" w:cs="宋体"/>
          <w:sz w:val="24"/>
          <w:szCs w:val="24"/>
          <w:lang w:val="en-US" w:eastAsia="zh-CN"/>
        </w:rPr>
        <w:t>终端用户</w:t>
      </w:r>
      <w:r>
        <w:rPr>
          <w:rFonts w:hint="eastAsia" w:ascii="宋体" w:hAnsi="宋体" w:eastAsia="宋体" w:cs="宋体"/>
          <w:sz w:val="24"/>
          <w:szCs w:val="24"/>
        </w:rPr>
        <w:t>提供产品售前培训和售后技术指导。采购人</w:t>
      </w:r>
      <w:r>
        <w:rPr>
          <w:rFonts w:hint="eastAsia" w:ascii="宋体" w:hAnsi="宋体" w:eastAsia="宋体" w:cs="宋体"/>
          <w:sz w:val="24"/>
          <w:szCs w:val="24"/>
          <w:lang w:val="en-US" w:eastAsia="zh-CN"/>
        </w:rPr>
        <w:t>终端用户</w:t>
      </w:r>
      <w:r>
        <w:rPr>
          <w:rFonts w:hint="eastAsia" w:ascii="宋体" w:hAnsi="宋体" w:eastAsia="宋体" w:cs="宋体"/>
          <w:sz w:val="24"/>
          <w:szCs w:val="24"/>
        </w:rPr>
        <w:t>可根据自身的需求，定期组织技术人员至供应商进行学习和培训，成交供应商有义务利用自身资源对采购人终端用户技术人员进行技术培训。</w:t>
      </w:r>
    </w:p>
    <w:p w14:paraId="4F6B0405">
      <w:pPr>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⑥保证为采购</w:t>
      </w:r>
      <w:r>
        <w:rPr>
          <w:rFonts w:hint="eastAsia" w:ascii="宋体" w:hAnsi="宋体" w:eastAsia="宋体" w:cs="宋体"/>
          <w:sz w:val="24"/>
          <w:szCs w:val="24"/>
          <w:lang w:val="en-US" w:eastAsia="zh-CN"/>
        </w:rPr>
        <w:t>人及采购人终端用户</w:t>
      </w:r>
      <w:r>
        <w:rPr>
          <w:rFonts w:hint="eastAsia" w:ascii="宋体" w:hAnsi="宋体" w:eastAsia="宋体" w:cs="宋体"/>
          <w:sz w:val="24"/>
          <w:szCs w:val="24"/>
        </w:rPr>
        <w:t>每年提供不少于一次的新产品推广服务活动</w:t>
      </w:r>
      <w:r>
        <w:rPr>
          <w:rFonts w:hint="eastAsia" w:ascii="宋体" w:hAnsi="宋体" w:eastAsia="宋体" w:cs="宋体"/>
          <w:sz w:val="24"/>
          <w:szCs w:val="24"/>
          <w:lang w:eastAsia="zh-CN"/>
        </w:rPr>
        <w:t>，</w:t>
      </w:r>
      <w:r>
        <w:rPr>
          <w:rFonts w:hint="eastAsia" w:ascii="宋体" w:hAnsi="宋体" w:eastAsia="宋体" w:cs="宋体"/>
          <w:sz w:val="24"/>
          <w:szCs w:val="24"/>
        </w:rPr>
        <w:t>参与采购人不定期组织的供应商新产品展示活动。</w:t>
      </w:r>
    </w:p>
    <w:p w14:paraId="5B2118BC">
      <w:pPr>
        <w:snapToGrid w:val="0"/>
        <w:spacing w:beforeLines="0" w:afterLines="0"/>
        <w:ind w:firstLine="482" w:firstLineChars="200"/>
        <w:jc w:val="left"/>
        <w:outlineLvl w:val="9"/>
        <w:rPr>
          <w:rFonts w:hint="eastAsia" w:ascii="宋体" w:hAnsi="宋体" w:eastAsia="宋体" w:cs="宋体"/>
          <w:sz w:val="24"/>
          <w:szCs w:val="24"/>
        </w:rPr>
      </w:pPr>
      <w:r>
        <w:rPr>
          <w:rFonts w:hint="eastAsia" w:ascii="宋体" w:hAnsi="宋体" w:eastAsia="宋体" w:cs="宋体"/>
          <w:b/>
          <w:color w:val="000000" w:themeColor="text1"/>
          <w:sz w:val="24"/>
          <w:szCs w:val="24"/>
          <w14:textFill>
            <w14:solidFill>
              <w14:schemeClr w14:val="tx1"/>
            </w14:solidFill>
          </w14:textFill>
        </w:rPr>
        <w:t>3.</w:t>
      </w:r>
      <w:r>
        <w:rPr>
          <w:rFonts w:hint="eastAsia"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付款方式</w:t>
      </w:r>
      <w:r>
        <w:rPr>
          <w:rFonts w:hint="eastAsia" w:ascii="宋体" w:hAnsi="宋体" w:eastAsia="宋体" w:cs="宋体"/>
          <w:sz w:val="24"/>
          <w:szCs w:val="24"/>
        </w:rPr>
        <w:t>（</w:t>
      </w:r>
      <w:r>
        <w:rPr>
          <w:rFonts w:hint="eastAsia" w:ascii="宋体" w:hAnsi="宋体" w:eastAsia="宋体" w:cs="宋体"/>
          <w:b/>
          <w:bCs/>
          <w:sz w:val="24"/>
          <w:szCs w:val="24"/>
        </w:rPr>
        <w:t>提供承诺书原件，见格式8</w:t>
      </w:r>
      <w:r>
        <w:rPr>
          <w:rFonts w:hint="eastAsia" w:ascii="宋体" w:hAnsi="宋体" w:eastAsia="宋体" w:cs="宋体"/>
          <w:sz w:val="24"/>
          <w:szCs w:val="24"/>
        </w:rPr>
        <w:t>）</w:t>
      </w:r>
    </w:p>
    <w:p w14:paraId="522DC680">
      <w:pPr>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w:t>
      </w:r>
      <w:r>
        <w:rPr>
          <w:rFonts w:hint="eastAsia" w:hAnsi="宋体" w:eastAsia="宋体" w:cs="宋体"/>
          <w:sz w:val="24"/>
          <w:szCs w:val="24"/>
          <w:lang w:val="en-US" w:eastAsia="zh-CN"/>
        </w:rPr>
        <w:t>4</w:t>
      </w:r>
      <w:r>
        <w:rPr>
          <w:rFonts w:hint="eastAsia" w:ascii="宋体" w:hAnsi="宋体" w:eastAsia="宋体" w:cs="宋体"/>
          <w:sz w:val="24"/>
          <w:szCs w:val="24"/>
        </w:rPr>
        <w:t>.1标段一、标段二：</w:t>
      </w:r>
      <w:r>
        <w:rPr>
          <w:rFonts w:hint="eastAsia" w:ascii="宋体" w:hAnsi="宋体" w:eastAsia="宋体" w:cs="宋体"/>
          <w:color w:val="000000" w:themeColor="text1"/>
          <w:sz w:val="24"/>
          <w:szCs w:val="24"/>
          <w14:textFill>
            <w14:solidFill>
              <w14:schemeClr w14:val="tx1"/>
            </w14:solidFill>
          </w14:textFill>
        </w:rPr>
        <w:t>不预付货款；采购人终端用户收到供应商所供产品安装验收合格单和发票后，在第二个月（收到发票当月为第1月）25日前支付应付款项的90%，余款（10%）于次年同月（发票开具月）25日前付清。</w:t>
      </w:r>
    </w:p>
    <w:p w14:paraId="061DA3DB">
      <w:pPr>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.2标段三、标段四：不预付货款；采购人终端用户收到供应商所供产品验收合格单和发票后，在第二个月（收到发票当月为第1月）25日前支付应付款项的100%。</w:t>
      </w:r>
    </w:p>
    <w:p w14:paraId="7FB4B88B">
      <w:pPr>
        <w:snapToGrid w:val="0"/>
        <w:spacing w:beforeLines="0" w:afterLines="0"/>
        <w:ind w:firstLine="482" w:firstLineChars="200"/>
        <w:jc w:val="left"/>
        <w:outlineLvl w:val="9"/>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hAnsi="宋体" w:eastAsia="宋体" w:cs="宋体"/>
          <w:b/>
          <w:bCs/>
          <w:sz w:val="24"/>
          <w:szCs w:val="24"/>
          <w:lang w:val="en-US" w:eastAsia="zh-CN"/>
        </w:rPr>
        <w:t>5</w:t>
      </w:r>
      <w:r>
        <w:rPr>
          <w:rFonts w:hint="eastAsia" w:ascii="宋体" w:hAnsi="宋体" w:eastAsia="宋体" w:cs="宋体"/>
          <w:b/>
          <w:bCs/>
          <w:sz w:val="24"/>
          <w:szCs w:val="24"/>
        </w:rPr>
        <w:t>交货期</w:t>
      </w:r>
      <w:r>
        <w:rPr>
          <w:rFonts w:hint="eastAsia" w:ascii="宋体" w:hAnsi="宋体" w:eastAsia="宋体" w:cs="宋体"/>
          <w:sz w:val="24"/>
          <w:szCs w:val="24"/>
        </w:rPr>
        <w:t>（</w:t>
      </w:r>
      <w:r>
        <w:rPr>
          <w:rFonts w:hint="eastAsia" w:ascii="宋体" w:hAnsi="宋体" w:eastAsia="宋体" w:cs="宋体"/>
          <w:b/>
          <w:bCs/>
          <w:sz w:val="24"/>
          <w:szCs w:val="24"/>
        </w:rPr>
        <w:t>提供承诺书原件，见格式7</w:t>
      </w:r>
      <w:r>
        <w:rPr>
          <w:rFonts w:hint="eastAsia" w:ascii="宋体" w:hAnsi="宋体" w:eastAsia="宋体" w:cs="宋体"/>
          <w:sz w:val="24"/>
          <w:szCs w:val="24"/>
        </w:rPr>
        <w:t>）</w:t>
      </w:r>
    </w:p>
    <w:p w14:paraId="09A33B27">
      <w:pPr>
        <w:pStyle w:val="24"/>
        <w:spacing w:beforeLines="0" w:afterLine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标段一、标段二：于收到采购人终端用户的采购清单后15天内将</w:t>
      </w:r>
      <w:r>
        <w:rPr>
          <w:rFonts w:hint="eastAsia" w:ascii="宋体"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送至采购人</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指定地点并完成安装调试；</w:t>
      </w:r>
    </w:p>
    <w:p w14:paraId="37789EF9">
      <w:pPr>
        <w:pStyle w:val="24"/>
        <w:spacing w:beforeLines="0" w:afterLines="0"/>
        <w:outlineLvl w:val="9"/>
        <w:rPr>
          <w:rFonts w:hint="eastAsia" w:hAnsi="宋体" w:eastAsia="宋体" w:cs="宋体"/>
          <w:lang w:eastAsia="zh-CN"/>
        </w:rPr>
      </w:pPr>
      <w:r>
        <w:rPr>
          <w:rFonts w:hint="eastAsia" w:ascii="宋体" w:hAnsi="宋体" w:eastAsia="宋体" w:cs="宋体"/>
          <w:color w:val="000000" w:themeColor="text1"/>
          <w:sz w:val="24"/>
          <w:szCs w:val="24"/>
          <w14:textFill>
            <w14:solidFill>
              <w14:schemeClr w14:val="tx1"/>
            </w14:solidFill>
          </w14:textFill>
        </w:rPr>
        <w:t>标段三、标段四：于收到采购人终端用户的采购清单后7天内将</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送至采购人</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指定地点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按时交货和提供服务</w:t>
      </w:r>
      <w:r>
        <w:rPr>
          <w:rFonts w:hint="eastAsia" w:ascii="宋体" w:hAnsi="宋体" w:eastAsia="宋体" w:cs="宋体"/>
          <w:color w:val="000000" w:themeColor="text1"/>
          <w:sz w:val="24"/>
          <w:szCs w:val="24"/>
          <w:lang w:eastAsia="zh-CN"/>
          <w14:textFill>
            <w14:solidFill>
              <w14:schemeClr w14:val="tx1"/>
            </w14:solidFill>
          </w14:textFill>
        </w:rPr>
        <w:t>。</w:t>
      </w:r>
    </w:p>
    <w:p w14:paraId="6351FBEF">
      <w:pPr>
        <w:snapToGrid w:val="0"/>
        <w:spacing w:before="0" w:beforeLines="0" w:after="0" w:afterLines="0" w:line="360" w:lineRule="auto"/>
        <w:outlineLvl w:val="9"/>
        <w:rPr>
          <w:rFonts w:hint="eastAsia" w:ascii="宋体" w:hAnsi="宋体" w:eastAsia="宋体" w:cs="宋体"/>
        </w:rPr>
      </w:pPr>
    </w:p>
    <w:p w14:paraId="28C1B18E">
      <w:pPr>
        <w:snapToGrid w:val="0"/>
        <w:spacing w:before="0" w:beforeLines="0" w:after="0" w:afterLines="0" w:line="360" w:lineRule="auto"/>
        <w:outlineLvl w:val="9"/>
        <w:rPr>
          <w:rFonts w:hint="eastAsia" w:ascii="宋体" w:hAnsi="宋体" w:eastAsia="宋体" w:cs="宋体"/>
        </w:rPr>
        <w:sectPr>
          <w:pgSz w:w="11906" w:h="16838"/>
          <w:pgMar w:top="1440" w:right="1800" w:bottom="1440" w:left="1800" w:header="851" w:footer="992" w:gutter="0"/>
          <w:cols w:space="720" w:num="1"/>
          <w:docGrid w:type="lines" w:linePitch="312" w:charSpace="0"/>
        </w:sectPr>
      </w:pPr>
    </w:p>
    <w:p w14:paraId="1FFD72DC">
      <w:pPr>
        <w:snapToGrid w:val="0"/>
        <w:spacing w:before="0" w:beforeLines="0" w:after="0" w:afterLines="0" w:line="360" w:lineRule="auto"/>
        <w:outlineLvl w:val="9"/>
        <w:rPr>
          <w:rFonts w:hint="eastAsia" w:ascii="宋体" w:hAnsi="宋体" w:eastAsia="宋体" w:cs="宋体"/>
        </w:rPr>
      </w:pPr>
      <w:r>
        <w:rPr>
          <w:rFonts w:hint="eastAsia" w:ascii="宋体" w:hAnsi="宋体" w:eastAsia="宋体" w:cs="宋体"/>
        </w:rPr>
        <w:t>附件：</w:t>
      </w:r>
      <w:r>
        <w:rPr>
          <w:rFonts w:hint="eastAsia" w:ascii="宋体" w:hAnsi="宋体" w:eastAsia="宋体" w:cs="宋体"/>
          <w:szCs w:val="24"/>
        </w:rPr>
        <w:t>采购人终端用户地址</w:t>
      </w:r>
    </w:p>
    <w:p w14:paraId="56FB5C2D">
      <w:pPr>
        <w:spacing w:beforeLines="0" w:afterLines="0" w:line="360" w:lineRule="auto"/>
        <w:jc w:val="center"/>
        <w:outlineLvl w:val="9"/>
        <w:rPr>
          <w:rFonts w:hint="eastAsia" w:ascii="宋体" w:hAnsi="宋体" w:eastAsia="宋体" w:cs="宋体"/>
          <w:color w:val="FF0000"/>
          <w:sz w:val="24"/>
          <w:szCs w:val="24"/>
        </w:rPr>
      </w:pPr>
      <w:bookmarkStart w:id="290" w:name="_Toc5723"/>
      <w:bookmarkStart w:id="291" w:name="_Toc25554"/>
      <w:bookmarkStart w:id="292" w:name="_Toc3350"/>
      <w:r>
        <w:rPr>
          <w:rFonts w:hint="eastAsia" w:ascii="宋体" w:hAnsi="宋体" w:eastAsia="宋体" w:cs="宋体"/>
          <w:b/>
          <w:bCs/>
          <w:sz w:val="24"/>
          <w:szCs w:val="24"/>
        </w:rPr>
        <w:t>江苏方源集团有限公司下属电子加工子公司名称及地址</w:t>
      </w:r>
      <w:bookmarkEnd w:id="290"/>
      <w:bookmarkEnd w:id="291"/>
      <w:bookmarkEnd w:id="292"/>
    </w:p>
    <w:tbl>
      <w:tblPr>
        <w:tblStyle w:val="16"/>
        <w:tblW w:w="8031" w:type="dxa"/>
        <w:tblInd w:w="0" w:type="dxa"/>
        <w:tblLayout w:type="fixed"/>
        <w:tblCellMar>
          <w:top w:w="0" w:type="dxa"/>
          <w:left w:w="0" w:type="dxa"/>
          <w:bottom w:w="0" w:type="dxa"/>
          <w:right w:w="0" w:type="dxa"/>
        </w:tblCellMar>
      </w:tblPr>
      <w:tblGrid>
        <w:gridCol w:w="3216"/>
        <w:gridCol w:w="2805"/>
        <w:gridCol w:w="2010"/>
      </w:tblGrid>
      <w:tr w14:paraId="6F3794F4">
        <w:tblPrEx>
          <w:tblCellMar>
            <w:top w:w="0" w:type="dxa"/>
            <w:left w:w="0" w:type="dxa"/>
            <w:bottom w:w="0" w:type="dxa"/>
            <w:right w:w="0" w:type="dxa"/>
          </w:tblCellMar>
        </w:tblPrEx>
        <w:trPr>
          <w:trHeight w:val="9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08ED">
            <w:pPr>
              <w:spacing w:beforeLines="0" w:afterLines="0" w:line="360" w:lineRule="auto"/>
              <w:ind w:firstLine="204" w:firstLineChars="85"/>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公司名称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393E">
            <w:pPr>
              <w:spacing w:beforeLines="0" w:afterLines="0" w:line="360" w:lineRule="auto"/>
              <w:ind w:firstLine="204" w:firstLineChars="85"/>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6E92">
            <w:pPr>
              <w:spacing w:beforeLines="0" w:afterLines="0" w:line="360" w:lineRule="auto"/>
              <w:ind w:firstLine="204" w:firstLineChars="85"/>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电子加工类型</w:t>
            </w:r>
          </w:p>
        </w:tc>
      </w:tr>
      <w:tr w14:paraId="078D25E3">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38B3">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江苏春天服饰有限公司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1E11">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通州市恒兴镇环本农场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A11C">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4FB1BC27">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43D4">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江苏大中农场集团有限公司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EB2E">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江苏省大丰市仙鹤镇仙鹤西路2号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3F3E">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19963D72">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B9C2">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江苏省芙蓉天蕴实业有限公司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355D">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宜兴市芙蓉镇芙蓉茶厂</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8029">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52B9245E">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C1DC">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江苏花山集团有限公司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FF43">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南京市高淳区固城镇花山</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2211">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光纤、变压器</w:t>
            </w:r>
          </w:p>
        </w:tc>
      </w:tr>
      <w:tr w14:paraId="093E8120">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0C9E">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江苏晶阳加工有限公司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3611">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溧阳市竹箦镇西竹箦茶场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CD09">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1328EC3F">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2D24">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江苏龙潭实业有限公司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C79C">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南京市栖霞区龙潭镇珠子山8号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FBB3">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42ECFD01">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7931">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江苏大连山实业有限公司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9E6E">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江宁区淳化街道大连山实业有限公司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ADF5">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015D1CAA">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29CC">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江苏省京江服饰制业有限公司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1BA9">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句容市小茅山</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2A96">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15C041BA">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A43C">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江苏省天鹏服饰有限责任公司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1C5D">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徐州市云龙区大湖火车站西侧</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53A6">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光纤、变压器</w:t>
            </w:r>
          </w:p>
        </w:tc>
      </w:tr>
      <w:tr w14:paraId="5D9E04E3">
        <w:tblPrEx>
          <w:tblCellMar>
            <w:top w:w="0" w:type="dxa"/>
            <w:left w:w="0" w:type="dxa"/>
            <w:bottom w:w="0" w:type="dxa"/>
            <w:right w:w="0" w:type="dxa"/>
          </w:tblCellMar>
        </w:tblPrEx>
        <w:trPr>
          <w:trHeight w:val="44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BA0B">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江苏省亚盟劳务加工有限公司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867B4">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宜兴市丁蜀镇任墅村四条岭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4EB0">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光纤、变压器</w:t>
            </w:r>
          </w:p>
        </w:tc>
      </w:tr>
      <w:tr w14:paraId="57D4E14C">
        <w:tblPrEx>
          <w:tblCellMar>
            <w:top w:w="0" w:type="dxa"/>
            <w:left w:w="0" w:type="dxa"/>
            <w:bottom w:w="0" w:type="dxa"/>
            <w:right w:w="0" w:type="dxa"/>
          </w:tblCellMar>
        </w:tblPrEx>
        <w:trPr>
          <w:trHeight w:val="44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4827">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江苏新龙伟业有限公司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598D7">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镇江市学府路7号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C2F4">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7B0C4CD3">
        <w:tblPrEx>
          <w:tblCellMar>
            <w:top w:w="0" w:type="dxa"/>
            <w:left w:w="0" w:type="dxa"/>
            <w:bottom w:w="0" w:type="dxa"/>
            <w:right w:w="0" w:type="dxa"/>
          </w:tblCellMar>
        </w:tblPrEx>
        <w:trPr>
          <w:trHeight w:val="44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5143">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江苏新华伟业有限公司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AD50">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苏州市相城区黄埭镇太东路2888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B00B">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193EF316">
        <w:tblPrEx>
          <w:tblCellMar>
            <w:top w:w="0" w:type="dxa"/>
            <w:left w:w="0" w:type="dxa"/>
            <w:bottom w:w="0" w:type="dxa"/>
            <w:right w:w="0" w:type="dxa"/>
          </w:tblCellMar>
        </w:tblPrEx>
        <w:trPr>
          <w:trHeight w:val="44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4C3D">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无锡大运服饰有限责任公司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3C27">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无锡市吴桥西路121号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4F9A">
            <w:pPr>
              <w:widowControl/>
              <w:spacing w:beforeLines="0" w:afterLines="0"/>
              <w:jc w:val="left"/>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光纤</w:t>
            </w:r>
          </w:p>
        </w:tc>
      </w:tr>
      <w:tr w14:paraId="41D1504F">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CAD6">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江苏洪泽湖农场集团有限公司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FE10">
            <w:pPr>
              <w:spacing w:beforeLines="0" w:afterLines="0" w:line="360" w:lineRule="auto"/>
              <w:jc w:val="left"/>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江苏省泗洪县车路口</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1617">
            <w:pPr>
              <w:spacing w:beforeLines="0" w:afterLines="0" w:line="360" w:lineRule="auto"/>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变压器</w:t>
            </w:r>
          </w:p>
        </w:tc>
      </w:tr>
      <w:tr w14:paraId="28AD82D2">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6F14">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江苏惠浦机械集团有限公司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4A97">
            <w:pPr>
              <w:widowControl/>
              <w:spacing w:beforeLines="0" w:afterLines="0"/>
              <w:textAlignment w:val="center"/>
              <w:outlineLvl w:val="9"/>
              <w:rPr>
                <w:rFonts w:hint="eastAsia" w:ascii="宋体" w:hAnsi="宋体" w:eastAsia="宋体" w:cs="宋体"/>
                <w:color w:val="000000"/>
                <w:sz w:val="21"/>
              </w:rPr>
            </w:pPr>
            <w:r>
              <w:rPr>
                <w:rFonts w:hint="eastAsia" w:ascii="宋体" w:hAnsi="宋体" w:eastAsia="宋体" w:cs="宋体"/>
                <w:color w:val="000000"/>
                <w:sz w:val="21"/>
                <w:lang w:bidi="ar"/>
              </w:rPr>
              <w:t>南京市浦口区石佛寺三宫49号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3BEC">
            <w:pPr>
              <w:spacing w:beforeLines="0" w:afterLines="0" w:line="360" w:lineRule="auto"/>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变压器</w:t>
            </w:r>
          </w:p>
        </w:tc>
      </w:tr>
      <w:tr w14:paraId="7F2690E9">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F2F9">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江苏省五图河农场有限公司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240D">
            <w:pPr>
              <w:spacing w:beforeLines="0" w:afterLines="0" w:line="360" w:lineRule="auto"/>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江苏省灌云县七道沟</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CDB4">
            <w:pPr>
              <w:spacing w:beforeLines="0" w:afterLines="0" w:line="360" w:lineRule="auto"/>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变压器</w:t>
            </w:r>
          </w:p>
        </w:tc>
      </w:tr>
      <w:tr w14:paraId="6FED7864">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5992">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江苏芙蓉天蕴实业有限公司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6E15">
            <w:pPr>
              <w:widowControl/>
              <w:spacing w:beforeLines="0" w:afterLines="0"/>
              <w:textAlignment w:val="center"/>
              <w:outlineLvl w:val="9"/>
              <w:rPr>
                <w:rFonts w:hint="eastAsia" w:ascii="宋体" w:hAnsi="宋体" w:eastAsia="宋体" w:cs="宋体"/>
                <w:color w:val="000000"/>
                <w:sz w:val="21"/>
              </w:rPr>
            </w:pPr>
            <w:r>
              <w:rPr>
                <w:rFonts w:hint="eastAsia" w:ascii="宋体" w:hAnsi="宋体" w:eastAsia="宋体" w:cs="宋体"/>
                <w:color w:val="000000"/>
                <w:sz w:val="21"/>
                <w:lang w:bidi="ar"/>
              </w:rPr>
              <w:t>宜兴市芙蓉镇芙蓉茶厂</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DC63">
            <w:pPr>
              <w:spacing w:beforeLines="0" w:afterLines="0" w:line="360" w:lineRule="auto"/>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变压器</w:t>
            </w:r>
          </w:p>
        </w:tc>
      </w:tr>
      <w:tr w14:paraId="7B7C1618">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3AAB">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江苏球星有限公司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6F60">
            <w:pPr>
              <w:spacing w:beforeLines="0" w:afterLines="0" w:line="360" w:lineRule="auto"/>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江苏省溧阳市社渚农场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0AD0">
            <w:pPr>
              <w:spacing w:beforeLines="0" w:afterLines="0" w:line="360" w:lineRule="auto"/>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线路板（锡材料相关）</w:t>
            </w:r>
          </w:p>
        </w:tc>
      </w:tr>
      <w:tr w14:paraId="00C7A4C3">
        <w:tblPrEx>
          <w:tblCellMar>
            <w:top w:w="0" w:type="dxa"/>
            <w:left w:w="0" w:type="dxa"/>
            <w:bottom w:w="0" w:type="dxa"/>
            <w:right w:w="0" w:type="dxa"/>
          </w:tblCellMar>
        </w:tblPrEx>
        <w:trPr>
          <w:trHeight w:val="460"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3092">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江苏省湾山实业有限公司</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9449">
            <w:pPr>
              <w:widowControl/>
              <w:spacing w:beforeLines="0" w:afterLines="0"/>
              <w:textAlignment w:val="center"/>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sz w:val="21"/>
                <w:lang w:bidi="ar"/>
              </w:rPr>
              <w:t>江苏省句容市下蜀镇</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3183">
            <w:pPr>
              <w:spacing w:beforeLines="0" w:afterLines="0" w:line="360" w:lineRule="auto"/>
              <w:outlineLvl w:val="9"/>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线路板（锡材料相关）</w:t>
            </w:r>
          </w:p>
        </w:tc>
      </w:tr>
    </w:tbl>
    <w:p w14:paraId="4C0D48E2">
      <w:pPr>
        <w:autoSpaceDE w:val="0"/>
        <w:autoSpaceDN w:val="0"/>
        <w:bidi/>
        <w:snapToGrid w:val="0"/>
        <w:spacing w:before="0" w:beforeLines="0" w:after="0" w:afterLines="0" w:line="360" w:lineRule="auto"/>
        <w:jc w:val="center"/>
        <w:outlineLvl w:val="9"/>
        <w:rPr>
          <w:rFonts w:hint="eastAsia" w:ascii="等线" w:hAnsi="等线" w:eastAsia="等线" w:cs="等线"/>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8661D3A">
      <w:pPr>
        <w:autoSpaceDE w:val="0"/>
        <w:autoSpaceDN w:val="0"/>
        <w:snapToGrid w:val="0"/>
        <w:spacing w:beforeLines="0" w:afterLines="0"/>
        <w:jc w:val="center"/>
        <w:outlineLvl w:val="0"/>
        <w:rPr>
          <w:rFonts w:hint="default" w:ascii="宋体" w:hAnsi="宋体" w:eastAsia="宋体" w:cs="Cambria Math"/>
          <w:b/>
          <w:bCs/>
          <w:color w:val="auto"/>
          <w:kern w:val="44"/>
          <w:sz w:val="36"/>
          <w:szCs w:val="36"/>
        </w:rPr>
      </w:pPr>
      <w:bookmarkStart w:id="293" w:name="_Toc7126"/>
      <w:r>
        <w:rPr>
          <w:rFonts w:hint="default" w:ascii="宋体" w:hAnsi="宋体" w:eastAsia="宋体" w:cs="Cambria Math"/>
          <w:b/>
          <w:bCs/>
          <w:color w:val="auto"/>
          <w:kern w:val="44"/>
          <w:sz w:val="36"/>
          <w:szCs w:val="36"/>
        </w:rPr>
        <w:t>第</w:t>
      </w:r>
      <w:r>
        <w:rPr>
          <w:rFonts w:hint="eastAsia" w:hAnsi="宋体" w:eastAsia="宋体" w:cs="Cambria Math"/>
          <w:b/>
          <w:bCs/>
          <w:color w:val="auto"/>
          <w:kern w:val="44"/>
          <w:sz w:val="36"/>
          <w:szCs w:val="36"/>
          <w:lang w:val="en-US" w:eastAsia="zh-CN"/>
        </w:rPr>
        <w:t>四</w:t>
      </w:r>
      <w:r>
        <w:rPr>
          <w:rFonts w:hint="default" w:ascii="宋体" w:hAnsi="宋体" w:eastAsia="宋体" w:cs="Cambria Math"/>
          <w:b/>
          <w:bCs/>
          <w:color w:val="auto"/>
          <w:kern w:val="44"/>
          <w:sz w:val="36"/>
          <w:szCs w:val="36"/>
        </w:rPr>
        <w:t>章  评审标准</w:t>
      </w:r>
      <w:bookmarkEnd w:id="293"/>
    </w:p>
    <w:p w14:paraId="651CFFAA">
      <w:pPr>
        <w:pStyle w:val="35"/>
        <w:spacing w:before="0" w:beforeLines="0" w:after="0" w:afterLines="0"/>
        <w:ind w:firstLine="513"/>
        <w:outlineLvl w:val="9"/>
        <w:rPr>
          <w:b/>
          <w:sz w:val="28"/>
          <w:szCs w:val="28"/>
        </w:rPr>
      </w:pPr>
      <w:bookmarkStart w:id="294" w:name="_Toc26684"/>
      <w:bookmarkStart w:id="295" w:name="_Toc9054"/>
      <w:bookmarkStart w:id="296" w:name="_Toc19723"/>
      <w:r>
        <w:rPr>
          <w:b/>
          <w:sz w:val="28"/>
          <w:szCs w:val="28"/>
        </w:rPr>
        <w:t>一、确定</w:t>
      </w:r>
      <w:r>
        <w:rPr>
          <w:rFonts w:hint="eastAsia"/>
          <w:b/>
          <w:sz w:val="28"/>
          <w:szCs w:val="28"/>
        </w:rPr>
        <w:t>成交</w:t>
      </w:r>
      <w:r>
        <w:rPr>
          <w:b/>
          <w:sz w:val="28"/>
          <w:szCs w:val="28"/>
        </w:rPr>
        <w:t>供应商的评审方法</w:t>
      </w:r>
    </w:p>
    <w:p w14:paraId="5664D296">
      <w:pPr>
        <w:spacing w:beforeLines="0" w:afterLines="0"/>
        <w:ind w:firstLine="48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采用综合评分法进行评审，磋商小组按标段一、标段二、标段三、标段四的顺序根据响应文件是否最大限度满足磋商文件中规定的各项评分标准进行评审，满分为100分。</w:t>
      </w:r>
    </w:p>
    <w:p w14:paraId="3E6F31A8">
      <w:pPr>
        <w:spacing w:beforeLines="0" w:afterLines="0"/>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磋商小组根据综合评分情况，按评审后总得分由高到低顺序对供应商进行排序，</w:t>
      </w:r>
      <w:r>
        <w:rPr>
          <w:rFonts w:hint="eastAsia" w:ascii="宋体" w:hAnsi="宋体" w:eastAsia="宋体" w:cs="宋体"/>
          <w:color w:val="000000" w:themeColor="text1"/>
          <w:sz w:val="24"/>
          <w:szCs w:val="24"/>
          <w:lang w:val="en-US" w:eastAsia="zh-CN"/>
          <w14:textFill>
            <w14:solidFill>
              <w14:schemeClr w14:val="tx1"/>
            </w14:solidFill>
          </w14:textFill>
        </w:rPr>
        <w:t>总</w:t>
      </w:r>
      <w:r>
        <w:rPr>
          <w:rFonts w:hint="eastAsia" w:ascii="宋体" w:hAnsi="宋体" w:eastAsia="宋体" w:cs="宋体"/>
          <w:color w:val="000000" w:themeColor="text1"/>
          <w:sz w:val="24"/>
          <w:szCs w:val="24"/>
          <w14:textFill>
            <w14:solidFill>
              <w14:schemeClr w14:val="tx1"/>
            </w14:solidFill>
          </w14:textFill>
        </w:rPr>
        <w:t>得分相同的，按价格得分由高到低顺序排列；价格得分也相同的，按</w:t>
      </w:r>
      <w:r>
        <w:rPr>
          <w:rFonts w:hint="eastAsia" w:ascii="宋体" w:hAnsi="宋体" w:eastAsia="宋体" w:cs="宋体"/>
          <w:color w:val="000000" w:themeColor="text1"/>
          <w:sz w:val="24"/>
          <w:szCs w:val="24"/>
          <w:lang w:val="en-US" w:eastAsia="zh-CN"/>
          <w14:textFill>
            <w14:solidFill>
              <w14:schemeClr w14:val="tx1"/>
            </w14:solidFill>
          </w14:textFill>
        </w:rPr>
        <w:t>企业实力</w:t>
      </w:r>
      <w:r>
        <w:rPr>
          <w:rFonts w:hint="eastAsia" w:ascii="宋体" w:hAnsi="宋体" w:eastAsia="宋体" w:cs="宋体"/>
          <w:color w:val="000000" w:themeColor="text1"/>
          <w:sz w:val="24"/>
          <w:szCs w:val="24"/>
          <w14:textFill>
            <w14:solidFill>
              <w14:schemeClr w14:val="tx1"/>
            </w14:solidFill>
          </w14:textFill>
        </w:rPr>
        <w:t>得分由高到低顺序排列；</w:t>
      </w:r>
      <w:r>
        <w:rPr>
          <w:rFonts w:hint="eastAsia" w:ascii="宋体" w:hAnsi="宋体" w:eastAsia="宋体" w:cs="宋体"/>
          <w:color w:val="000000" w:themeColor="text1"/>
          <w:sz w:val="24"/>
          <w:szCs w:val="24"/>
          <w:lang w:val="en-US" w:eastAsia="zh-CN"/>
          <w14:textFill>
            <w14:solidFill>
              <w14:schemeClr w14:val="tx1"/>
            </w14:solidFill>
          </w14:textFill>
        </w:rPr>
        <w:t>企业实力</w:t>
      </w:r>
      <w:r>
        <w:rPr>
          <w:rFonts w:hint="eastAsia" w:ascii="宋体" w:hAnsi="宋体" w:eastAsia="宋体" w:cs="宋体"/>
          <w:color w:val="000000" w:themeColor="text1"/>
          <w:sz w:val="24"/>
          <w:szCs w:val="24"/>
          <w14:textFill>
            <w14:solidFill>
              <w14:schemeClr w14:val="tx1"/>
            </w14:solidFill>
          </w14:textFill>
        </w:rPr>
        <w:t>得分也相同的，由磋商小组抽签确定排序。</w:t>
      </w:r>
      <w:bookmarkEnd w:id="294"/>
      <w:bookmarkEnd w:id="295"/>
      <w:r>
        <w:rPr>
          <w:rFonts w:hint="eastAsia" w:ascii="宋体" w:hAnsi="宋体" w:eastAsia="宋体" w:cs="宋体"/>
          <w:color w:val="000000" w:themeColor="text1"/>
          <w:sz w:val="24"/>
          <w:szCs w:val="24"/>
          <w14:textFill>
            <w14:solidFill>
              <w14:schemeClr w14:val="tx1"/>
            </w14:solidFill>
          </w14:textFill>
        </w:rPr>
        <w:t>按供应商排序推荐各标段成交候选供应商</w:t>
      </w:r>
      <w:bookmarkStart w:id="297" w:name="_Toc3158"/>
      <w:bookmarkStart w:id="298" w:name="_Toc3757"/>
      <w:r>
        <w:rPr>
          <w:rFonts w:hint="eastAsia" w:ascii="宋体" w:hAnsi="宋体" w:eastAsia="宋体" w:cs="宋体"/>
          <w:color w:val="000000" w:themeColor="text1"/>
          <w:sz w:val="24"/>
          <w:szCs w:val="24"/>
          <w14:textFill>
            <w14:solidFill>
              <w14:schemeClr w14:val="tx1"/>
            </w14:solidFill>
          </w14:textFill>
        </w:rPr>
        <w:t>（标段一、标段三各推荐5家；</w:t>
      </w:r>
      <w:bookmarkStart w:id="299" w:name="_Toc15355"/>
      <w:bookmarkStart w:id="300" w:name="_Toc20786"/>
      <w:r>
        <w:rPr>
          <w:rFonts w:hint="eastAsia" w:ascii="宋体" w:hAnsi="宋体" w:eastAsia="宋体" w:cs="宋体"/>
          <w:color w:val="000000" w:themeColor="text1"/>
          <w:sz w:val="24"/>
          <w:szCs w:val="24"/>
          <w14:textFill>
            <w14:solidFill>
              <w14:schemeClr w14:val="tx1"/>
            </w14:solidFill>
          </w14:textFill>
        </w:rPr>
        <w:t>标段二、标段四各</w:t>
      </w:r>
      <w:bookmarkEnd w:id="299"/>
      <w:bookmarkEnd w:id="300"/>
      <w:r>
        <w:rPr>
          <w:rFonts w:hint="eastAsia" w:ascii="宋体" w:hAnsi="宋体" w:eastAsia="宋体" w:cs="宋体"/>
          <w:color w:val="000000" w:themeColor="text1"/>
          <w:sz w:val="24"/>
          <w:szCs w:val="24"/>
          <w14:textFill>
            <w14:solidFill>
              <w14:schemeClr w14:val="tx1"/>
            </w14:solidFill>
          </w14:textFill>
        </w:rPr>
        <w:t>推荐3家）。</w:t>
      </w:r>
    </w:p>
    <w:bookmarkEnd w:id="296"/>
    <w:p w14:paraId="4E6555B5">
      <w:pPr>
        <w:snapToGrid w:val="0"/>
        <w:spacing w:beforeLines="0" w:afterLines="0"/>
        <w:ind w:firstLine="482"/>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段一、标段三如通过资格审查和符合性审查的响应单位为6家及以上，确定5家入围；如通过资格审查和符合性审查的响应单位为5家，确定4家入围；如通过资格审查和符合性审查的响应单位为4家，确定3家入围；如通过资格审查和符合性审查的响应单位为3家，确定2家入围。</w:t>
      </w:r>
    </w:p>
    <w:p w14:paraId="02317C01">
      <w:pPr>
        <w:snapToGrid w:val="0"/>
        <w:spacing w:beforeLines="0" w:afterLines="0"/>
        <w:ind w:firstLine="482"/>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标段二、标段四如通过资格审查和符合性审查的响应单位为4家及以上，确定3家入围；如通过资格审查和符合性审查的响应单位为3家，确定2家入围。</w:t>
      </w:r>
    </w:p>
    <w:p w14:paraId="39033691">
      <w:pPr>
        <w:pStyle w:val="35"/>
        <w:spacing w:before="0" w:beforeLines="0" w:after="0" w:afterLines="0"/>
        <w:ind w:firstLine="510"/>
        <w:outlineLvl w:val="9"/>
        <w:rPr>
          <w:b/>
          <w:sz w:val="28"/>
          <w:szCs w:val="28"/>
        </w:rPr>
      </w:pPr>
      <w:bookmarkStart w:id="301" w:name="_Toc31809"/>
      <w:r>
        <w:rPr>
          <w:b/>
          <w:sz w:val="28"/>
          <w:szCs w:val="28"/>
        </w:rPr>
        <w:t>二、评分因素及评分标准</w:t>
      </w:r>
      <w:bookmarkEnd w:id="301"/>
    </w:p>
    <w:p w14:paraId="7C5A2C35">
      <w:pPr>
        <w:pStyle w:val="35"/>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firstLine="510"/>
        <w:jc w:val="left"/>
        <w:textAlignment w:val="baseline"/>
        <w:outlineLvl w:val="9"/>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1.标段一、标段二评分因素及评分标准</w:t>
      </w:r>
    </w:p>
    <w:bookmarkEnd w:id="297"/>
    <w:bookmarkEnd w:id="298"/>
    <w:tbl>
      <w:tblPr>
        <w:tblStyle w:val="16"/>
        <w:tblpPr w:leftFromText="180" w:rightFromText="180" w:vertAnchor="text" w:horzAnchor="page" w:tblpX="1677" w:tblpY="460"/>
        <w:tblOverlap w:val="never"/>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7159"/>
      </w:tblGrid>
      <w:tr w14:paraId="7B67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02" w:type="dxa"/>
            <w:tcBorders>
              <w:top w:val="single" w:color="auto" w:sz="4" w:space="0"/>
              <w:left w:val="single" w:color="auto" w:sz="4" w:space="0"/>
              <w:bottom w:val="single" w:color="auto" w:sz="4" w:space="0"/>
              <w:right w:val="single" w:color="auto" w:sz="4" w:space="0"/>
            </w:tcBorders>
            <w:vAlign w:val="center"/>
          </w:tcPr>
          <w:p w14:paraId="6CA4DB1C">
            <w:pPr>
              <w:autoSpaceDE w:val="0"/>
              <w:autoSpaceDN w:val="0"/>
              <w:snapToGrid w:val="0"/>
              <w:spacing w:beforeLines="0" w:afterLines="0" w:line="360" w:lineRule="auto"/>
              <w:outlineLvl w:val="9"/>
              <w:rPr>
                <w:rFonts w:hint="eastAsia" w:ascii="宋体" w:hAnsi="宋体" w:eastAsia="宋体" w:cs="宋体"/>
                <w:color w:val="000000" w:themeColor="text1"/>
                <w:sz w:val="24"/>
                <w:szCs w:val="24"/>
                <w14:textFill>
                  <w14:solidFill>
                    <w14:schemeClr w14:val="tx1"/>
                  </w14:solidFill>
                </w14:textFill>
              </w:rPr>
            </w:pPr>
            <w:bookmarkStart w:id="302" w:name="_Toc19576"/>
            <w:bookmarkStart w:id="303" w:name="_Toc16028"/>
            <w:bookmarkStart w:id="304" w:name="_Toc327"/>
            <w:bookmarkStart w:id="305" w:name="_Toc951"/>
            <w:bookmarkStart w:id="306" w:name="_Toc4354"/>
            <w:r>
              <w:rPr>
                <w:rFonts w:hint="eastAsia" w:ascii="宋体" w:hAnsi="宋体" w:eastAsia="宋体" w:cs="宋体"/>
                <w:color w:val="000000" w:themeColor="text1"/>
                <w:sz w:val="24"/>
                <w:szCs w:val="24"/>
                <w14:textFill>
                  <w14:solidFill>
                    <w14:schemeClr w14:val="tx1"/>
                  </w14:solidFill>
                </w14:textFill>
              </w:rPr>
              <w:t>评分因素</w:t>
            </w:r>
            <w:bookmarkEnd w:id="302"/>
            <w:bookmarkEnd w:id="303"/>
            <w:bookmarkEnd w:id="304"/>
          </w:p>
        </w:tc>
        <w:tc>
          <w:tcPr>
            <w:tcW w:w="7159" w:type="dxa"/>
            <w:tcBorders>
              <w:top w:val="single" w:color="auto" w:sz="4" w:space="0"/>
              <w:left w:val="single" w:color="auto" w:sz="4" w:space="0"/>
              <w:bottom w:val="single" w:color="auto" w:sz="4" w:space="0"/>
              <w:right w:val="single" w:color="auto" w:sz="4" w:space="0"/>
            </w:tcBorders>
            <w:vAlign w:val="center"/>
          </w:tcPr>
          <w:p w14:paraId="74B1135C">
            <w:pPr>
              <w:autoSpaceDE w:val="0"/>
              <w:autoSpaceDN w:val="0"/>
              <w:snapToGrid w:val="0"/>
              <w:spacing w:beforeLines="0" w:afterLines="0" w:line="360" w:lineRule="auto"/>
              <w:ind w:firstLine="204" w:firstLineChars="85"/>
              <w:jc w:val="center"/>
              <w:outlineLvl w:val="9"/>
              <w:rPr>
                <w:rFonts w:hint="eastAsia" w:ascii="宋体" w:hAnsi="宋体" w:eastAsia="宋体" w:cs="宋体"/>
                <w:color w:val="000000" w:themeColor="text1"/>
                <w:sz w:val="24"/>
                <w:szCs w:val="24"/>
                <w14:textFill>
                  <w14:solidFill>
                    <w14:schemeClr w14:val="tx1"/>
                  </w14:solidFill>
                </w14:textFill>
              </w:rPr>
            </w:pPr>
            <w:bookmarkStart w:id="307" w:name="_Toc16473"/>
            <w:bookmarkStart w:id="308" w:name="_Toc30904"/>
            <w:bookmarkStart w:id="309" w:name="_Toc30657"/>
            <w:r>
              <w:rPr>
                <w:rFonts w:hint="eastAsia" w:ascii="宋体" w:hAnsi="宋体" w:eastAsia="宋体" w:cs="宋体"/>
                <w:color w:val="000000" w:themeColor="text1"/>
                <w:sz w:val="24"/>
                <w:szCs w:val="24"/>
                <w14:textFill>
                  <w14:solidFill>
                    <w14:schemeClr w14:val="tx1"/>
                  </w14:solidFill>
                </w14:textFill>
              </w:rPr>
              <w:t>评分标准</w:t>
            </w:r>
            <w:bookmarkEnd w:id="307"/>
            <w:bookmarkEnd w:id="308"/>
            <w:bookmarkEnd w:id="309"/>
          </w:p>
        </w:tc>
      </w:tr>
      <w:tr w14:paraId="5A5F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02" w:type="dxa"/>
            <w:tcBorders>
              <w:top w:val="single" w:color="auto" w:sz="4" w:space="0"/>
              <w:left w:val="single" w:color="auto" w:sz="4" w:space="0"/>
              <w:bottom w:val="single" w:color="auto" w:sz="4" w:space="0"/>
              <w:right w:val="single" w:color="auto" w:sz="4" w:space="0"/>
            </w:tcBorders>
            <w:vAlign w:val="center"/>
          </w:tcPr>
          <w:p w14:paraId="7EFB61D6">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14:textFill>
                  <w14:solidFill>
                    <w14:schemeClr w14:val="tx1"/>
                  </w14:solidFill>
                </w14:textFill>
              </w:rPr>
            </w:pPr>
            <w:bookmarkStart w:id="310" w:name="_Toc15140"/>
            <w:bookmarkStart w:id="311" w:name="_Toc29410"/>
            <w:bookmarkStart w:id="312" w:name="_Toc30068"/>
            <w:r>
              <w:rPr>
                <w:rFonts w:hint="eastAsia" w:ascii="宋体" w:hAnsi="宋体" w:eastAsia="宋体" w:cs="宋体"/>
                <w:color w:val="000000" w:themeColor="text1"/>
                <w:sz w:val="24"/>
                <w:szCs w:val="24"/>
                <w14:textFill>
                  <w14:solidFill>
                    <w14:schemeClr w14:val="tx1"/>
                  </w14:solidFill>
                </w14:textFill>
              </w:rPr>
              <w:t>响应报价</w:t>
            </w:r>
            <w:bookmarkEnd w:id="310"/>
            <w:bookmarkEnd w:id="311"/>
            <w:bookmarkEnd w:id="312"/>
          </w:p>
          <w:p w14:paraId="099B4593">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14:textFill>
                  <w14:solidFill>
                    <w14:schemeClr w14:val="tx1"/>
                  </w14:solidFill>
                </w14:textFill>
              </w:rPr>
            </w:pPr>
            <w:bookmarkStart w:id="313" w:name="_Toc5687"/>
            <w:bookmarkStart w:id="314" w:name="_Toc22880"/>
            <w:bookmarkStart w:id="315" w:name="_Toc4180"/>
            <w:r>
              <w:rPr>
                <w:rFonts w:hint="eastAsia" w:ascii="宋体" w:hAnsi="宋体" w:eastAsia="宋体" w:cs="宋体"/>
                <w:color w:val="000000" w:themeColor="text1"/>
                <w:sz w:val="24"/>
                <w:szCs w:val="24"/>
                <w14:textFill>
                  <w14:solidFill>
                    <w14:schemeClr w14:val="tx1"/>
                  </w14:solidFill>
                </w14:textFill>
              </w:rPr>
              <w:t>（60分）</w:t>
            </w:r>
            <w:bookmarkEnd w:id="313"/>
            <w:bookmarkEnd w:id="314"/>
            <w:bookmarkEnd w:id="315"/>
          </w:p>
        </w:tc>
        <w:tc>
          <w:tcPr>
            <w:tcW w:w="7159" w:type="dxa"/>
            <w:tcBorders>
              <w:top w:val="single" w:color="auto" w:sz="4" w:space="0"/>
              <w:left w:val="single" w:color="auto" w:sz="4" w:space="0"/>
              <w:right w:val="single" w:color="auto" w:sz="4" w:space="0"/>
            </w:tcBorders>
            <w:vAlign w:val="center"/>
          </w:tcPr>
          <w:p w14:paraId="09138E5E">
            <w:pPr>
              <w:autoSpaceDE w:val="0"/>
              <w:autoSpaceDN w:val="0"/>
              <w:snapToGrid w:val="0"/>
              <w:spacing w:beforeLines="0" w:afterLines="0" w:line="360" w:lineRule="auto"/>
              <w:ind w:firstLine="444" w:firstLineChars="185"/>
              <w:outlineLvl w:val="9"/>
              <w:rPr>
                <w:rFonts w:hint="eastAsia" w:ascii="宋体" w:hAnsi="宋体" w:eastAsia="宋体" w:cs="宋体"/>
                <w:color w:val="000000" w:themeColor="text1"/>
                <w:sz w:val="24"/>
                <w:szCs w:val="24"/>
                <w14:textFill>
                  <w14:solidFill>
                    <w14:schemeClr w14:val="tx1"/>
                  </w14:solidFill>
                </w14:textFill>
              </w:rPr>
            </w:pPr>
            <w:bookmarkStart w:id="316" w:name="_Toc54"/>
            <w:bookmarkStart w:id="317" w:name="_Toc14877"/>
            <w:bookmarkStart w:id="318" w:name="_Toc21843"/>
            <w:r>
              <w:rPr>
                <w:rFonts w:hint="eastAsia" w:ascii="宋体" w:hAnsi="宋体" w:eastAsia="宋体" w:cs="宋体"/>
                <w:color w:val="000000" w:themeColor="text1"/>
                <w:sz w:val="24"/>
                <w:szCs w:val="24"/>
                <w14:textFill>
                  <w14:solidFill>
                    <w14:schemeClr w14:val="tx1"/>
                  </w14:solidFill>
                </w14:textFill>
              </w:rPr>
              <w:t>以</w:t>
            </w:r>
            <w:r>
              <w:rPr>
                <w:rFonts w:hint="eastAsia" w:ascii="宋体" w:hAnsi="宋体" w:eastAsia="宋体" w:cs="宋体"/>
                <w:color w:val="000000" w:themeColor="text1"/>
                <w:sz w:val="24"/>
                <w:szCs w:val="24"/>
                <w:lang w:val="en-US" w:eastAsia="zh-CN"/>
                <w14:textFill>
                  <w14:solidFill>
                    <w14:schemeClr w14:val="tx1"/>
                  </w14:solidFill>
                </w14:textFill>
              </w:rPr>
              <w:t>供应商所报的</w:t>
            </w:r>
            <w:r>
              <w:rPr>
                <w:rFonts w:hint="eastAsia" w:ascii="宋体" w:hAnsi="宋体" w:eastAsia="宋体" w:cs="宋体"/>
                <w:color w:val="000000" w:themeColor="text1"/>
                <w:sz w:val="24"/>
                <w:szCs w:val="24"/>
                <w14:textFill>
                  <w14:solidFill>
                    <w14:schemeClr w14:val="tx1"/>
                  </w14:solidFill>
                </w14:textFill>
              </w:rPr>
              <w:t>有效的最低价格折扣比例为评审基准价格折扣比例，其价格分为满分，其他供应商的价格分统一按照下列公式计算：</w:t>
            </w:r>
          </w:p>
          <w:p w14:paraId="718454F3">
            <w:pPr>
              <w:autoSpaceDE w:val="0"/>
              <w:autoSpaceDN w:val="0"/>
              <w:snapToGrid w:val="0"/>
              <w:spacing w:beforeLines="0" w:afterLines="0" w:line="360" w:lineRule="auto"/>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响应报价得分＝（评审基准价格折扣比例/响应价格折扣比例）×60(得分保留小数点后两位）</w:t>
            </w:r>
          </w:p>
          <w:p w14:paraId="4D04B9EB">
            <w:pPr>
              <w:snapToGrid w:val="0"/>
              <w:spacing w:beforeLines="0" w:afterLines="0" w:line="360" w:lineRule="auto"/>
              <w:ind w:firstLine="475" w:firstLineChars="198"/>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注：价格折扣比例=(产品报价/磋商</w:t>
            </w:r>
            <w:r>
              <w:rPr>
                <w:rFonts w:hint="eastAsia" w:ascii="宋体" w:hAnsi="宋体" w:eastAsia="宋体" w:cs="宋体"/>
                <w:sz w:val="24"/>
                <w:szCs w:val="24"/>
                <w:lang w:val="en-US" w:eastAsia="zh-CN"/>
              </w:rPr>
              <w:t>开启日</w:t>
            </w:r>
            <w:r>
              <w:rPr>
                <w:rFonts w:hint="eastAsia" w:ascii="宋体" w:hAnsi="宋体" w:eastAsia="宋体" w:cs="宋体"/>
                <w:sz w:val="24"/>
                <w:szCs w:val="24"/>
              </w:rPr>
              <w:t>前2年</w:t>
            </w:r>
            <w:r>
              <w:rPr>
                <w:rFonts w:hint="eastAsia" w:ascii="宋体" w:hAnsi="宋体" w:eastAsia="宋体" w:cs="宋体"/>
                <w:sz w:val="24"/>
                <w:szCs w:val="24"/>
                <w:lang w:val="en-US" w:eastAsia="zh-CN"/>
              </w:rPr>
              <w:t>内</w:t>
            </w:r>
            <w:r>
              <w:rPr>
                <w:rFonts w:hint="eastAsia" w:ascii="宋体" w:hAnsi="宋体" w:eastAsia="宋体" w:cs="宋体"/>
                <w:sz w:val="24"/>
                <w:szCs w:val="24"/>
              </w:rPr>
              <w:t>供应江苏区域最新市场销售价格)×100%。价格折扣比例&gt;100%的</w:t>
            </w:r>
            <w:r>
              <w:rPr>
                <w:rFonts w:hint="eastAsia" w:ascii="宋体" w:hAnsi="宋体" w:eastAsia="宋体" w:cs="宋体"/>
                <w:color w:val="000000" w:themeColor="text1"/>
                <w:sz w:val="24"/>
                <w:szCs w:val="24"/>
                <w14:textFill>
                  <w14:solidFill>
                    <w14:schemeClr w14:val="tx1"/>
                  </w14:solidFill>
                </w14:textFill>
              </w:rPr>
              <w:t>，不得分。</w:t>
            </w:r>
            <w:bookmarkEnd w:id="316"/>
            <w:bookmarkEnd w:id="317"/>
            <w:bookmarkEnd w:id="318"/>
          </w:p>
        </w:tc>
      </w:tr>
      <w:tr w14:paraId="019E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02" w:type="dxa"/>
            <w:tcBorders>
              <w:left w:val="single" w:color="auto" w:sz="4" w:space="0"/>
              <w:right w:val="single" w:color="auto" w:sz="4" w:space="0"/>
            </w:tcBorders>
            <w:vAlign w:val="center"/>
          </w:tcPr>
          <w:p w14:paraId="29F5806B">
            <w:pPr>
              <w:autoSpaceDE w:val="0"/>
              <w:autoSpaceDN w:val="0"/>
              <w:snapToGrid w:val="0"/>
              <w:spacing w:beforeLines="0" w:afterLines="0" w:line="360" w:lineRule="auto"/>
              <w:jc w:val="center"/>
              <w:outlineLvl w:val="9"/>
              <w:rPr>
                <w:rFonts w:hint="eastAsia" w:ascii="宋体" w:hAnsi="宋体" w:eastAsia="宋体" w:cs="宋体"/>
                <w:sz w:val="24"/>
                <w:szCs w:val="24"/>
              </w:rPr>
            </w:pPr>
            <w:bookmarkStart w:id="319" w:name="_Toc2556"/>
            <w:bookmarkStart w:id="320" w:name="_Toc4819"/>
            <w:bookmarkStart w:id="321" w:name="_Toc19317"/>
          </w:p>
          <w:p w14:paraId="49671BC5">
            <w:pPr>
              <w:autoSpaceDE w:val="0"/>
              <w:autoSpaceDN w:val="0"/>
              <w:snapToGrid w:val="0"/>
              <w:spacing w:beforeLines="0" w:afterLines="0" w:line="360" w:lineRule="auto"/>
              <w:jc w:val="center"/>
              <w:outlineLvl w:val="9"/>
              <w:rPr>
                <w:rFonts w:hint="eastAsia" w:ascii="宋体" w:hAnsi="宋体" w:eastAsia="宋体" w:cs="宋体"/>
                <w:sz w:val="24"/>
                <w:szCs w:val="24"/>
              </w:rPr>
            </w:pPr>
          </w:p>
          <w:p w14:paraId="0FE4C7BE">
            <w:pPr>
              <w:autoSpaceDE w:val="0"/>
              <w:autoSpaceDN w:val="0"/>
              <w:snapToGrid w:val="0"/>
              <w:spacing w:beforeLines="0" w:afterLines="0"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认证证书</w:t>
            </w:r>
            <w:bookmarkEnd w:id="319"/>
            <w:bookmarkEnd w:id="320"/>
            <w:bookmarkEnd w:id="321"/>
          </w:p>
          <w:p w14:paraId="22528714">
            <w:pPr>
              <w:autoSpaceDE w:val="0"/>
              <w:autoSpaceDN w:val="0"/>
              <w:snapToGrid w:val="0"/>
              <w:spacing w:beforeLines="0" w:afterLines="0" w:line="360" w:lineRule="auto"/>
              <w:jc w:val="center"/>
              <w:outlineLvl w:val="9"/>
              <w:rPr>
                <w:rFonts w:hint="eastAsia" w:ascii="宋体" w:hAnsi="宋体" w:eastAsia="宋体" w:cs="宋体"/>
                <w:sz w:val="24"/>
                <w:szCs w:val="24"/>
                <w:lang w:val="zh-CN"/>
              </w:rPr>
            </w:pPr>
            <w:bookmarkStart w:id="322" w:name="_Toc22204"/>
            <w:bookmarkStart w:id="323" w:name="_Toc15253"/>
            <w:bookmarkStart w:id="324" w:name="_Toc19349"/>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bookmarkEnd w:id="322"/>
            <w:bookmarkEnd w:id="323"/>
            <w:bookmarkEnd w:id="324"/>
          </w:p>
        </w:tc>
        <w:tc>
          <w:tcPr>
            <w:tcW w:w="7159" w:type="dxa"/>
            <w:tcBorders>
              <w:top w:val="single" w:color="auto" w:sz="4" w:space="0"/>
              <w:left w:val="single" w:color="auto" w:sz="4" w:space="0"/>
              <w:bottom w:val="single" w:color="auto" w:sz="4" w:space="0"/>
              <w:right w:val="single" w:color="auto" w:sz="4" w:space="0"/>
            </w:tcBorders>
            <w:vAlign w:val="center"/>
          </w:tcPr>
          <w:p w14:paraId="2E4B646F">
            <w:pPr>
              <w:autoSpaceDE w:val="0"/>
              <w:autoSpaceDN w:val="0"/>
              <w:snapToGrid w:val="0"/>
              <w:spacing w:beforeLines="0" w:afterLines="0" w:line="360" w:lineRule="auto"/>
              <w:ind w:firstLine="480" w:firstLineChars="200"/>
              <w:outlineLvl w:val="9"/>
              <w:rPr>
                <w:rFonts w:hint="eastAsia" w:ascii="宋体" w:hAnsi="宋体" w:eastAsia="宋体" w:cs="宋体"/>
                <w:sz w:val="24"/>
                <w:szCs w:val="24"/>
              </w:rPr>
            </w:pPr>
            <w:bookmarkStart w:id="325" w:name="_Toc1838"/>
            <w:bookmarkStart w:id="326" w:name="_Toc28313"/>
            <w:bookmarkStart w:id="327" w:name="_Toc19212"/>
            <w:r>
              <w:rPr>
                <w:rFonts w:hint="eastAsia" w:ascii="宋体" w:hAnsi="宋体" w:eastAsia="宋体" w:cs="宋体"/>
                <w:sz w:val="24"/>
                <w:szCs w:val="24"/>
                <w:lang w:val="en-US" w:eastAsia="zh-CN"/>
              </w:rPr>
              <w:t>供应商</w:t>
            </w:r>
            <w:r>
              <w:rPr>
                <w:rFonts w:hint="eastAsia" w:ascii="宋体" w:hAnsi="宋体" w:eastAsia="宋体" w:cs="宋体"/>
                <w:sz w:val="24"/>
                <w:szCs w:val="24"/>
              </w:rPr>
              <w:t>提供截止磋商开启日有效期内的质量管理体系认证证书、环境体系认证证书或职业健康安全体系认证证书，每提供一项认证证书得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以上所述认证证书须提供认证证书复印件并加盖公章；认证证书获得时间须在磋商公告发布之日前并且在有效期内，并且在全国认证认可信息公共服务平台查询（http://cx.cnca.cn/CertECloud/index/index/page），提供截图并加盖公章。否则不予认定。）</w:t>
            </w:r>
            <w:bookmarkEnd w:id="325"/>
            <w:bookmarkEnd w:id="326"/>
            <w:bookmarkEnd w:id="327"/>
          </w:p>
        </w:tc>
      </w:tr>
      <w:tr w14:paraId="51C7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02" w:type="dxa"/>
            <w:tcBorders>
              <w:left w:val="single" w:color="auto" w:sz="4" w:space="0"/>
              <w:right w:val="single" w:color="auto" w:sz="4" w:space="0"/>
            </w:tcBorders>
            <w:vAlign w:val="center"/>
          </w:tcPr>
          <w:p w14:paraId="1ABDFEF8">
            <w:pPr>
              <w:autoSpaceDE w:val="0"/>
              <w:autoSpaceDN w:val="0"/>
              <w:snapToGrid w:val="0"/>
              <w:spacing w:beforeLines="0" w:afterLines="0" w:line="360" w:lineRule="auto"/>
              <w:jc w:val="center"/>
              <w:outlineLvl w:val="9"/>
              <w:rPr>
                <w:rFonts w:hint="eastAsia" w:ascii="宋体" w:hAnsi="宋体" w:eastAsia="宋体" w:cs="宋体"/>
                <w:sz w:val="24"/>
                <w:szCs w:val="24"/>
              </w:rPr>
            </w:pPr>
            <w:bookmarkStart w:id="328" w:name="_Toc10200"/>
            <w:bookmarkStart w:id="329" w:name="_Toc20323"/>
            <w:bookmarkStart w:id="330" w:name="_Toc3554"/>
            <w:r>
              <w:rPr>
                <w:rFonts w:hint="eastAsia" w:ascii="宋体" w:hAnsi="宋体" w:eastAsia="宋体" w:cs="宋体"/>
                <w:sz w:val="24"/>
                <w:szCs w:val="24"/>
                <w:lang w:val="en-US" w:eastAsia="zh-CN"/>
              </w:rPr>
              <w:t>类似</w:t>
            </w:r>
            <w:r>
              <w:rPr>
                <w:rFonts w:hint="eastAsia" w:ascii="宋体" w:hAnsi="宋体" w:eastAsia="宋体" w:cs="宋体"/>
                <w:sz w:val="24"/>
                <w:szCs w:val="24"/>
              </w:rPr>
              <w:t>业绩</w:t>
            </w:r>
          </w:p>
          <w:p w14:paraId="5349EEB3">
            <w:pPr>
              <w:autoSpaceDE w:val="0"/>
              <w:autoSpaceDN w:val="0"/>
              <w:snapToGrid w:val="0"/>
              <w:spacing w:beforeLines="0" w:afterLines="0"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7159" w:type="dxa"/>
            <w:tcBorders>
              <w:top w:val="single" w:color="auto" w:sz="4" w:space="0"/>
              <w:left w:val="single" w:color="auto" w:sz="4" w:space="0"/>
              <w:bottom w:val="single" w:color="auto" w:sz="4" w:space="0"/>
              <w:right w:val="single" w:color="auto" w:sz="4" w:space="0"/>
            </w:tcBorders>
            <w:vAlign w:val="center"/>
          </w:tcPr>
          <w:p w14:paraId="15D36236">
            <w:pPr>
              <w:autoSpaceDE w:val="0"/>
              <w:autoSpaceDN w:val="0"/>
              <w:snapToGrid w:val="0"/>
              <w:spacing w:beforeLines="0" w:afterLines="0" w:line="360" w:lineRule="auto"/>
              <w:ind w:firstLine="480" w:firstLineChars="200"/>
              <w:outlineLvl w:val="9"/>
              <w:rPr>
                <w:rFonts w:hint="eastAsia" w:ascii="宋体" w:hAnsi="宋体" w:eastAsia="宋体" w:cs="宋体"/>
                <w:color w:val="0000FF"/>
                <w:sz w:val="24"/>
                <w:szCs w:val="24"/>
              </w:rPr>
            </w:pPr>
            <w:r>
              <w:rPr>
                <w:rFonts w:hint="eastAsia" w:ascii="宋体" w:hAnsi="宋体" w:eastAsia="宋体" w:cs="宋体"/>
                <w:bCs/>
                <w:sz w:val="24"/>
                <w:szCs w:val="24"/>
              </w:rPr>
              <w:t>根据</w:t>
            </w:r>
            <w:r>
              <w:rPr>
                <w:rFonts w:hint="eastAsia" w:hAnsi="宋体" w:eastAsia="宋体" w:cs="宋体"/>
                <w:bCs/>
                <w:sz w:val="24"/>
                <w:szCs w:val="24"/>
                <w:lang w:val="en-US" w:eastAsia="zh-CN"/>
              </w:rPr>
              <w:t>供应商</w:t>
            </w:r>
            <w:r>
              <w:rPr>
                <w:rFonts w:hint="eastAsia" w:ascii="宋体" w:hAnsi="宋体" w:eastAsia="宋体" w:cs="宋体"/>
                <w:bCs/>
                <w:sz w:val="24"/>
                <w:szCs w:val="24"/>
              </w:rPr>
              <w:t>提供的自2021年</w:t>
            </w:r>
            <w:r>
              <w:rPr>
                <w:rFonts w:hint="eastAsia" w:hAnsi="宋体" w:eastAsia="宋体" w:cs="宋体"/>
                <w:bCs/>
                <w:sz w:val="24"/>
                <w:szCs w:val="24"/>
                <w:lang w:val="en-US" w:eastAsia="zh-CN"/>
              </w:rPr>
              <w:t>9</w:t>
            </w:r>
            <w:r>
              <w:rPr>
                <w:rFonts w:hint="eastAsia" w:ascii="宋体" w:hAnsi="宋体" w:eastAsia="宋体" w:cs="宋体"/>
                <w:bCs/>
                <w:sz w:val="24"/>
                <w:szCs w:val="24"/>
              </w:rPr>
              <w:t>月1日以来（以合同签订日期为准</w:t>
            </w:r>
            <w:r>
              <w:rPr>
                <w:rFonts w:hint="eastAsia" w:ascii="宋体" w:hAnsi="宋体" w:eastAsia="宋体" w:cs="宋体"/>
                <w:sz w:val="24"/>
                <w:szCs w:val="24"/>
              </w:rPr>
              <w:t>）</w:t>
            </w:r>
            <w:r>
              <w:rPr>
                <w:rFonts w:hint="eastAsia" w:hAnsi="宋体" w:eastAsia="宋体" w:cs="宋体"/>
                <w:sz w:val="24"/>
                <w:szCs w:val="24"/>
                <w:lang w:val="en-US" w:eastAsia="zh-CN"/>
              </w:rPr>
              <w:t>类似项目</w:t>
            </w:r>
            <w:r>
              <w:rPr>
                <w:rFonts w:hint="eastAsia" w:ascii="宋体" w:hAnsi="宋体" w:eastAsia="宋体" w:cs="宋体"/>
                <w:sz w:val="24"/>
                <w:szCs w:val="24"/>
              </w:rPr>
              <w:t>业绩</w:t>
            </w:r>
            <w:r>
              <w:rPr>
                <w:rFonts w:hint="eastAsia" w:hAnsi="宋体" w:eastAsia="宋体" w:cs="宋体"/>
                <w:sz w:val="24"/>
                <w:szCs w:val="24"/>
                <w:lang w:val="en-US" w:eastAsia="zh-CN"/>
              </w:rPr>
              <w:t>进行评分</w:t>
            </w:r>
            <w:r>
              <w:rPr>
                <w:rFonts w:hint="eastAsia" w:ascii="宋体" w:hAnsi="宋体" w:eastAsia="宋体" w:cs="宋体"/>
                <w:sz w:val="24"/>
                <w:szCs w:val="24"/>
              </w:rPr>
              <w:t>，每提供一项业绩得2分,本项最高得1</w:t>
            </w:r>
            <w:r>
              <w:rPr>
                <w:rFonts w:hint="eastAsia" w:ascii="宋体" w:hAnsi="宋体" w:eastAsia="宋体" w:cs="宋体"/>
                <w:sz w:val="24"/>
                <w:szCs w:val="24"/>
                <w:lang w:val="en-US" w:eastAsia="zh-CN"/>
              </w:rPr>
              <w:t>0</w:t>
            </w:r>
            <w:r>
              <w:rPr>
                <w:rFonts w:hint="eastAsia" w:ascii="宋体" w:hAnsi="宋体" w:eastAsia="宋体" w:cs="宋体"/>
                <w:sz w:val="24"/>
                <w:szCs w:val="24"/>
              </w:rPr>
              <w:t>分。【</w:t>
            </w:r>
            <w:r>
              <w:rPr>
                <w:rFonts w:hint="eastAsia" w:ascii="宋体" w:hAnsi="宋体" w:eastAsia="宋体" w:cs="宋体"/>
                <w:color w:val="auto"/>
                <w:sz w:val="24"/>
                <w:szCs w:val="24"/>
                <w:lang w:val="en-US" w:eastAsia="zh-CN"/>
              </w:rPr>
              <w:t>按照</w:t>
            </w:r>
            <w:r>
              <w:rPr>
                <w:rFonts w:hint="eastAsia" w:ascii="宋体" w:hAnsi="宋体" w:eastAsia="宋体" w:cs="宋体"/>
                <w:b/>
                <w:bCs/>
                <w:color w:val="auto"/>
                <w:sz w:val="24"/>
                <w:szCs w:val="24"/>
              </w:rPr>
              <w:t>格式10</w:t>
            </w:r>
            <w:r>
              <w:rPr>
                <w:rFonts w:hint="eastAsia" w:ascii="宋体" w:hAnsi="宋体" w:eastAsia="宋体" w:cs="宋体"/>
                <w:color w:val="auto"/>
                <w:sz w:val="24"/>
                <w:szCs w:val="24"/>
              </w:rPr>
              <w:t>提供</w:t>
            </w:r>
            <w:r>
              <w:rPr>
                <w:rFonts w:hint="eastAsia" w:hAnsi="宋体" w:eastAsia="宋体" w:cs="宋体"/>
                <w:color w:val="auto"/>
                <w:sz w:val="24"/>
                <w:szCs w:val="24"/>
                <w:lang w:val="en-US" w:eastAsia="zh-CN"/>
              </w:rPr>
              <w:t>类似</w:t>
            </w:r>
            <w:r>
              <w:rPr>
                <w:rFonts w:hint="eastAsia" w:ascii="宋体" w:hAnsi="宋体" w:eastAsia="宋体" w:cs="宋体"/>
                <w:color w:val="auto"/>
                <w:sz w:val="24"/>
                <w:szCs w:val="24"/>
              </w:rPr>
              <w:t>业绩</w:t>
            </w:r>
            <w:r>
              <w:rPr>
                <w:rFonts w:hint="eastAsia" w:hAnsi="宋体" w:eastAsia="宋体" w:cs="宋体"/>
                <w:color w:val="auto"/>
                <w:sz w:val="24"/>
                <w:szCs w:val="24"/>
                <w:lang w:val="en-US" w:eastAsia="zh-CN"/>
              </w:rPr>
              <w:t>情况</w:t>
            </w:r>
            <w:r>
              <w:rPr>
                <w:rFonts w:hint="eastAsia" w:ascii="宋体" w:hAnsi="宋体" w:eastAsia="宋体" w:cs="宋体"/>
                <w:color w:val="auto"/>
                <w:sz w:val="24"/>
                <w:szCs w:val="24"/>
              </w:rPr>
              <w:t>表，</w:t>
            </w:r>
            <w:r>
              <w:rPr>
                <w:rFonts w:hint="eastAsia" w:ascii="宋体" w:hAnsi="宋体" w:eastAsia="宋体" w:cs="宋体"/>
                <w:sz w:val="24"/>
                <w:szCs w:val="24"/>
                <w:lang w:val="en-US" w:eastAsia="zh-CN"/>
              </w:rPr>
              <w:t>并</w:t>
            </w:r>
            <w:r>
              <w:rPr>
                <w:rFonts w:hint="eastAsia" w:ascii="宋体" w:hAnsi="宋体" w:eastAsia="宋体" w:cs="宋体"/>
                <w:sz w:val="24"/>
                <w:szCs w:val="24"/>
              </w:rPr>
              <w:t>须提供相应业绩对应的合同（或协议）复印件和对应项目合同（或协议）期内与付款进度对应的付款发票复印件，加盖</w:t>
            </w:r>
            <w:r>
              <w:rPr>
                <w:rFonts w:hint="eastAsia" w:hAnsi="宋体" w:eastAsia="宋体" w:cs="宋体"/>
                <w:sz w:val="24"/>
                <w:szCs w:val="24"/>
                <w:lang w:val="en-US" w:eastAsia="zh-CN"/>
              </w:rPr>
              <w:t>供应商</w:t>
            </w:r>
            <w:r>
              <w:rPr>
                <w:rFonts w:hint="eastAsia" w:ascii="宋体" w:hAnsi="宋体" w:eastAsia="宋体" w:cs="宋体"/>
                <w:sz w:val="24"/>
                <w:szCs w:val="24"/>
              </w:rPr>
              <w:t>公章（发票中不能体现合同信息的，须提供</w:t>
            </w:r>
            <w:r>
              <w:rPr>
                <w:rFonts w:hint="eastAsia" w:hAnsi="宋体" w:eastAsia="宋体" w:cs="宋体"/>
                <w:sz w:val="24"/>
                <w:szCs w:val="24"/>
                <w:lang w:val="en-US" w:eastAsia="zh-CN"/>
              </w:rPr>
              <w:t>业主单位</w:t>
            </w:r>
            <w:r>
              <w:rPr>
                <w:rFonts w:hint="eastAsia" w:ascii="宋体" w:hAnsi="宋体" w:eastAsia="宋体" w:cs="宋体"/>
                <w:sz w:val="24"/>
                <w:szCs w:val="24"/>
              </w:rPr>
              <w:t>盖章的证明材料，证明材料中须明确，发票与合同对应）未提供或提供不全的均不得分。原件备查】</w:t>
            </w:r>
          </w:p>
        </w:tc>
      </w:tr>
      <w:tr w14:paraId="4942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602" w:type="dxa"/>
            <w:tcBorders>
              <w:top w:val="single" w:color="auto" w:sz="4" w:space="0"/>
              <w:left w:val="single" w:color="auto" w:sz="4" w:space="0"/>
              <w:bottom w:val="single" w:color="auto" w:sz="4" w:space="0"/>
              <w:right w:val="single" w:color="auto" w:sz="4" w:space="0"/>
            </w:tcBorders>
            <w:vAlign w:val="center"/>
          </w:tcPr>
          <w:p w14:paraId="7A1ECB85">
            <w:pPr>
              <w:autoSpaceDE w:val="0"/>
              <w:autoSpaceDN w:val="0"/>
              <w:snapToGrid w:val="0"/>
              <w:spacing w:beforeLines="0" w:afterLines="0" w:line="360" w:lineRule="auto"/>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增值服务</w:t>
            </w:r>
            <w:r>
              <w:rPr>
                <w:rFonts w:hint="eastAsia" w:ascii="宋体" w:hAnsi="宋体" w:eastAsia="宋体" w:cs="宋体"/>
                <w:sz w:val="24"/>
                <w:szCs w:val="24"/>
              </w:rPr>
              <w:t xml:space="preserve">   </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r>
              <w:rPr>
                <w:rFonts w:hint="eastAsia" w:ascii="宋体" w:hAnsi="宋体" w:eastAsia="宋体" w:cs="宋体"/>
                <w:sz w:val="24"/>
                <w:szCs w:val="24"/>
                <w:lang w:val="zh-CN"/>
              </w:rPr>
              <w:t>）</w:t>
            </w:r>
          </w:p>
        </w:tc>
        <w:tc>
          <w:tcPr>
            <w:tcW w:w="7159" w:type="dxa"/>
            <w:tcBorders>
              <w:top w:val="single" w:color="auto" w:sz="4" w:space="0"/>
              <w:left w:val="single" w:color="auto" w:sz="4" w:space="0"/>
              <w:bottom w:val="single" w:color="auto" w:sz="4" w:space="0"/>
              <w:right w:val="single" w:color="auto" w:sz="4" w:space="0"/>
            </w:tcBorders>
            <w:vAlign w:val="center"/>
          </w:tcPr>
          <w:p w14:paraId="5DD2B4B5">
            <w:pPr>
              <w:autoSpaceDE w:val="0"/>
              <w:autoSpaceDN w:val="0"/>
              <w:snapToGrid w:val="0"/>
              <w:spacing w:beforeLines="0" w:afterLines="0" w:line="360" w:lineRule="auto"/>
              <w:ind w:firstLine="480" w:firstLineChars="20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根据供应商提供的增值服务承诺进行评分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承诺书格式</w:t>
            </w:r>
            <w:r>
              <w:rPr>
                <w:rFonts w:hint="eastAsia" w:ascii="宋体" w:hAnsi="宋体" w:eastAsia="宋体" w:cs="宋体"/>
                <w:b w:val="0"/>
                <w:bCs w:val="0"/>
                <w:color w:val="auto"/>
                <w:sz w:val="24"/>
                <w:szCs w:val="24"/>
              </w:rPr>
              <w:t>见</w:t>
            </w:r>
            <w:r>
              <w:rPr>
                <w:rFonts w:hint="eastAsia" w:ascii="宋体" w:hAnsi="宋体" w:eastAsia="宋体" w:cs="宋体"/>
                <w:b/>
                <w:bCs/>
                <w:color w:val="auto"/>
                <w:sz w:val="24"/>
                <w:szCs w:val="24"/>
              </w:rPr>
              <w:t>格式11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3D7B7AF6">
            <w:pPr>
              <w:autoSpaceDE w:val="0"/>
              <w:autoSpaceDN w:val="0"/>
              <w:snapToGrid w:val="0"/>
              <w:spacing w:beforeLines="0" w:afterLines="0" w:line="360" w:lineRule="auto"/>
              <w:ind w:firstLine="240" w:firstLineChars="1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供应商承诺</w:t>
            </w:r>
            <w:r>
              <w:rPr>
                <w:rFonts w:hint="eastAsia" w:ascii="宋体" w:hAnsi="宋体" w:eastAsia="宋体" w:cs="宋体"/>
                <w:color w:val="auto"/>
                <w:sz w:val="24"/>
                <w:szCs w:val="24"/>
              </w:rPr>
              <w:t>在产品全生命周期内提供维保服务及原厂易损零配件供应</w:t>
            </w:r>
            <w:r>
              <w:rPr>
                <w:rFonts w:hint="eastAsia" w:ascii="宋体" w:hAnsi="宋体" w:eastAsia="宋体" w:cs="宋体"/>
                <w:color w:val="auto"/>
                <w:sz w:val="24"/>
                <w:szCs w:val="24"/>
                <w:lang w:val="en-US" w:eastAsia="zh-CN"/>
              </w:rPr>
              <w:t>且</w:t>
            </w:r>
            <w:r>
              <w:rPr>
                <w:rFonts w:hint="eastAsia" w:ascii="宋体" w:hAnsi="宋体" w:eastAsia="宋体" w:cs="宋体"/>
                <w:color w:val="auto"/>
                <w:sz w:val="24"/>
                <w:szCs w:val="24"/>
              </w:rPr>
              <w:t>承诺零配件价格不高于市场价</w:t>
            </w:r>
            <w:r>
              <w:rPr>
                <w:rFonts w:hint="eastAsia" w:ascii="宋体" w:hAnsi="宋体" w:eastAsia="宋体" w:cs="宋体"/>
                <w:color w:val="auto"/>
                <w:sz w:val="24"/>
                <w:szCs w:val="24"/>
                <w:lang w:val="en-US" w:eastAsia="zh-CN"/>
              </w:rPr>
              <w:t>90%的，得3分；</w:t>
            </w:r>
            <w:r>
              <w:rPr>
                <w:rFonts w:hint="eastAsia" w:ascii="宋体" w:hAnsi="宋体" w:eastAsia="宋体" w:cs="宋体"/>
                <w:color w:val="auto"/>
                <w:sz w:val="24"/>
                <w:szCs w:val="24"/>
              </w:rPr>
              <w:t>承诺零配件价格不高于市场价</w:t>
            </w:r>
            <w:r>
              <w:rPr>
                <w:rFonts w:hint="eastAsia" w:ascii="宋体" w:hAnsi="宋体" w:eastAsia="宋体" w:cs="宋体"/>
                <w:color w:val="auto"/>
                <w:sz w:val="24"/>
                <w:szCs w:val="24"/>
                <w:lang w:val="en-US" w:eastAsia="zh-CN"/>
              </w:rPr>
              <w:t>80%的，得4分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提供承诺</w:t>
            </w:r>
            <w:r>
              <w:rPr>
                <w:rFonts w:hint="eastAsia" w:ascii="宋体" w:hAnsi="宋体" w:eastAsia="宋体" w:cs="宋体"/>
                <w:color w:val="auto"/>
                <w:sz w:val="24"/>
                <w:szCs w:val="24"/>
                <w:lang w:val="en-US" w:eastAsia="zh-CN"/>
              </w:rPr>
              <w:t>书</w:t>
            </w:r>
            <w:r>
              <w:rPr>
                <w:rFonts w:hint="eastAsia" w:ascii="宋体" w:hAnsi="宋体" w:eastAsia="宋体" w:cs="宋体"/>
                <w:color w:val="auto"/>
                <w:sz w:val="24"/>
                <w:szCs w:val="24"/>
              </w:rPr>
              <w:t>并附各设备易损零配件价格清单</w:t>
            </w:r>
            <w:r>
              <w:rPr>
                <w:rFonts w:hint="eastAsia" w:ascii="宋体" w:hAnsi="宋体" w:eastAsia="宋体" w:cs="宋体"/>
                <w:color w:val="auto"/>
                <w:sz w:val="24"/>
                <w:szCs w:val="24"/>
                <w:lang w:eastAsia="zh-CN"/>
              </w:rPr>
              <w:t>】</w:t>
            </w:r>
          </w:p>
          <w:p w14:paraId="49E66382">
            <w:pPr>
              <w:autoSpaceDE w:val="0"/>
              <w:autoSpaceDN w:val="0"/>
              <w:snapToGrid w:val="0"/>
              <w:spacing w:beforeLines="0" w:afterLines="0" w:line="360" w:lineRule="auto"/>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承诺在</w:t>
            </w:r>
            <w:r>
              <w:rPr>
                <w:rFonts w:hint="eastAsia" w:ascii="宋体" w:hAnsi="宋体" w:eastAsia="宋体" w:cs="宋体"/>
                <w:color w:val="auto"/>
                <w:sz w:val="24"/>
                <w:szCs w:val="24"/>
                <w:lang w:val="en-US" w:eastAsia="zh-CN"/>
              </w:rPr>
              <w:t>设备</w:t>
            </w:r>
            <w:r>
              <w:rPr>
                <w:rFonts w:hint="eastAsia" w:hAnsi="宋体" w:eastAsia="宋体" w:cs="宋体"/>
                <w:color w:val="auto"/>
                <w:sz w:val="24"/>
                <w:szCs w:val="24"/>
                <w:lang w:val="en-US" w:eastAsia="zh-CN"/>
              </w:rPr>
              <w:t>整机</w:t>
            </w:r>
            <w:r>
              <w:rPr>
                <w:rFonts w:hint="eastAsia" w:ascii="宋体" w:hAnsi="宋体" w:eastAsia="宋体" w:cs="宋体"/>
                <w:color w:val="auto"/>
                <w:sz w:val="24"/>
                <w:szCs w:val="24"/>
              </w:rPr>
              <w:t>2年</w:t>
            </w:r>
            <w:r>
              <w:rPr>
                <w:rFonts w:hint="eastAsia" w:hAnsi="宋体" w:eastAsia="宋体" w:cs="宋体"/>
                <w:color w:val="auto"/>
                <w:sz w:val="24"/>
                <w:szCs w:val="24"/>
                <w:lang w:val="en-US" w:eastAsia="zh-CN"/>
              </w:rPr>
              <w:t>免费</w:t>
            </w:r>
            <w:r>
              <w:rPr>
                <w:rFonts w:hint="eastAsia" w:ascii="宋体" w:hAnsi="宋体" w:eastAsia="宋体" w:cs="宋体"/>
                <w:color w:val="auto"/>
                <w:sz w:val="24"/>
                <w:szCs w:val="24"/>
              </w:rPr>
              <w:t>质保期基础上再延长1年</w:t>
            </w:r>
            <w:r>
              <w:rPr>
                <w:rFonts w:hint="eastAsia" w:hAnsi="宋体" w:eastAsia="宋体" w:cs="宋体"/>
                <w:color w:val="auto"/>
                <w:sz w:val="24"/>
                <w:szCs w:val="24"/>
                <w:lang w:val="en-US" w:eastAsia="zh-CN"/>
              </w:rPr>
              <w:t>免费</w:t>
            </w:r>
            <w:r>
              <w:rPr>
                <w:rFonts w:hint="eastAsia" w:ascii="宋体" w:hAnsi="宋体" w:eastAsia="宋体" w:cs="宋体"/>
                <w:color w:val="auto"/>
                <w:sz w:val="24"/>
                <w:szCs w:val="24"/>
              </w:rPr>
              <w:t>质保期的，得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7578E3F4">
            <w:pPr>
              <w:autoSpaceDE w:val="0"/>
              <w:autoSpaceDN w:val="0"/>
              <w:snapToGrid w:val="0"/>
              <w:spacing w:beforeLines="0" w:afterLines="0" w:line="360" w:lineRule="auto"/>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承诺</w:t>
            </w:r>
            <w:r>
              <w:rPr>
                <w:rFonts w:hint="eastAsia" w:hAnsi="宋体" w:eastAsia="宋体" w:cs="宋体"/>
                <w:color w:val="auto"/>
                <w:sz w:val="24"/>
                <w:szCs w:val="24"/>
                <w:lang w:val="en-US" w:eastAsia="zh-CN"/>
              </w:rPr>
              <w:t>能</w:t>
            </w:r>
            <w:r>
              <w:rPr>
                <w:rFonts w:hint="eastAsia" w:ascii="宋体" w:hAnsi="宋体" w:eastAsia="宋体" w:cs="宋体"/>
                <w:color w:val="auto"/>
                <w:sz w:val="24"/>
                <w:szCs w:val="24"/>
              </w:rPr>
              <w:t>供应所响应标段全品类设备的，得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根据承诺书及响应报价表中的设备清单进行评分</w:t>
            </w:r>
            <w:r>
              <w:rPr>
                <w:rFonts w:hint="eastAsia" w:ascii="宋体" w:hAnsi="宋体" w:eastAsia="宋体" w:cs="宋体"/>
                <w:color w:val="auto"/>
                <w:sz w:val="24"/>
                <w:szCs w:val="24"/>
                <w:lang w:eastAsia="zh-CN"/>
              </w:rPr>
              <w:t>】</w:t>
            </w:r>
          </w:p>
        </w:tc>
      </w:tr>
      <w:bookmarkEnd w:id="328"/>
      <w:bookmarkEnd w:id="329"/>
      <w:bookmarkEnd w:id="330"/>
      <w:tr w14:paraId="4441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02" w:type="dxa"/>
            <w:tcBorders>
              <w:left w:val="single" w:color="auto" w:sz="4" w:space="0"/>
              <w:right w:val="single" w:color="auto" w:sz="4" w:space="0"/>
            </w:tcBorders>
            <w:vAlign w:val="center"/>
          </w:tcPr>
          <w:p w14:paraId="4DB13F2D">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bookmarkStart w:id="331" w:name="_Toc31531"/>
            <w:bookmarkStart w:id="332" w:name="_Toc15034"/>
            <w:bookmarkStart w:id="333" w:name="_Toc22810"/>
          </w:p>
          <w:p w14:paraId="27A8B7D7">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43B75468">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29A8C0A6">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72895628">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1D8DA77F">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06B902B9">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06EDF57A">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72D0210C">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350005A9">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733E5245">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企业实力</w:t>
            </w:r>
          </w:p>
          <w:p w14:paraId="4FC65A8B">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bookmarkEnd w:id="331"/>
            <w:bookmarkEnd w:id="332"/>
            <w:bookmarkEnd w:id="333"/>
          </w:p>
        </w:tc>
        <w:tc>
          <w:tcPr>
            <w:tcW w:w="7159" w:type="dxa"/>
            <w:tcBorders>
              <w:top w:val="single" w:color="auto" w:sz="4" w:space="0"/>
              <w:left w:val="single" w:color="auto" w:sz="4" w:space="0"/>
              <w:bottom w:val="single" w:color="auto" w:sz="4" w:space="0"/>
              <w:right w:val="single" w:color="auto" w:sz="4" w:space="0"/>
            </w:tcBorders>
            <w:vAlign w:val="center"/>
          </w:tcPr>
          <w:p w14:paraId="33E3107B">
            <w:pPr>
              <w:autoSpaceDE w:val="0"/>
              <w:autoSpaceDN w:val="0"/>
              <w:snapToGrid w:val="0"/>
              <w:spacing w:beforeLines="0" w:afterLines="0" w:line="360" w:lineRule="auto"/>
              <w:ind w:firstLine="444" w:firstLineChars="185"/>
              <w:outlineLvl w:val="9"/>
              <w:rPr>
                <w:rFonts w:hint="eastAsia" w:ascii="宋体" w:hAnsi="宋体" w:eastAsia="宋体" w:cs="宋体"/>
                <w:sz w:val="24"/>
                <w:szCs w:val="24"/>
                <w:highlight w:val="none"/>
              </w:rPr>
            </w:pPr>
            <w:bookmarkStart w:id="334" w:name="_Toc16873"/>
            <w:bookmarkStart w:id="335" w:name="_Toc6668"/>
            <w:bookmarkStart w:id="336" w:name="_Toc20437"/>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提供的相关方案及证明材料</w:t>
            </w:r>
            <w:r>
              <w:rPr>
                <w:rFonts w:hint="eastAsia" w:ascii="宋体" w:hAnsi="宋体" w:eastAsia="宋体" w:cs="宋体"/>
                <w:sz w:val="24"/>
                <w:szCs w:val="24"/>
                <w:highlight w:val="none"/>
                <w:lang w:val="en-US" w:eastAsia="zh-CN"/>
              </w:rPr>
              <w:t>对企业实力</w:t>
            </w:r>
            <w:r>
              <w:rPr>
                <w:rFonts w:hint="eastAsia" w:ascii="宋体" w:hAnsi="宋体" w:eastAsia="宋体" w:cs="宋体"/>
                <w:sz w:val="24"/>
                <w:szCs w:val="24"/>
                <w:highlight w:val="none"/>
              </w:rPr>
              <w:t>进行综合评价：</w:t>
            </w:r>
          </w:p>
          <w:p w14:paraId="71B94B8A">
            <w:pPr>
              <w:autoSpaceDE w:val="0"/>
              <w:autoSpaceDN w:val="0"/>
              <w:snapToGrid w:val="0"/>
              <w:spacing w:beforeLines="0" w:afterLines="0" w:line="360" w:lineRule="auto"/>
              <w:ind w:firstLine="444" w:firstLineChars="18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（1）生产组织和供货能力（3分）。</w:t>
            </w:r>
            <w:r>
              <w:rPr>
                <w:rFonts w:hint="eastAsia" w:ascii="宋体" w:hAnsi="宋体" w:eastAsia="宋体" w:cs="宋体"/>
                <w:sz w:val="24"/>
                <w:szCs w:val="24"/>
                <w:highlight w:val="none"/>
                <w:lang w:val="en-US" w:eastAsia="zh-CN"/>
              </w:rPr>
              <w:t>根据供应商的生产组织和供货方案进行评分：供应商</w:t>
            </w:r>
            <w:r>
              <w:rPr>
                <w:rFonts w:hint="eastAsia" w:ascii="宋体" w:hAnsi="宋体" w:eastAsia="宋体" w:cs="宋体"/>
                <w:sz w:val="24"/>
                <w:szCs w:val="24"/>
                <w:highlight w:val="none"/>
              </w:rPr>
              <w:t>生产组织科学、先进，供货能力强的得3分；</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生产组织较为科学、先进，供货能力较强的得2分</w:t>
            </w:r>
            <w:r>
              <w:rPr>
                <w:rFonts w:hint="eastAsia" w:hAnsi="宋体" w:eastAsia="宋体" w:cs="宋体"/>
                <w:sz w:val="24"/>
                <w:szCs w:val="24"/>
                <w:highlight w:val="none"/>
                <w:lang w:eastAsia="zh-CN"/>
              </w:rPr>
              <w:t>；</w:t>
            </w:r>
            <w:r>
              <w:rPr>
                <w:rFonts w:hint="eastAsia" w:ascii="宋体" w:hAnsi="宋体" w:eastAsia="宋体" w:cs="宋体"/>
                <w:sz w:val="24"/>
                <w:szCs w:val="24"/>
                <w:highlight w:val="none"/>
              </w:rPr>
              <w:t>生产组织科学、先进</w:t>
            </w:r>
            <w:r>
              <w:rPr>
                <w:rFonts w:hint="eastAsia" w:hAnsi="宋体" w:eastAsia="宋体" w:cs="宋体"/>
                <w:sz w:val="24"/>
                <w:szCs w:val="24"/>
                <w:highlight w:val="none"/>
                <w:lang w:val="en-US" w:eastAsia="zh-CN"/>
              </w:rPr>
              <w:t>程度</w:t>
            </w:r>
            <w:r>
              <w:rPr>
                <w:rFonts w:hint="eastAsia" w:ascii="宋体" w:hAnsi="宋体" w:eastAsia="宋体" w:cs="宋体"/>
                <w:sz w:val="24"/>
                <w:szCs w:val="24"/>
                <w:highlight w:val="none"/>
              </w:rPr>
              <w:t>一般，供货能力一般的得1分。</w:t>
            </w:r>
            <w:r>
              <w:rPr>
                <w:rFonts w:hint="eastAsia" w:ascii="宋体" w:hAnsi="宋体" w:eastAsia="宋体" w:cs="宋体"/>
                <w:color w:val="000000" w:themeColor="text1"/>
                <w:sz w:val="24"/>
                <w:szCs w:val="24"/>
                <w:highlight w:val="none"/>
                <w14:textFill>
                  <w14:solidFill>
                    <w14:schemeClr w14:val="tx1"/>
                  </w14:solidFill>
                </w14:textFill>
              </w:rPr>
              <w:t>未提供方案的不得分。</w:t>
            </w:r>
          </w:p>
          <w:p w14:paraId="502E96A5">
            <w:pPr>
              <w:autoSpaceDE w:val="0"/>
              <w:autoSpaceDN w:val="0"/>
              <w:snapToGrid w:val="0"/>
              <w:spacing w:beforeLines="0" w:afterLines="0" w:line="360" w:lineRule="auto"/>
              <w:ind w:firstLine="444" w:firstLineChars="18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000000" w:themeColor="text1"/>
                <w:sz w:val="24"/>
                <w:szCs w:val="24"/>
                <w:highlight w:val="none"/>
                <w14:textFill>
                  <w14:solidFill>
                    <w14:schemeClr w14:val="tx1"/>
                  </w14:solidFill>
                </w14:textFill>
              </w:rPr>
              <w:t>企业市场认可度（3分）。企业市场认可度高的得3分，企业市场认可度较高的得2分，企业市场认可度一般的得1分。（提供客户评价等</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14:textFill>
                  <w14:solidFill>
                    <w14:schemeClr w14:val="tx1"/>
                  </w14:solidFill>
                </w14:textFill>
              </w:rPr>
              <w:t>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未提供的不得分</w:t>
            </w:r>
            <w:r>
              <w:rPr>
                <w:rFonts w:hint="eastAsia" w:ascii="宋体" w:hAnsi="宋体" w:eastAsia="宋体" w:cs="宋体"/>
                <w:color w:val="000000" w:themeColor="text1"/>
                <w:sz w:val="24"/>
                <w:szCs w:val="24"/>
                <w:highlight w:val="none"/>
                <w14:textFill>
                  <w14:solidFill>
                    <w14:schemeClr w14:val="tx1"/>
                  </w14:solidFill>
                </w14:textFill>
              </w:rPr>
              <w:t>）</w:t>
            </w:r>
          </w:p>
          <w:p w14:paraId="1D335425">
            <w:pPr>
              <w:autoSpaceDE w:val="0"/>
              <w:autoSpaceDN w:val="0"/>
              <w:snapToGrid w:val="0"/>
              <w:spacing w:beforeLines="0" w:afterLines="0" w:line="360" w:lineRule="auto"/>
              <w:ind w:firstLine="444" w:firstLineChars="18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（3）售后服务（6分）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根据供应商就本项目提供的售后服务</w:t>
            </w:r>
            <w:r>
              <w:rPr>
                <w:rFonts w:hint="eastAsia" w:hAnsi="宋体" w:eastAsia="宋体" w:cs="宋体"/>
                <w:sz w:val="24"/>
                <w:szCs w:val="24"/>
                <w:highlight w:val="none"/>
                <w:lang w:val="en-US" w:eastAsia="zh-CN"/>
              </w:rPr>
              <w:t>承诺及具体服务</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须包含</w:t>
            </w:r>
            <w:r>
              <w:rPr>
                <w:rFonts w:hint="eastAsia" w:ascii="宋体" w:hAnsi="宋体" w:eastAsia="宋体" w:cs="宋体"/>
                <w:color w:val="000000" w:themeColor="text1"/>
                <w:sz w:val="24"/>
                <w:szCs w:val="24"/>
                <w:highlight w:val="none"/>
                <w14:textFill>
                  <w14:solidFill>
                    <w14:schemeClr w14:val="tx1"/>
                  </w14:solidFill>
                </w14:textFill>
              </w:rPr>
              <w:t>售后服务机构、应急维修时间安排、质保期内售后服务、质保期外售后服务、培训计划、新产品试用及推广服务活动等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进行评分：</w:t>
            </w:r>
            <w:r>
              <w:rPr>
                <w:rFonts w:hint="eastAsia" w:ascii="宋体" w:hAnsi="宋体" w:eastAsia="宋体" w:cs="宋体"/>
                <w:color w:val="000000" w:themeColor="text1"/>
                <w:sz w:val="24"/>
                <w:szCs w:val="24"/>
                <w:highlight w:val="none"/>
                <w14:textFill>
                  <w14:solidFill>
                    <w14:schemeClr w14:val="tx1"/>
                  </w14:solidFill>
                </w14:textFill>
              </w:rPr>
              <w:t>售后服务方案要素齐全、内容针对性强、措施可行性高的得6分；售后方案要素较为齐全、内容针对性较强、措施可行性较高的得4分；售后方案简单、内容针对性一般但基本满足项目需求的得2分；售后方案不齐全、内容针对性及措施可行性较差的得1分。未提供方案的不得分。</w:t>
            </w:r>
            <w:bookmarkEnd w:id="334"/>
            <w:bookmarkEnd w:id="335"/>
            <w:bookmarkEnd w:id="336"/>
          </w:p>
          <w:p w14:paraId="18C5CC11">
            <w:pPr>
              <w:autoSpaceDE w:val="0"/>
              <w:autoSpaceDN w:val="0"/>
              <w:snapToGrid w:val="0"/>
              <w:spacing w:beforeLines="0" w:afterLines="0" w:line="360" w:lineRule="auto"/>
              <w:ind w:firstLine="444" w:firstLineChars="185"/>
              <w:outlineLvl w:val="9"/>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sz w:val="24"/>
                <w:szCs w:val="24"/>
                <w:highlight w:val="none"/>
              </w:rPr>
              <w:t>质量控制（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根据供应商就本项目提供的产品质量控制方案进行评分：</w:t>
            </w:r>
            <w:r>
              <w:rPr>
                <w:rFonts w:hint="eastAsia" w:ascii="宋体" w:hAnsi="宋体" w:eastAsia="宋体" w:cs="宋体"/>
                <w:color w:val="000000" w:themeColor="text1"/>
                <w:sz w:val="24"/>
                <w:szCs w:val="24"/>
                <w:highlight w:val="none"/>
                <w14:textFill>
                  <w14:solidFill>
                    <w14:schemeClr w14:val="tx1"/>
                  </w14:solidFill>
                </w14:textFill>
              </w:rPr>
              <w:t>产</w:t>
            </w:r>
            <w:r>
              <w:rPr>
                <w:rFonts w:hint="eastAsia" w:ascii="宋体" w:hAnsi="宋体" w:eastAsia="宋体" w:cs="宋体"/>
                <w:sz w:val="24"/>
                <w:szCs w:val="24"/>
                <w:highlight w:val="none"/>
              </w:rPr>
              <w:t>品质量控制方案详尽、合理，可操作性强、充分满足本采购需求的得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分；方案完整性、合理性、可操作性尚可的得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分；方案完整性、合理性、可操作性略有欠缺的得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分，未提供</w:t>
            </w:r>
            <w:r>
              <w:rPr>
                <w:rFonts w:hint="eastAsia" w:ascii="宋体" w:hAnsi="宋体" w:eastAsia="宋体" w:cs="宋体"/>
                <w:sz w:val="24"/>
                <w:szCs w:val="24"/>
                <w:highlight w:val="none"/>
                <w:lang w:val="en-US" w:eastAsia="zh-CN"/>
              </w:rPr>
              <w:t>方案的不得分</w:t>
            </w:r>
            <w:r>
              <w:rPr>
                <w:rFonts w:hint="eastAsia" w:ascii="宋体" w:hAnsi="宋体" w:eastAsia="宋体" w:cs="宋体"/>
                <w:sz w:val="24"/>
                <w:szCs w:val="24"/>
                <w:highlight w:val="none"/>
              </w:rPr>
              <w:t>。</w:t>
            </w:r>
          </w:p>
        </w:tc>
      </w:tr>
      <w:bookmarkEnd w:id="305"/>
      <w:bookmarkEnd w:id="306"/>
    </w:tbl>
    <w:p w14:paraId="68F796B3">
      <w:pPr>
        <w:pStyle w:val="35"/>
        <w:spacing w:beforeLines="0" w:afterLines="0" w:line="360" w:lineRule="auto"/>
        <w:ind w:firstLine="510"/>
        <w:jc w:val="left"/>
        <w:outlineLvl w:val="9"/>
        <w:rPr>
          <w:rFonts w:hint="eastAsia" w:ascii="宋体" w:hAnsi="宋体" w:eastAsia="宋体" w:cs="宋体"/>
          <w:b/>
          <w:sz w:val="24"/>
          <w:szCs w:val="24"/>
          <w:lang w:val="en-US" w:eastAsia="zh-CN" w:bidi="ar-SA"/>
        </w:rPr>
      </w:pPr>
    </w:p>
    <w:p w14:paraId="303B1059">
      <w:pPr>
        <w:pStyle w:val="35"/>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firstLine="510"/>
        <w:jc w:val="left"/>
        <w:textAlignment w:val="baseline"/>
        <w:outlineLvl w:val="9"/>
        <w:rPr>
          <w:rFonts w:hint="eastAsia" w:ascii="宋体" w:hAnsi="宋体" w:eastAsia="宋体" w:cs="宋体"/>
          <w:b/>
          <w:szCs w:val="24"/>
        </w:rPr>
      </w:pPr>
      <w:r>
        <w:rPr>
          <w:rFonts w:hint="eastAsia" w:ascii="宋体" w:hAnsi="宋体" w:eastAsia="宋体" w:cs="宋体"/>
          <w:b/>
          <w:sz w:val="24"/>
          <w:szCs w:val="24"/>
          <w:lang w:val="en-US" w:eastAsia="zh-CN" w:bidi="ar-SA"/>
        </w:rPr>
        <w:t>2.</w:t>
      </w:r>
      <w:r>
        <w:rPr>
          <w:rFonts w:hint="eastAsia" w:ascii="宋体" w:hAnsi="宋体" w:eastAsia="宋体" w:cs="宋体"/>
          <w:b/>
          <w:szCs w:val="24"/>
        </w:rPr>
        <w:t>标段三、标段四评分因素及评分标准</w:t>
      </w:r>
    </w:p>
    <w:tbl>
      <w:tblPr>
        <w:tblStyle w:val="16"/>
        <w:tblpPr w:leftFromText="180" w:rightFromText="180" w:vertAnchor="text" w:horzAnchor="page" w:tblpX="1677" w:tblpY="460"/>
        <w:tblOverlap w:val="never"/>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421"/>
      </w:tblGrid>
      <w:tr w14:paraId="20D5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0" w:type="dxa"/>
            <w:tcBorders>
              <w:top w:val="single" w:color="auto" w:sz="4" w:space="0"/>
              <w:left w:val="single" w:color="auto" w:sz="4" w:space="0"/>
              <w:bottom w:val="single" w:color="auto" w:sz="4" w:space="0"/>
              <w:right w:val="single" w:color="auto" w:sz="4" w:space="0"/>
            </w:tcBorders>
            <w:vAlign w:val="center"/>
          </w:tcPr>
          <w:p w14:paraId="23039AFF">
            <w:pPr>
              <w:autoSpaceDE w:val="0"/>
              <w:autoSpaceDN w:val="0"/>
              <w:snapToGrid w:val="0"/>
              <w:spacing w:beforeLines="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评分因素</w:t>
            </w:r>
          </w:p>
        </w:tc>
        <w:tc>
          <w:tcPr>
            <w:tcW w:w="7421" w:type="dxa"/>
            <w:tcBorders>
              <w:top w:val="single" w:color="auto" w:sz="4" w:space="0"/>
              <w:left w:val="single" w:color="auto" w:sz="4" w:space="0"/>
              <w:bottom w:val="single" w:color="auto" w:sz="4" w:space="0"/>
              <w:right w:val="single" w:color="auto" w:sz="4" w:space="0"/>
            </w:tcBorders>
            <w:vAlign w:val="center"/>
          </w:tcPr>
          <w:p w14:paraId="0DD68C53">
            <w:pPr>
              <w:autoSpaceDE w:val="0"/>
              <w:autoSpaceDN w:val="0"/>
              <w:snapToGrid w:val="0"/>
              <w:spacing w:beforeLines="0" w:afterLines="0" w:line="360" w:lineRule="auto"/>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评分标准</w:t>
            </w:r>
          </w:p>
        </w:tc>
      </w:tr>
      <w:tr w14:paraId="1A53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0" w:type="dxa"/>
            <w:tcBorders>
              <w:top w:val="single" w:color="auto" w:sz="4" w:space="0"/>
              <w:left w:val="single" w:color="auto" w:sz="4" w:space="0"/>
              <w:bottom w:val="single" w:color="auto" w:sz="4" w:space="0"/>
              <w:right w:val="single" w:color="auto" w:sz="4" w:space="0"/>
            </w:tcBorders>
            <w:vAlign w:val="center"/>
          </w:tcPr>
          <w:p w14:paraId="5CC4E8E9">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响应报价</w:t>
            </w:r>
          </w:p>
          <w:p w14:paraId="4B210E51">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（60分）</w:t>
            </w:r>
          </w:p>
        </w:tc>
        <w:tc>
          <w:tcPr>
            <w:tcW w:w="7421" w:type="dxa"/>
            <w:tcBorders>
              <w:top w:val="single" w:color="auto" w:sz="4" w:space="0"/>
              <w:left w:val="single" w:color="auto" w:sz="4" w:space="0"/>
              <w:right w:val="single" w:color="auto" w:sz="4" w:space="0"/>
            </w:tcBorders>
            <w:vAlign w:val="center"/>
          </w:tcPr>
          <w:p w14:paraId="09F36FBC">
            <w:pPr>
              <w:autoSpaceDE w:val="0"/>
              <w:autoSpaceDN w:val="0"/>
              <w:snapToGrid w:val="0"/>
              <w:spacing w:beforeLines="0" w:afterLines="0" w:line="360" w:lineRule="auto"/>
              <w:ind w:firstLine="444" w:firstLineChars="18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供应商所报的</w:t>
            </w:r>
            <w:r>
              <w:rPr>
                <w:rFonts w:hint="eastAsia" w:ascii="宋体" w:hAnsi="宋体" w:eastAsia="宋体" w:cs="宋体"/>
                <w:color w:val="auto"/>
                <w:sz w:val="24"/>
                <w:szCs w:val="24"/>
                <w:highlight w:val="none"/>
              </w:rPr>
              <w:t>有效的最低价格折扣比例为评审基准价格折扣比例，其价格分为满分，其他供应商的价格分统一按照下列公式计算：</w:t>
            </w:r>
          </w:p>
          <w:p w14:paraId="36F039BD">
            <w:pPr>
              <w:autoSpaceDE w:val="0"/>
              <w:autoSpaceDN w:val="0"/>
              <w:snapToGrid w:val="0"/>
              <w:spacing w:beforeLines="0" w:afterLines="0" w:line="360" w:lineRule="auto"/>
              <w:ind w:firstLine="444" w:firstLineChars="18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响应报价得分＝（评审基准价格折扣比例/响应报价价格折扣比例）×60(得分保留小数点后两位）</w:t>
            </w:r>
          </w:p>
          <w:p w14:paraId="03381E3B">
            <w:pPr>
              <w:snapToGrid w:val="0"/>
              <w:spacing w:beforeLines="0" w:afterLines="0"/>
              <w:ind w:firstLine="475" w:firstLineChars="198"/>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注：价格折扣比例=(产品报价/磋商</w:t>
            </w:r>
            <w:r>
              <w:rPr>
                <w:rFonts w:hint="eastAsia" w:ascii="宋体" w:hAnsi="宋体" w:eastAsia="宋体" w:cs="宋体"/>
                <w:color w:val="auto"/>
                <w:sz w:val="24"/>
                <w:szCs w:val="24"/>
                <w:highlight w:val="none"/>
                <w:lang w:val="en-US" w:eastAsia="zh-CN"/>
              </w:rPr>
              <w:t>开启日</w:t>
            </w:r>
            <w:r>
              <w:rPr>
                <w:rFonts w:hint="eastAsia" w:ascii="宋体" w:hAnsi="宋体" w:eastAsia="宋体" w:cs="宋体"/>
                <w:color w:val="auto"/>
                <w:sz w:val="24"/>
                <w:szCs w:val="24"/>
                <w:highlight w:val="none"/>
              </w:rPr>
              <w:t>前2年</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供应江苏区域最新市场销售价格)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价格折扣比例&gt;100%的，不得分。</w:t>
            </w:r>
          </w:p>
        </w:tc>
      </w:tr>
      <w:tr w14:paraId="6EEE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40" w:type="dxa"/>
            <w:tcBorders>
              <w:left w:val="single" w:color="auto" w:sz="4" w:space="0"/>
              <w:right w:val="single" w:color="auto" w:sz="4" w:space="0"/>
            </w:tcBorders>
            <w:vAlign w:val="center"/>
          </w:tcPr>
          <w:p w14:paraId="77ACD407">
            <w:pPr>
              <w:autoSpaceDE w:val="0"/>
              <w:autoSpaceDN w:val="0"/>
              <w:snapToGrid w:val="0"/>
              <w:spacing w:beforeLines="0" w:afterLines="0"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认证证书</w:t>
            </w:r>
          </w:p>
          <w:p w14:paraId="7CDD686A">
            <w:pPr>
              <w:autoSpaceDE w:val="0"/>
              <w:autoSpaceDN w:val="0"/>
              <w:snapToGrid w:val="0"/>
              <w:spacing w:beforeLines="0" w:afterLines="0" w:line="360" w:lineRule="auto"/>
              <w:jc w:val="center"/>
              <w:outlineLvl w:val="9"/>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421" w:type="dxa"/>
            <w:tcBorders>
              <w:top w:val="single" w:color="auto" w:sz="4" w:space="0"/>
              <w:left w:val="single" w:color="auto" w:sz="4" w:space="0"/>
              <w:bottom w:val="single" w:color="auto" w:sz="4" w:space="0"/>
              <w:right w:val="single" w:color="auto" w:sz="4" w:space="0"/>
            </w:tcBorders>
            <w:vAlign w:val="center"/>
          </w:tcPr>
          <w:p w14:paraId="1FE34E90">
            <w:pPr>
              <w:autoSpaceDE w:val="0"/>
              <w:autoSpaceDN w:val="0"/>
              <w:snapToGrid w:val="0"/>
              <w:spacing w:beforeLines="0" w:afterLines="0"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提供截止磋商开启日有效期内的质量管理体系认证证书、环境体系认证证书或职业健康安全体系认证证书，每提供一项认证证书得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以上所述认证证书须提供认证证书复印件并加盖公章；认证证书获得时间须在磋商公告发布之日前并且在有效期内，并且在全国认证认可信息公共服务平台查询（http://cx.cnca.cn/CertECloud/index/index/page），提供截图并加盖公章。否则不予认定。）</w:t>
            </w:r>
          </w:p>
        </w:tc>
      </w:tr>
      <w:tr w14:paraId="4B13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40" w:type="dxa"/>
            <w:tcBorders>
              <w:top w:val="single" w:color="auto" w:sz="4" w:space="0"/>
              <w:left w:val="single" w:color="auto" w:sz="4" w:space="0"/>
              <w:bottom w:val="single" w:color="auto" w:sz="4" w:space="0"/>
              <w:right w:val="single" w:color="auto" w:sz="4" w:space="0"/>
            </w:tcBorders>
            <w:vAlign w:val="center"/>
          </w:tcPr>
          <w:p w14:paraId="1EFC7042">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相关业绩</w:t>
            </w:r>
          </w:p>
          <w:p w14:paraId="5879C212">
            <w:pPr>
              <w:autoSpaceDE w:val="0"/>
              <w:autoSpaceDN w:val="0"/>
              <w:snapToGrid w:val="0"/>
              <w:spacing w:beforeLines="0" w:afterLines="0" w:line="360" w:lineRule="auto"/>
              <w:jc w:val="center"/>
              <w:outlineLvl w:val="9"/>
              <w:rPr>
                <w:rFonts w:hint="eastAsia" w:ascii="宋体" w:hAnsi="宋体" w:eastAsia="宋体" w:cs="宋体"/>
                <w:sz w:val="24"/>
                <w:szCs w:val="24"/>
                <w:highlight w:val="yellow"/>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c>
          <w:tcPr>
            <w:tcW w:w="7421" w:type="dxa"/>
            <w:tcBorders>
              <w:top w:val="single" w:color="auto" w:sz="4" w:space="0"/>
              <w:left w:val="single" w:color="auto" w:sz="4" w:space="0"/>
              <w:bottom w:val="single" w:color="auto" w:sz="4" w:space="0"/>
              <w:right w:val="single" w:color="auto" w:sz="4" w:space="0"/>
            </w:tcBorders>
            <w:shd w:val="clear" w:color="auto" w:fill="auto"/>
            <w:vAlign w:val="center"/>
          </w:tcPr>
          <w:p w14:paraId="134FE62E">
            <w:pPr>
              <w:autoSpaceDE w:val="0"/>
              <w:autoSpaceDN w:val="0"/>
              <w:snapToGrid w:val="0"/>
              <w:spacing w:beforeLines="0" w:afterLines="0" w:line="360" w:lineRule="auto"/>
              <w:ind w:firstLine="480" w:firstLineChars="200"/>
              <w:outlineLvl w:val="9"/>
              <w:rPr>
                <w:rFonts w:hint="eastAsia" w:ascii="宋体" w:hAnsi="宋体" w:eastAsia="宋体" w:cs="宋体"/>
                <w:color w:val="0000FF"/>
                <w:sz w:val="24"/>
                <w:szCs w:val="24"/>
                <w:lang w:val="en-US" w:eastAsia="zh-CN" w:bidi="ar-SA"/>
              </w:rPr>
            </w:pPr>
            <w:r>
              <w:rPr>
                <w:rFonts w:hint="eastAsia" w:ascii="宋体" w:hAnsi="宋体" w:eastAsia="宋体" w:cs="宋体"/>
                <w:bCs/>
                <w:sz w:val="24"/>
                <w:szCs w:val="24"/>
              </w:rPr>
              <w:t>根据</w:t>
            </w:r>
            <w:r>
              <w:rPr>
                <w:rFonts w:hint="eastAsia" w:hAnsi="宋体" w:eastAsia="宋体" w:cs="宋体"/>
                <w:bCs/>
                <w:sz w:val="24"/>
                <w:szCs w:val="24"/>
                <w:lang w:val="en-US" w:eastAsia="zh-CN"/>
              </w:rPr>
              <w:t>供应商</w:t>
            </w:r>
            <w:r>
              <w:rPr>
                <w:rFonts w:hint="eastAsia" w:ascii="宋体" w:hAnsi="宋体" w:eastAsia="宋体" w:cs="宋体"/>
                <w:bCs/>
                <w:sz w:val="24"/>
                <w:szCs w:val="24"/>
              </w:rPr>
              <w:t>提供的自2021年</w:t>
            </w:r>
            <w:r>
              <w:rPr>
                <w:rFonts w:hint="eastAsia" w:hAnsi="宋体" w:eastAsia="宋体" w:cs="宋体"/>
                <w:bCs/>
                <w:sz w:val="24"/>
                <w:szCs w:val="24"/>
                <w:lang w:val="en-US" w:eastAsia="zh-CN"/>
              </w:rPr>
              <w:t>9</w:t>
            </w:r>
            <w:r>
              <w:rPr>
                <w:rFonts w:hint="eastAsia" w:ascii="宋体" w:hAnsi="宋体" w:eastAsia="宋体" w:cs="宋体"/>
                <w:bCs/>
                <w:sz w:val="24"/>
                <w:szCs w:val="24"/>
              </w:rPr>
              <w:t>月1日以来（以合同签订日期为准</w:t>
            </w:r>
            <w:r>
              <w:rPr>
                <w:rFonts w:hint="eastAsia" w:ascii="宋体" w:hAnsi="宋体" w:eastAsia="宋体" w:cs="宋体"/>
                <w:sz w:val="24"/>
                <w:szCs w:val="24"/>
              </w:rPr>
              <w:t>）</w:t>
            </w:r>
            <w:r>
              <w:rPr>
                <w:rFonts w:hint="eastAsia" w:hAnsi="宋体" w:eastAsia="宋体" w:cs="宋体"/>
                <w:sz w:val="24"/>
                <w:szCs w:val="24"/>
                <w:lang w:val="en-US" w:eastAsia="zh-CN"/>
              </w:rPr>
              <w:t>类似项目</w:t>
            </w:r>
            <w:r>
              <w:rPr>
                <w:rFonts w:hint="eastAsia" w:ascii="宋体" w:hAnsi="宋体" w:eastAsia="宋体" w:cs="宋体"/>
                <w:sz w:val="24"/>
                <w:szCs w:val="24"/>
              </w:rPr>
              <w:t>业绩</w:t>
            </w:r>
            <w:r>
              <w:rPr>
                <w:rFonts w:hint="eastAsia" w:hAnsi="宋体" w:eastAsia="宋体" w:cs="宋体"/>
                <w:sz w:val="24"/>
                <w:szCs w:val="24"/>
                <w:lang w:val="en-US" w:eastAsia="zh-CN"/>
              </w:rPr>
              <w:t>进行评分</w:t>
            </w:r>
            <w:r>
              <w:rPr>
                <w:rFonts w:hint="eastAsia" w:ascii="宋体" w:hAnsi="宋体" w:eastAsia="宋体" w:cs="宋体"/>
                <w:sz w:val="24"/>
                <w:szCs w:val="24"/>
              </w:rPr>
              <w:t>，每提供一项业绩得2分,本项最高得1</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color w:val="auto"/>
                <w:sz w:val="24"/>
                <w:szCs w:val="24"/>
                <w:lang w:val="en-US" w:eastAsia="zh-CN"/>
              </w:rPr>
              <w:t>按照</w:t>
            </w:r>
            <w:r>
              <w:rPr>
                <w:rFonts w:hint="eastAsia" w:ascii="宋体" w:hAnsi="宋体" w:eastAsia="宋体" w:cs="宋体"/>
                <w:b/>
                <w:bCs/>
                <w:color w:val="auto"/>
                <w:sz w:val="24"/>
                <w:szCs w:val="24"/>
              </w:rPr>
              <w:t>格式10</w:t>
            </w:r>
            <w:r>
              <w:rPr>
                <w:rFonts w:hint="eastAsia" w:ascii="宋体" w:hAnsi="宋体" w:eastAsia="宋体" w:cs="宋体"/>
                <w:color w:val="auto"/>
                <w:sz w:val="24"/>
                <w:szCs w:val="24"/>
              </w:rPr>
              <w:t>提供</w:t>
            </w:r>
            <w:r>
              <w:rPr>
                <w:rFonts w:hint="eastAsia" w:hAnsi="宋体" w:eastAsia="宋体" w:cs="宋体"/>
                <w:color w:val="auto"/>
                <w:sz w:val="24"/>
                <w:szCs w:val="24"/>
                <w:lang w:val="en-US" w:eastAsia="zh-CN"/>
              </w:rPr>
              <w:t>类似</w:t>
            </w:r>
            <w:r>
              <w:rPr>
                <w:rFonts w:hint="eastAsia" w:ascii="宋体" w:hAnsi="宋体" w:eastAsia="宋体" w:cs="宋体"/>
                <w:color w:val="auto"/>
                <w:sz w:val="24"/>
                <w:szCs w:val="24"/>
              </w:rPr>
              <w:t>业绩</w:t>
            </w:r>
            <w:r>
              <w:rPr>
                <w:rFonts w:hint="eastAsia" w:hAnsi="宋体" w:eastAsia="宋体" w:cs="宋体"/>
                <w:color w:val="auto"/>
                <w:sz w:val="24"/>
                <w:szCs w:val="24"/>
                <w:lang w:val="en-US" w:eastAsia="zh-CN"/>
              </w:rPr>
              <w:t>情况</w:t>
            </w:r>
            <w:r>
              <w:rPr>
                <w:rFonts w:hint="eastAsia" w:ascii="宋体" w:hAnsi="宋体" w:eastAsia="宋体" w:cs="宋体"/>
                <w:color w:val="auto"/>
                <w:sz w:val="24"/>
                <w:szCs w:val="24"/>
              </w:rPr>
              <w:t>表，</w:t>
            </w:r>
            <w:r>
              <w:rPr>
                <w:rFonts w:hint="eastAsia" w:ascii="宋体" w:hAnsi="宋体" w:eastAsia="宋体" w:cs="宋体"/>
                <w:sz w:val="24"/>
                <w:szCs w:val="24"/>
                <w:lang w:val="en-US" w:eastAsia="zh-CN"/>
              </w:rPr>
              <w:t>并</w:t>
            </w:r>
            <w:r>
              <w:rPr>
                <w:rFonts w:hint="eastAsia" w:ascii="宋体" w:hAnsi="宋体" w:eastAsia="宋体" w:cs="宋体"/>
                <w:sz w:val="24"/>
                <w:szCs w:val="24"/>
              </w:rPr>
              <w:t>须提供相应业绩对应的合同（或协议）复印件和对应项目合同（或协议）期内</w:t>
            </w:r>
            <w:r>
              <w:rPr>
                <w:rFonts w:hint="eastAsia" w:ascii="宋体" w:hAnsi="宋体" w:eastAsia="宋体" w:cs="宋体"/>
                <w:bCs/>
                <w:sz w:val="24"/>
                <w:szCs w:val="24"/>
              </w:rPr>
              <w:t>与付款进度对应的付款发票复印件，加盖</w:t>
            </w:r>
            <w:r>
              <w:rPr>
                <w:rFonts w:hint="eastAsia" w:hAnsi="宋体" w:eastAsia="宋体" w:cs="宋体"/>
                <w:sz w:val="24"/>
                <w:szCs w:val="24"/>
                <w:lang w:val="en-US" w:eastAsia="zh-CN"/>
              </w:rPr>
              <w:t>供应商</w:t>
            </w:r>
            <w:r>
              <w:rPr>
                <w:rFonts w:hint="eastAsia" w:ascii="宋体" w:hAnsi="宋体" w:eastAsia="宋体" w:cs="宋体"/>
                <w:bCs/>
                <w:sz w:val="24"/>
                <w:szCs w:val="24"/>
              </w:rPr>
              <w:t>公章（发票中不能体现合同信息的，须提供</w:t>
            </w:r>
            <w:r>
              <w:rPr>
                <w:rFonts w:hint="eastAsia" w:hAnsi="宋体" w:eastAsia="宋体" w:cs="宋体"/>
                <w:sz w:val="24"/>
                <w:szCs w:val="24"/>
                <w:lang w:val="en-US" w:eastAsia="zh-CN"/>
              </w:rPr>
              <w:t>业主单位</w:t>
            </w:r>
            <w:r>
              <w:rPr>
                <w:rFonts w:hint="eastAsia" w:ascii="宋体" w:hAnsi="宋体" w:eastAsia="宋体" w:cs="宋体"/>
                <w:bCs/>
                <w:sz w:val="24"/>
                <w:szCs w:val="24"/>
              </w:rPr>
              <w:t>盖章的证明材料，证明材料中须明确，发票与合同对应）</w:t>
            </w:r>
            <w:r>
              <w:rPr>
                <w:rFonts w:hint="eastAsia" w:ascii="宋体" w:hAnsi="宋体" w:eastAsia="宋体" w:cs="宋体"/>
                <w:sz w:val="24"/>
                <w:szCs w:val="24"/>
              </w:rPr>
              <w:t>未提供或提供不全的均不得分。原件备查】</w:t>
            </w:r>
          </w:p>
        </w:tc>
      </w:tr>
      <w:tr w14:paraId="0A8B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40" w:type="dxa"/>
            <w:tcBorders>
              <w:left w:val="single" w:color="auto" w:sz="4" w:space="0"/>
              <w:right w:val="single" w:color="auto" w:sz="4" w:space="0"/>
            </w:tcBorders>
            <w:vAlign w:val="center"/>
          </w:tcPr>
          <w:p w14:paraId="690BBB00">
            <w:pPr>
              <w:autoSpaceDE w:val="0"/>
              <w:autoSpaceDN w:val="0"/>
              <w:snapToGrid w:val="0"/>
              <w:spacing w:beforeLines="0" w:afterLines="0" w:line="360" w:lineRule="auto"/>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企业实力（25）</w:t>
            </w:r>
          </w:p>
        </w:tc>
        <w:tc>
          <w:tcPr>
            <w:tcW w:w="7421" w:type="dxa"/>
            <w:tcBorders>
              <w:top w:val="single" w:color="auto" w:sz="4" w:space="0"/>
              <w:left w:val="single" w:color="auto" w:sz="4" w:space="0"/>
              <w:right w:val="single" w:color="auto" w:sz="4" w:space="0"/>
            </w:tcBorders>
            <w:vAlign w:val="center"/>
          </w:tcPr>
          <w:p w14:paraId="6CC83CDC">
            <w:pPr>
              <w:autoSpaceDE w:val="0"/>
              <w:autoSpaceDN w:val="0"/>
              <w:snapToGrid w:val="0"/>
              <w:spacing w:beforeLines="0" w:afterLines="0" w:line="360" w:lineRule="auto"/>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由磋商小组根据响应文件提供的相关方案及证明材料进行综合评价：</w:t>
            </w:r>
          </w:p>
          <w:p w14:paraId="0254A6B4">
            <w:pPr>
              <w:autoSpaceDE w:val="0"/>
              <w:autoSpaceDN w:val="0"/>
              <w:snapToGrid w:val="0"/>
              <w:spacing w:beforeLines="0" w:afterLines="0" w:line="360" w:lineRule="auto"/>
              <w:ind w:firstLine="444" w:firstLineChars="185"/>
              <w:outlineLvl w:val="9"/>
              <w:rPr>
                <w:rFonts w:hint="eastAsia" w:ascii="宋体" w:hAnsi="宋体" w:eastAsia="宋体" w:cs="宋体"/>
                <w:sz w:val="24"/>
                <w:szCs w:val="24"/>
              </w:rPr>
            </w:pPr>
            <w:r>
              <w:rPr>
                <w:rFonts w:hint="eastAsia" w:ascii="宋体" w:hAnsi="宋体" w:eastAsia="宋体" w:cs="宋体"/>
                <w:sz w:val="24"/>
                <w:szCs w:val="24"/>
              </w:rPr>
              <w:t>（1）生产组织和供货能力（</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val="en-US" w:eastAsia="zh-CN"/>
              </w:rPr>
              <w:t>根据供应商的生产组织和供货方案进行评分：供应商</w:t>
            </w:r>
            <w:r>
              <w:rPr>
                <w:rFonts w:hint="eastAsia" w:ascii="宋体" w:hAnsi="宋体" w:eastAsia="宋体" w:cs="宋体"/>
                <w:sz w:val="24"/>
                <w:szCs w:val="24"/>
              </w:rPr>
              <w:t>生产组织科学、先进，供货能力强的得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val="en-US" w:eastAsia="zh-CN"/>
              </w:rPr>
              <w:t>供应商</w:t>
            </w:r>
            <w:r>
              <w:rPr>
                <w:rFonts w:hint="eastAsia" w:ascii="宋体" w:hAnsi="宋体" w:eastAsia="宋体" w:cs="宋体"/>
                <w:sz w:val="24"/>
                <w:szCs w:val="24"/>
              </w:rPr>
              <w:t>生产组织较为科学、先进，供货能力较强的得</w:t>
            </w:r>
            <w:r>
              <w:rPr>
                <w:rFonts w:hint="eastAsia" w:ascii="宋体" w:hAnsi="宋体" w:eastAsia="宋体" w:cs="宋体"/>
                <w:sz w:val="24"/>
                <w:szCs w:val="24"/>
                <w:lang w:val="en-US" w:eastAsia="zh-CN"/>
              </w:rPr>
              <w:t>4</w:t>
            </w:r>
            <w:r>
              <w:rPr>
                <w:rFonts w:hint="eastAsia" w:ascii="宋体" w:hAnsi="宋体" w:eastAsia="宋体" w:cs="宋体"/>
                <w:sz w:val="24"/>
                <w:szCs w:val="24"/>
              </w:rPr>
              <w:t>分；生产组织科学、先进</w:t>
            </w:r>
            <w:r>
              <w:rPr>
                <w:rFonts w:hint="eastAsia" w:hAnsi="宋体" w:eastAsia="宋体" w:cs="宋体"/>
                <w:sz w:val="24"/>
                <w:szCs w:val="24"/>
                <w:lang w:val="en-US" w:eastAsia="zh-CN"/>
              </w:rPr>
              <w:t>程度</w:t>
            </w:r>
            <w:r>
              <w:rPr>
                <w:rFonts w:hint="eastAsia" w:ascii="宋体" w:hAnsi="宋体" w:eastAsia="宋体" w:cs="宋体"/>
                <w:sz w:val="24"/>
                <w:szCs w:val="24"/>
              </w:rPr>
              <w:t>一般，供货能力一般的得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color w:val="000000" w:themeColor="text1"/>
                <w:sz w:val="24"/>
                <w:szCs w:val="24"/>
                <w14:textFill>
                  <w14:solidFill>
                    <w14:schemeClr w14:val="tx1"/>
                  </w14:solidFill>
                </w14:textFill>
              </w:rPr>
              <w:t>未提供方案的不得分。</w:t>
            </w:r>
          </w:p>
          <w:p w14:paraId="7F9DAC56">
            <w:pPr>
              <w:autoSpaceDE w:val="0"/>
              <w:autoSpaceDN w:val="0"/>
              <w:snapToGrid w:val="0"/>
              <w:spacing w:beforeLines="0" w:afterLines="0" w:line="360" w:lineRule="auto"/>
              <w:ind w:firstLine="444" w:firstLineChars="185"/>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市场认可度（</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根据供应商的市场认可度进行评分：</w:t>
            </w:r>
            <w:r>
              <w:rPr>
                <w:rFonts w:hint="eastAsia" w:ascii="宋体" w:hAnsi="宋体" w:eastAsia="宋体" w:cs="宋体"/>
                <w:color w:val="000000" w:themeColor="text1"/>
                <w:sz w:val="24"/>
                <w:szCs w:val="24"/>
                <w14:textFill>
                  <w14:solidFill>
                    <w14:schemeClr w14:val="tx1"/>
                  </w14:solidFill>
                </w14:textFill>
              </w:rPr>
              <w:t>市场认可度高的得</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分，市场认可度较高的得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分，市场认可度一般的得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分。（提供客户评价等</w:t>
            </w:r>
            <w:r>
              <w:rPr>
                <w:rFonts w:hint="eastAsia" w:ascii="宋体" w:hAnsi="宋体" w:eastAsia="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14:textFill>
                  <w14:solidFill>
                    <w14:schemeClr w14:val="tx1"/>
                  </w14:solidFill>
                </w14:textFill>
              </w:rPr>
              <w:t>证明材料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未提供的不得分</w:t>
            </w:r>
            <w:r>
              <w:rPr>
                <w:rFonts w:hint="eastAsia" w:ascii="宋体" w:hAnsi="宋体" w:eastAsia="宋体" w:cs="宋体"/>
                <w:color w:val="000000" w:themeColor="text1"/>
                <w:sz w:val="24"/>
                <w:szCs w:val="24"/>
                <w14:textFill>
                  <w14:solidFill>
                    <w14:schemeClr w14:val="tx1"/>
                  </w14:solidFill>
                </w14:textFill>
              </w:rPr>
              <w:t>）</w:t>
            </w:r>
          </w:p>
          <w:p w14:paraId="37F90E38">
            <w:pPr>
              <w:autoSpaceDE w:val="0"/>
              <w:autoSpaceDN w:val="0"/>
              <w:snapToGrid w:val="0"/>
              <w:spacing w:beforeLines="0" w:afterLines="0" w:line="360" w:lineRule="auto"/>
              <w:ind w:firstLine="444" w:firstLineChars="185"/>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sz w:val="24"/>
                <w:szCs w:val="24"/>
                <w:lang w:val="en-US" w:eastAsia="zh-CN"/>
              </w:rPr>
              <w:t>售后服务</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w:t>
            </w:r>
            <w:r>
              <w:rPr>
                <w:rFonts w:hint="eastAsia" w:ascii="宋体" w:hAnsi="宋体" w:eastAsia="宋体" w:cs="宋体"/>
                <w:sz w:val="24"/>
                <w:szCs w:val="24"/>
                <w:lang w:val="en-US" w:eastAsia="zh-CN"/>
              </w:rPr>
              <w:t>根据供应商就本项目提供的</w:t>
            </w:r>
            <w:r>
              <w:rPr>
                <w:rFonts w:hint="eastAsia" w:ascii="宋体" w:hAnsi="宋体" w:eastAsia="宋体" w:cs="宋体"/>
                <w:sz w:val="24"/>
                <w:szCs w:val="24"/>
                <w:highlight w:val="none"/>
                <w:lang w:val="en-US" w:eastAsia="zh-CN"/>
              </w:rPr>
              <w:t>售后服务</w:t>
            </w:r>
            <w:r>
              <w:rPr>
                <w:rFonts w:hint="eastAsia" w:hAnsi="宋体" w:eastAsia="宋体" w:cs="宋体"/>
                <w:sz w:val="24"/>
                <w:szCs w:val="24"/>
                <w:highlight w:val="none"/>
                <w:lang w:val="en-US" w:eastAsia="zh-CN"/>
              </w:rPr>
              <w:t>承诺及具体服务</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须包含</w:t>
            </w:r>
            <w:r>
              <w:rPr>
                <w:rFonts w:hint="eastAsia" w:ascii="宋体" w:hAnsi="宋体" w:eastAsia="宋体" w:cs="宋体"/>
                <w:color w:val="000000" w:themeColor="text1"/>
                <w:sz w:val="24"/>
                <w:szCs w:val="24"/>
                <w14:textFill>
                  <w14:solidFill>
                    <w14:schemeClr w14:val="tx1"/>
                  </w14:solidFill>
                </w14:textFill>
              </w:rPr>
              <w:t>售后服务机构、应急保供处理、质保期内售后服务等</w:t>
            </w:r>
            <w:r>
              <w:rPr>
                <w:rFonts w:hint="eastAsia" w:ascii="宋体" w:hAnsi="宋体" w:eastAsia="宋体" w:cs="宋体"/>
                <w:color w:val="000000" w:themeColor="text1"/>
                <w:sz w:val="24"/>
                <w:szCs w:val="24"/>
                <w:lang w:val="en-US" w:eastAsia="zh-CN"/>
                <w14:textFill>
                  <w14:solidFill>
                    <w14:schemeClr w14:val="tx1"/>
                  </w14:solidFill>
                </w14:textFill>
              </w:rPr>
              <w:t>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进行评分：</w:t>
            </w:r>
            <w:r>
              <w:rPr>
                <w:rFonts w:hint="eastAsia" w:ascii="宋体" w:hAnsi="宋体" w:eastAsia="宋体" w:cs="宋体"/>
                <w:color w:val="000000" w:themeColor="text1"/>
                <w:sz w:val="24"/>
                <w:szCs w:val="24"/>
                <w14:textFill>
                  <w14:solidFill>
                    <w14:schemeClr w14:val="tx1"/>
                  </w14:solidFill>
                </w14:textFill>
              </w:rPr>
              <w:t>售后服务方案要素齐全、内容针对性强、措施可行性高的得</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分；售后方案要素较为齐全、内容针对性较强、措施可行性较高的得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分；售后方案简单、内容针对性一般但基本满足项目需求的得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分；售后方案不齐全、内容针对性及措施可行性较差的得1分。未提供方案的不得分。</w:t>
            </w:r>
          </w:p>
          <w:p w14:paraId="7FC5D01A">
            <w:pPr>
              <w:autoSpaceDE w:val="0"/>
              <w:autoSpaceDN w:val="0"/>
              <w:snapToGrid w:val="0"/>
              <w:spacing w:beforeLines="0" w:afterLines="0" w:line="360" w:lineRule="auto"/>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sz w:val="24"/>
                <w:szCs w:val="24"/>
              </w:rPr>
              <w:t>质量控制（6分）。</w:t>
            </w:r>
            <w:r>
              <w:rPr>
                <w:rFonts w:hint="eastAsia" w:ascii="宋体" w:hAnsi="宋体" w:eastAsia="宋体" w:cs="宋体"/>
                <w:sz w:val="24"/>
                <w:szCs w:val="24"/>
                <w:lang w:val="en-US" w:eastAsia="zh-CN"/>
              </w:rPr>
              <w:t>根据供应商就本项目提供的产品质量控制方案进行评分：</w:t>
            </w:r>
            <w:r>
              <w:rPr>
                <w:rFonts w:hint="eastAsia" w:ascii="宋体" w:hAnsi="宋体" w:eastAsia="宋体" w:cs="宋体"/>
                <w:sz w:val="24"/>
                <w:szCs w:val="24"/>
              </w:rPr>
              <w:t>产品质量控制方案详尽、合理，可操作性强、充分满足本采购需求的得6分；方案完整性、合理性、可操作性尚可的得4分；方案完整性、合理性、可操作性略有欠缺的得2分</w:t>
            </w:r>
            <w:r>
              <w:rPr>
                <w:rFonts w:hint="eastAsia" w:ascii="宋体" w:hAnsi="宋体" w:eastAsia="宋体" w:cs="宋体"/>
                <w:sz w:val="24"/>
                <w:szCs w:val="24"/>
                <w:lang w:eastAsia="zh-CN"/>
              </w:rPr>
              <w:t>。</w:t>
            </w:r>
            <w:r>
              <w:rPr>
                <w:rFonts w:hint="eastAsia" w:ascii="宋体" w:hAnsi="宋体" w:eastAsia="宋体" w:cs="宋体"/>
                <w:sz w:val="24"/>
                <w:szCs w:val="24"/>
              </w:rPr>
              <w:t>未提供</w:t>
            </w:r>
            <w:r>
              <w:rPr>
                <w:rFonts w:hint="eastAsia" w:ascii="宋体" w:hAnsi="宋体" w:eastAsia="宋体" w:cs="宋体"/>
                <w:sz w:val="24"/>
                <w:szCs w:val="24"/>
                <w:lang w:val="en-US" w:eastAsia="zh-CN"/>
              </w:rPr>
              <w:t>方案的不得分</w:t>
            </w:r>
            <w:r>
              <w:rPr>
                <w:rFonts w:hint="eastAsia" w:ascii="宋体" w:hAnsi="宋体" w:eastAsia="宋体" w:cs="宋体"/>
                <w:sz w:val="24"/>
                <w:szCs w:val="24"/>
              </w:rPr>
              <w:t>。</w:t>
            </w:r>
          </w:p>
        </w:tc>
      </w:tr>
    </w:tbl>
    <w:p w14:paraId="487A1299">
      <w:pPr>
        <w:pStyle w:val="35"/>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firstLine="510"/>
        <w:jc w:val="left"/>
        <w:textAlignment w:val="baseline"/>
        <w:outlineLvl w:val="9"/>
        <w:rPr>
          <w:rFonts w:hint="eastAsia" w:ascii="宋体" w:hAnsi="宋体" w:eastAsia="宋体" w:cs="宋体"/>
          <w:b/>
          <w:sz w:val="24"/>
          <w:szCs w:val="24"/>
          <w:lang w:val="en-US" w:eastAsia="zh-CN" w:bidi="ar-SA"/>
        </w:rPr>
      </w:pPr>
    </w:p>
    <w:p w14:paraId="2354FC03">
      <w:pPr>
        <w:autoSpaceDE w:val="0"/>
        <w:autoSpaceDN w:val="0"/>
        <w:bidi w:val="0"/>
        <w:snapToGrid w:val="0"/>
        <w:spacing w:before="0" w:beforeLines="0" w:after="0" w:afterLines="0" w:line="360" w:lineRule="auto"/>
        <w:jc w:val="center"/>
        <w:outlineLvl w:val="0"/>
        <w:rPr>
          <w:rFonts w:hint="default" w:ascii="宋体" w:hAnsi="宋体" w:eastAsia="宋体" w:cs="Cambria Math"/>
          <w:b/>
          <w:bCs/>
          <w:color w:val="auto"/>
          <w:kern w:val="44"/>
          <w:sz w:val="36"/>
          <w:szCs w:val="36"/>
        </w:rPr>
        <w:sectPr>
          <w:pgSz w:w="11906" w:h="16838"/>
          <w:pgMar w:top="1440" w:right="1800" w:bottom="1440" w:left="1800" w:header="851" w:footer="992" w:gutter="0"/>
          <w:cols w:space="720" w:num="1"/>
          <w:docGrid w:type="lines" w:linePitch="312" w:charSpace="0"/>
        </w:sectPr>
      </w:pPr>
    </w:p>
    <w:p w14:paraId="288AC407">
      <w:pPr>
        <w:autoSpaceDE w:val="0"/>
        <w:autoSpaceDN w:val="0"/>
        <w:bidi w:val="0"/>
        <w:snapToGrid w:val="0"/>
        <w:spacing w:before="0" w:beforeLines="0" w:after="0" w:afterLines="0" w:line="360" w:lineRule="auto"/>
        <w:jc w:val="center"/>
        <w:outlineLvl w:val="0"/>
        <w:rPr>
          <w:rFonts w:hint="default" w:ascii="宋体" w:hAnsi="宋体" w:eastAsia="宋体" w:cs="Cambria Math"/>
          <w:b/>
          <w:bCs/>
          <w:color w:val="auto"/>
          <w:kern w:val="44"/>
          <w:sz w:val="36"/>
          <w:szCs w:val="36"/>
          <w:lang w:val="en-US" w:eastAsia="zh-CN"/>
        </w:rPr>
      </w:pPr>
      <w:bookmarkStart w:id="337" w:name="_Toc15305"/>
      <w:r>
        <w:rPr>
          <w:rFonts w:hint="default" w:ascii="宋体" w:hAnsi="宋体" w:eastAsia="宋体" w:cs="Cambria Math"/>
          <w:b/>
          <w:bCs/>
          <w:color w:val="auto"/>
          <w:kern w:val="44"/>
          <w:sz w:val="36"/>
          <w:szCs w:val="36"/>
        </w:rPr>
        <w:t xml:space="preserve">第五章  </w:t>
      </w:r>
      <w:r>
        <w:rPr>
          <w:rFonts w:hint="eastAsia" w:hAnsi="宋体" w:eastAsia="宋体" w:cs="Cambria Math"/>
          <w:b/>
          <w:bCs/>
          <w:color w:val="auto"/>
          <w:kern w:val="44"/>
          <w:sz w:val="36"/>
          <w:szCs w:val="36"/>
          <w:lang w:val="en-US" w:eastAsia="zh-CN"/>
        </w:rPr>
        <w:t>合同主要条款</w:t>
      </w:r>
      <w:bookmarkEnd w:id="337"/>
    </w:p>
    <w:p w14:paraId="4CBDE435">
      <w:pPr>
        <w:autoSpaceDE w:val="0"/>
        <w:autoSpaceDN w:val="0"/>
        <w:bidi w:val="0"/>
        <w:snapToGrid w:val="0"/>
        <w:spacing w:before="0" w:beforeLines="0" w:after="0" w:afterLines="0" w:line="360" w:lineRule="auto"/>
        <w:jc w:val="center"/>
        <w:outlineLvl w:val="9"/>
        <w:rPr>
          <w:rFonts w:hint="default" w:ascii="宋体" w:hAnsi="宋体" w:eastAsia="宋体" w:cs="Cambria Math"/>
          <w:b/>
          <w:bCs/>
          <w:color w:val="auto"/>
          <w:kern w:val="44"/>
          <w:sz w:val="36"/>
          <w:szCs w:val="36"/>
        </w:rPr>
      </w:pPr>
      <w:r>
        <w:rPr>
          <w:rFonts w:hint="eastAsia" w:hAnsi="宋体" w:eastAsia="宋体" w:cs="Cambria Math"/>
          <w:b/>
          <w:bCs/>
          <w:kern w:val="44"/>
          <w:sz w:val="36"/>
          <w:szCs w:val="36"/>
          <w:lang w:eastAsia="zh-CN"/>
        </w:rPr>
        <w:t>（</w:t>
      </w:r>
      <w:r>
        <w:rPr>
          <w:rFonts w:hint="eastAsia" w:hAnsi="宋体" w:eastAsia="宋体" w:cs="Cambria Math"/>
          <w:b/>
          <w:bCs/>
          <w:kern w:val="44"/>
          <w:sz w:val="36"/>
          <w:szCs w:val="36"/>
          <w:lang w:val="en-US" w:eastAsia="zh-CN"/>
        </w:rPr>
        <w:t>一</w:t>
      </w:r>
      <w:r>
        <w:rPr>
          <w:rFonts w:hint="eastAsia" w:hAnsi="宋体" w:eastAsia="宋体" w:cs="Cambria Math"/>
          <w:b/>
          <w:bCs/>
          <w:kern w:val="44"/>
          <w:sz w:val="36"/>
          <w:szCs w:val="36"/>
          <w:lang w:eastAsia="zh-CN"/>
        </w:rPr>
        <w:t>）</w:t>
      </w:r>
      <w:r>
        <w:rPr>
          <w:rFonts w:hint="default" w:ascii="宋体" w:hAnsi="宋体" w:eastAsia="宋体" w:cs="Cambria Math"/>
          <w:b/>
          <w:bCs/>
          <w:kern w:val="44"/>
          <w:sz w:val="36"/>
          <w:szCs w:val="36"/>
        </w:rPr>
        <w:t>总合同</w:t>
      </w:r>
    </w:p>
    <w:p w14:paraId="53D82675">
      <w:pPr>
        <w:pStyle w:val="9"/>
        <w:snapToGrid w:val="0"/>
        <w:spacing w:before="0" w:beforeLines="0" w:afterLines="0" w:line="360" w:lineRule="auto"/>
        <w:ind w:firstLine="602" w:firstLineChars="200"/>
        <w:jc w:val="center"/>
        <w:outlineLvl w:val="9"/>
        <w:rPr>
          <w:rFonts w:hint="eastAsia" w:hAnsi="宋体" w:eastAsia="宋体" w:cs="宋体"/>
          <w:b/>
          <w:sz w:val="30"/>
          <w:highlight w:val="none"/>
        </w:rPr>
      </w:pPr>
      <w:r>
        <w:rPr>
          <w:rFonts w:hint="eastAsia" w:hAnsi="宋体" w:eastAsia="宋体" w:cs="宋体"/>
          <w:b/>
          <w:sz w:val="30"/>
          <w:highlight w:val="none"/>
          <w:lang w:val="en-US" w:eastAsia="zh-CN"/>
        </w:rPr>
        <w:t>产品买卖</w:t>
      </w:r>
      <w:r>
        <w:rPr>
          <w:rFonts w:hint="eastAsia" w:hAnsi="宋体" w:eastAsia="宋体" w:cs="宋体"/>
          <w:b/>
          <w:sz w:val="30"/>
          <w:highlight w:val="none"/>
        </w:rPr>
        <w:t>合同</w:t>
      </w:r>
    </w:p>
    <w:p w14:paraId="08E17FF2">
      <w:pPr>
        <w:pStyle w:val="9"/>
        <w:snapToGrid w:val="0"/>
        <w:spacing w:before="0" w:beforeLines="0" w:afterLines="0" w:line="360" w:lineRule="auto"/>
        <w:ind w:firstLine="4560" w:firstLineChars="1900"/>
        <w:outlineLvl w:val="9"/>
        <w:rPr>
          <w:rFonts w:hint="eastAsia" w:hAnsi="宋体" w:eastAsia="宋体" w:cs="宋体"/>
          <w:szCs w:val="24"/>
        </w:rPr>
      </w:pPr>
      <w:r>
        <w:rPr>
          <w:rFonts w:hint="eastAsia" w:hAnsi="宋体" w:eastAsia="宋体" w:cs="宋体"/>
          <w:sz w:val="24"/>
          <w:szCs w:val="24"/>
        </w:rPr>
        <w:t>合同编号：</w:t>
      </w:r>
      <w:r>
        <w:rPr>
          <w:rFonts w:hint="eastAsia" w:hAnsi="宋体" w:eastAsia="宋体" w:cs="宋体"/>
          <w:szCs w:val="24"/>
        </w:rPr>
        <w:t xml:space="preserve">                 </w:t>
      </w:r>
    </w:p>
    <w:p w14:paraId="10161BB6">
      <w:pPr>
        <w:widowControl/>
        <w:shd w:val="clear" w:color="auto" w:fill="FFFFFF"/>
        <w:snapToGrid w:val="0"/>
        <w:spacing w:before="0" w:beforeLines="0" w:after="0" w:afterLine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甲方（买方）：江苏丰之源有限公司</w:t>
      </w:r>
    </w:p>
    <w:p w14:paraId="39C5BA7D">
      <w:pPr>
        <w:widowControl/>
        <w:shd w:val="clear" w:color="auto" w:fill="FFFFFF"/>
        <w:snapToGrid w:val="0"/>
        <w:spacing w:before="0" w:beforeLines="0" w:after="0" w:afterLines="0"/>
        <w:jc w:val="left"/>
        <w:outlineLvl w:val="9"/>
        <w:rPr>
          <w:rFonts w:hint="eastAsia" w:hAnsi="宋体" w:eastAsia="宋体" w:cs="宋体"/>
          <w:b/>
          <w:bCs/>
          <w:szCs w:val="24"/>
          <w:u w:val="single"/>
        </w:rPr>
      </w:pPr>
      <w:r>
        <w:rPr>
          <w:rFonts w:hint="eastAsia" w:ascii="宋体" w:hAnsi="宋体" w:eastAsia="宋体" w:cs="宋体"/>
          <w:color w:val="000000" w:themeColor="text1"/>
          <w:sz w:val="24"/>
          <w:szCs w:val="24"/>
          <w14:textFill>
            <w14:solidFill>
              <w14:schemeClr w14:val="tx1"/>
            </w14:solidFill>
          </w14:textFill>
        </w:rPr>
        <w:t xml:space="preserve">乙方（卖方）：（成交供应商） </w:t>
      </w:r>
      <w:r>
        <w:rPr>
          <w:rFonts w:hint="eastAsia" w:hAnsi="宋体" w:eastAsia="宋体" w:cs="宋体"/>
          <w:b/>
          <w:bCs/>
          <w:szCs w:val="24"/>
        </w:rPr>
        <w:t xml:space="preserve">   </w:t>
      </w:r>
    </w:p>
    <w:p w14:paraId="78EA7B36">
      <w:pPr>
        <w:widowControl/>
        <w:shd w:val="clear" w:color="auto" w:fill="FFFFFF"/>
        <w:snapToGrid w:val="0"/>
        <w:spacing w:before="0" w:beforeLines="0" w:after="0" w:afterLines="0"/>
        <w:jc w:val="left"/>
        <w:outlineLvl w:val="9"/>
        <w:rPr>
          <w:rFonts w:hint="eastAsia" w:hAnsi="宋体" w:eastAsia="宋体" w:cs="宋体"/>
          <w:szCs w:val="28"/>
        </w:rPr>
      </w:pPr>
    </w:p>
    <w:p w14:paraId="1A4C6175">
      <w:pPr>
        <w:tabs>
          <w:tab w:val="left" w:pos="1140"/>
        </w:tabs>
        <w:snapToGrid w:val="0"/>
        <w:spacing w:beforeLines="0" w:afterLines="0"/>
        <w:ind w:firstLine="444" w:firstLineChars="185"/>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甲、乙双方根据《中华人民共和国民法典》等相关法律法规规定，按照</w:t>
      </w:r>
      <w:r>
        <w:rPr>
          <w:rFonts w:hint="eastAsia" w:ascii="宋体" w:hAnsi="宋体" w:eastAsia="宋体" w:cs="宋体"/>
          <w:bCs/>
          <w:sz w:val="24"/>
          <w:szCs w:val="24"/>
        </w:rPr>
        <w:t>江苏方源集团有限公司遴选电子加工设备及耗材供应商项目</w:t>
      </w:r>
      <w:r>
        <w:rPr>
          <w:rFonts w:hint="eastAsia" w:ascii="宋体" w:hAnsi="宋体" w:eastAsia="宋体" w:cs="宋体"/>
          <w:bCs w:val="0"/>
          <w:sz w:val="24"/>
          <w:szCs w:val="24"/>
          <w:shd w:val="clear" w:color="auto" w:fill="FFFFFF"/>
          <w:lang w:val="en-US" w:eastAsia="zh-CN"/>
        </w:rPr>
        <w:t>（</w:t>
      </w:r>
      <w:r>
        <w:rPr>
          <w:rFonts w:hint="eastAsia" w:ascii="宋体" w:hAnsi="宋体" w:eastAsia="宋体" w:cs="宋体"/>
          <w:b w:val="0"/>
          <w:bCs w:val="0"/>
          <w:kern w:val="0"/>
          <w:sz w:val="24"/>
          <w:szCs w:val="24"/>
          <w:shd w:val="clear" w:color="auto" w:fill="FFFFFF"/>
          <w:lang w:val="en-US" w:eastAsia="zh-CN"/>
        </w:rPr>
        <w:t>光纤和变压器加工设备及耗材</w:t>
      </w:r>
      <w:r>
        <w:rPr>
          <w:rFonts w:hint="eastAsia" w:ascii="宋体" w:hAnsi="宋体" w:eastAsia="宋体" w:cs="宋体"/>
          <w:bCs/>
          <w:sz w:val="24"/>
          <w:szCs w:val="24"/>
          <w:lang w:val="en-US" w:eastAsia="zh-CN"/>
        </w:rPr>
        <w:t>）</w:t>
      </w:r>
      <w:r>
        <w:rPr>
          <w:rFonts w:hint="eastAsia" w:ascii="宋体" w:hAnsi="宋体" w:eastAsia="宋体" w:cs="宋体"/>
          <w:color w:val="000000" w:themeColor="text1"/>
          <w:sz w:val="24"/>
          <w:szCs w:val="24"/>
          <w14:textFill>
            <w14:solidFill>
              <w14:schemeClr w14:val="tx1"/>
            </w14:solidFill>
          </w14:textFill>
        </w:rPr>
        <w:t>（项目编号：          ）的磋商结果，签订本合同。</w:t>
      </w:r>
    </w:p>
    <w:p w14:paraId="2876DB6C">
      <w:pPr>
        <w:widowControl/>
        <w:snapToGrid w:val="0"/>
        <w:spacing w:beforeLines="0" w:afterLines="0"/>
        <w:ind w:firstLine="482" w:firstLineChars="200"/>
        <w:jc w:val="left"/>
        <w:outlineLvl w:val="9"/>
        <w:rPr>
          <w:rFonts w:hint="default" w:ascii="宋体" w:hAnsi="宋体" w:eastAsia="宋体" w:cs="宋体"/>
          <w:b/>
          <w:bCs/>
          <w:color w:val="000000" w:themeColor="text1"/>
          <w:sz w:val="24"/>
          <w:szCs w:val="24"/>
          <w:lang w:val="en-US" w:eastAsia="zh-CN"/>
          <w14:textFill>
            <w14:solidFill>
              <w14:schemeClr w14:val="tx1"/>
            </w14:solidFill>
          </w14:textFill>
        </w:rPr>
      </w:pPr>
      <w:bookmarkStart w:id="338" w:name="_Toc23522"/>
      <w:r>
        <w:rPr>
          <w:rFonts w:hint="eastAsia" w:ascii="宋体" w:hAnsi="宋体" w:eastAsia="宋体" w:cs="宋体"/>
          <w:b/>
          <w:bCs/>
          <w:color w:val="000000" w:themeColor="text1"/>
          <w:sz w:val="24"/>
          <w:szCs w:val="24"/>
          <w14:textFill>
            <w14:solidFill>
              <w14:schemeClr w14:val="tx1"/>
            </w14:solidFill>
          </w14:textFill>
        </w:rPr>
        <w:t>一、</w:t>
      </w:r>
      <w:bookmarkEnd w:id="338"/>
      <w:r>
        <w:rPr>
          <w:rFonts w:hint="eastAsia" w:hAnsi="宋体" w:eastAsia="宋体" w:cs="宋体"/>
          <w:b/>
          <w:bCs/>
          <w:color w:val="000000" w:themeColor="text1"/>
          <w:sz w:val="24"/>
          <w:szCs w:val="24"/>
          <w:lang w:val="en-US" w:eastAsia="zh-CN"/>
          <w14:textFill>
            <w14:solidFill>
              <w14:schemeClr w14:val="tx1"/>
            </w14:solidFill>
          </w14:textFill>
        </w:rPr>
        <w:t>合同标的</w:t>
      </w:r>
    </w:p>
    <w:p w14:paraId="4F3C1ADD">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甲方终端用户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指</w:t>
      </w:r>
      <w:r>
        <w:rPr>
          <w:rFonts w:hint="eastAsia" w:ascii="宋体" w:hAnsi="宋体" w:eastAsia="宋体" w:cs="宋体"/>
          <w:color w:val="000000" w:themeColor="text1"/>
          <w:sz w:val="24"/>
          <w:szCs w:val="24"/>
          <w14:textFill>
            <w14:solidFill>
              <w14:schemeClr w14:val="tx1"/>
            </w14:solidFill>
          </w14:textFill>
        </w:rPr>
        <w:t>方源集团下属相关企业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下同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所购买的</w:t>
      </w:r>
      <w:r>
        <w:rPr>
          <w:rFonts w:hint="eastAsia" w:ascii="宋体" w:hAnsi="宋体" w:eastAsia="宋体" w:cs="宋体"/>
          <w:color w:val="000000" w:themeColor="text1"/>
          <w:sz w:val="24"/>
          <w:szCs w:val="24"/>
          <w14:textFill>
            <w14:solidFill>
              <w14:schemeClr w14:val="tx1"/>
            </w14:solidFill>
          </w14:textFill>
        </w:rPr>
        <w:t>乙方生产或销售的设备或耗材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产品品种具体以</w:t>
      </w:r>
      <w:r>
        <w:rPr>
          <w:rFonts w:hint="eastAsia" w:ascii="宋体" w:hAnsi="宋体" w:eastAsia="宋体" w:cs="宋体"/>
          <w:color w:val="000000" w:themeColor="text1"/>
          <w:sz w:val="24"/>
          <w:szCs w:val="24"/>
          <w14:textFill>
            <w14:solidFill>
              <w14:schemeClr w14:val="tx1"/>
            </w14:solidFill>
          </w14:textFill>
        </w:rPr>
        <w:t>甲方磋商文件、乙方响应文件和成交通知书</w:t>
      </w:r>
      <w:r>
        <w:rPr>
          <w:rFonts w:hint="eastAsia" w:ascii="宋体" w:hAnsi="宋体" w:eastAsia="宋体" w:cs="宋体"/>
          <w:color w:val="000000" w:themeColor="text1"/>
          <w:sz w:val="24"/>
          <w:szCs w:val="24"/>
          <w:lang w:val="en-US" w:eastAsia="zh-CN"/>
          <w14:textFill>
            <w14:solidFill>
              <w14:schemeClr w14:val="tx1"/>
            </w14:solidFill>
          </w14:textFill>
        </w:rPr>
        <w:t>为准</w:t>
      </w:r>
      <w:r>
        <w:rPr>
          <w:rFonts w:hint="eastAsia" w:ascii="宋体" w:hAnsi="宋体" w:eastAsia="宋体" w:cs="宋体"/>
          <w:color w:val="000000" w:themeColor="text1"/>
          <w:sz w:val="24"/>
          <w:szCs w:val="24"/>
          <w:lang w:eastAsia="zh-CN"/>
          <w14:textFill>
            <w14:solidFill>
              <w14:schemeClr w14:val="tx1"/>
            </w14:solidFill>
          </w14:textFill>
        </w:rPr>
        <w:t>）。</w:t>
      </w:r>
    </w:p>
    <w:p w14:paraId="53534E95">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二、产品价格</w:t>
      </w:r>
    </w:p>
    <w:p w14:paraId="12C7F117">
      <w:pPr>
        <w:widowControl/>
        <w:shd w:val="clear" w:color="auto" w:fill="FFFFFF"/>
        <w:snapToGrid w:val="0"/>
        <w:spacing w:before="0" w:beforeLines="0" w:after="0" w:afterLines="0"/>
        <w:ind w:firstLine="444" w:firstLineChars="185"/>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hAnsi="宋体" w:eastAsia="宋体" w:cs="宋体"/>
          <w:color w:val="000000" w:themeColor="text1"/>
          <w:sz w:val="24"/>
          <w:szCs w:val="24"/>
          <w:highlight w:val="none"/>
          <w:lang w:val="en-US" w:eastAsia="zh-CN"/>
          <w14:textFill>
            <w14:solidFill>
              <w14:schemeClr w14:val="tx1"/>
            </w14:solidFill>
          </w14:textFill>
        </w:rPr>
        <w:t>价格折扣比例</w:t>
      </w:r>
      <w:r>
        <w:rPr>
          <w:rFonts w:hint="eastAsia" w:ascii="宋体" w:hAnsi="宋体" w:eastAsia="宋体" w:cs="宋体"/>
          <w:color w:val="000000" w:themeColor="text1"/>
          <w:sz w:val="24"/>
          <w:szCs w:val="24"/>
          <w:highlight w:val="none"/>
          <w14:textFill>
            <w14:solidFill>
              <w14:schemeClr w14:val="tx1"/>
            </w14:solidFill>
          </w14:textFill>
        </w:rPr>
        <w:t>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4974"/>
      </w:tblGrid>
      <w:tr w14:paraId="2BE1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Align w:val="center"/>
          </w:tcPr>
          <w:p w14:paraId="37090661">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标段号</w:t>
            </w:r>
          </w:p>
        </w:tc>
        <w:tc>
          <w:tcPr>
            <w:tcW w:w="4974" w:type="dxa"/>
            <w:vAlign w:val="center"/>
          </w:tcPr>
          <w:p w14:paraId="0A7F008A">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价格折扣比例，%</w:t>
            </w:r>
          </w:p>
        </w:tc>
      </w:tr>
      <w:tr w14:paraId="40B2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Align w:val="center"/>
          </w:tcPr>
          <w:p w14:paraId="67CD8D76">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标段一</w:t>
            </w:r>
          </w:p>
        </w:tc>
        <w:tc>
          <w:tcPr>
            <w:tcW w:w="4974" w:type="dxa"/>
            <w:vAlign w:val="center"/>
          </w:tcPr>
          <w:p w14:paraId="63BF6699">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4FEB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Align w:val="center"/>
          </w:tcPr>
          <w:p w14:paraId="6B035297">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标段二</w:t>
            </w:r>
          </w:p>
        </w:tc>
        <w:tc>
          <w:tcPr>
            <w:tcW w:w="4974" w:type="dxa"/>
            <w:vAlign w:val="center"/>
          </w:tcPr>
          <w:p w14:paraId="7A331082">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532D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Align w:val="center"/>
          </w:tcPr>
          <w:p w14:paraId="2651CE6F">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标段三</w:t>
            </w:r>
          </w:p>
        </w:tc>
        <w:tc>
          <w:tcPr>
            <w:tcW w:w="4974" w:type="dxa"/>
            <w:vAlign w:val="center"/>
          </w:tcPr>
          <w:p w14:paraId="3C68C149">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48C8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Align w:val="center"/>
          </w:tcPr>
          <w:p w14:paraId="24504459">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标段四</w:t>
            </w:r>
          </w:p>
        </w:tc>
        <w:tc>
          <w:tcPr>
            <w:tcW w:w="4974" w:type="dxa"/>
            <w:vAlign w:val="center"/>
          </w:tcPr>
          <w:p w14:paraId="283830F5">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bl>
    <w:p w14:paraId="5014AA84">
      <w:pPr>
        <w:widowControl/>
        <w:shd w:val="clear" w:color="auto" w:fill="FFFFFF"/>
        <w:snapToGrid w:val="0"/>
        <w:spacing w:before="0" w:beforeLines="0" w:after="0" w:afterLines="0"/>
        <w:ind w:firstLine="444" w:firstLineChars="185"/>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表注：</w:t>
      </w:r>
    </w:p>
    <w:p w14:paraId="13F8861D">
      <w:pPr>
        <w:widowControl/>
        <w:shd w:val="clear" w:color="auto" w:fill="FFFFFF"/>
        <w:snapToGrid w:val="0"/>
        <w:spacing w:before="0" w:beforeLines="0" w:after="0" w:afterLines="0"/>
        <w:ind w:firstLine="444" w:firstLineChars="185"/>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1.在合作期内，乙方所供产品的价格折扣比例不得高于该所报价格折扣比例。价格折扣比例=(产品报价/磋商</w:t>
      </w:r>
      <w:r>
        <w:rPr>
          <w:rFonts w:hint="eastAsia" w:ascii="宋体" w:hAnsi="宋体" w:eastAsia="宋体" w:cs="宋体"/>
          <w:sz w:val="24"/>
          <w:szCs w:val="24"/>
          <w:highlight w:val="none"/>
          <w:lang w:val="en-US" w:eastAsia="zh-CN"/>
        </w:rPr>
        <w:t>开启日</w:t>
      </w:r>
      <w:r>
        <w:rPr>
          <w:rFonts w:hint="eastAsia" w:ascii="宋体" w:hAnsi="宋体" w:eastAsia="宋体" w:cs="宋体"/>
          <w:sz w:val="24"/>
          <w:szCs w:val="24"/>
          <w:highlight w:val="none"/>
        </w:rPr>
        <w:t>前2年</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rPr>
        <w:t>供应江苏区域最新市场销售价格)×100%。</w:t>
      </w:r>
    </w:p>
    <w:p w14:paraId="2E9611D9">
      <w:pPr>
        <w:widowControl/>
        <w:shd w:val="clear" w:color="auto" w:fill="FFFFFF"/>
        <w:snapToGrid w:val="0"/>
        <w:spacing w:before="0" w:beforeLines="0" w:after="0" w:afterLines="0"/>
        <w:ind w:firstLine="444" w:firstLineChars="185"/>
        <w:jc w:val="left"/>
        <w:outlineLvl w:val="9"/>
        <w:rPr>
          <w:rFonts w:hint="eastAsia" w:ascii="宋体" w:hAnsi="宋体" w:eastAsia="宋体" w:cs="宋体"/>
          <w:sz w:val="24"/>
          <w:szCs w:val="24"/>
        </w:rPr>
      </w:pPr>
      <w:r>
        <w:rPr>
          <w:rFonts w:hint="eastAsia" w:ascii="宋体" w:hAnsi="宋体" w:eastAsia="宋体" w:cs="宋体"/>
          <w:sz w:val="24"/>
          <w:szCs w:val="24"/>
          <w:highlight w:val="none"/>
        </w:rPr>
        <w:t>2.乙方最终磋商报价为产品采</w:t>
      </w:r>
      <w:r>
        <w:rPr>
          <w:rFonts w:hint="eastAsia" w:ascii="宋体" w:hAnsi="宋体" w:eastAsia="宋体" w:cs="宋体"/>
          <w:sz w:val="24"/>
          <w:szCs w:val="24"/>
        </w:rPr>
        <w:t>购结算价，包括材料、生产、人工、运输、安装、损耗、免费维保、增值税发票等所有费用，</w:t>
      </w:r>
      <w:r>
        <w:rPr>
          <w:rFonts w:hint="eastAsia" w:hAnsi="宋体" w:eastAsia="宋体" w:cs="宋体"/>
          <w:sz w:val="24"/>
          <w:szCs w:val="24"/>
          <w:lang w:val="en-US" w:eastAsia="zh-CN"/>
        </w:rPr>
        <w:t>乙方</w:t>
      </w:r>
      <w:r>
        <w:rPr>
          <w:rFonts w:hint="eastAsia" w:ascii="宋体" w:hAnsi="宋体" w:eastAsia="宋体" w:cs="宋体"/>
          <w:sz w:val="24"/>
          <w:szCs w:val="24"/>
        </w:rPr>
        <w:t>不得再向</w:t>
      </w:r>
      <w:r>
        <w:rPr>
          <w:rFonts w:hint="eastAsia" w:hAnsi="宋体" w:eastAsia="宋体" w:cs="宋体"/>
          <w:sz w:val="24"/>
          <w:szCs w:val="24"/>
          <w:lang w:val="en-US" w:eastAsia="zh-CN"/>
        </w:rPr>
        <w:t>甲方</w:t>
      </w:r>
      <w:r>
        <w:rPr>
          <w:rFonts w:hint="eastAsia" w:ascii="宋体" w:hAnsi="宋体" w:eastAsia="宋体" w:cs="宋体"/>
          <w:sz w:val="24"/>
          <w:szCs w:val="24"/>
        </w:rPr>
        <w:t>或</w:t>
      </w:r>
      <w:r>
        <w:rPr>
          <w:rFonts w:hint="eastAsia" w:hAnsi="宋体" w:eastAsia="宋体" w:cs="宋体"/>
          <w:sz w:val="24"/>
          <w:szCs w:val="24"/>
          <w:lang w:val="en-US" w:eastAsia="zh-CN"/>
        </w:rPr>
        <w:t>甲方</w:t>
      </w:r>
      <w:r>
        <w:rPr>
          <w:rFonts w:hint="eastAsia" w:ascii="宋体" w:hAnsi="宋体" w:eastAsia="宋体" w:cs="宋体"/>
          <w:sz w:val="24"/>
          <w:szCs w:val="24"/>
        </w:rPr>
        <w:t>终端用户收取其他任何费用。</w:t>
      </w:r>
    </w:p>
    <w:p w14:paraId="49C17894">
      <w:pPr>
        <w:widowControl/>
        <w:shd w:val="clear" w:color="auto" w:fill="FFFFFF"/>
        <w:snapToGrid w:val="0"/>
        <w:spacing w:before="0" w:beforeLines="0" w:after="0" w:afterLines="0"/>
        <w:ind w:firstLine="444" w:firstLineChars="185"/>
        <w:jc w:val="left"/>
        <w:outlineLvl w:val="9"/>
        <w:rPr>
          <w:rFonts w:hint="eastAsia" w:ascii="宋体" w:hAnsi="宋体" w:eastAsia="宋体" w:cs="宋体"/>
          <w:sz w:val="24"/>
          <w:szCs w:val="24"/>
        </w:rPr>
      </w:pPr>
      <w:r>
        <w:rPr>
          <w:rFonts w:hint="eastAsia" w:hAnsi="宋体" w:eastAsia="宋体" w:cs="宋体"/>
          <w:sz w:val="24"/>
          <w:szCs w:val="24"/>
          <w:lang w:val="en-US" w:eastAsia="zh-CN"/>
        </w:rPr>
        <w:t>3</w:t>
      </w:r>
      <w:r>
        <w:rPr>
          <w:rFonts w:hint="eastAsia" w:ascii="宋体" w:hAnsi="宋体" w:eastAsia="宋体" w:cs="宋体"/>
          <w:sz w:val="24"/>
          <w:szCs w:val="24"/>
        </w:rPr>
        <w:t>.乙方所供甲方产品的具体价格、品种等，按乙方与甲方</w:t>
      </w:r>
      <w:r>
        <w:rPr>
          <w:rFonts w:hint="eastAsia" w:hAnsi="宋体" w:eastAsia="宋体" w:cs="宋体"/>
          <w:sz w:val="24"/>
          <w:szCs w:val="24"/>
          <w:lang w:eastAsia="zh-CN"/>
        </w:rPr>
        <w:t>终端用户</w:t>
      </w:r>
      <w:r>
        <w:rPr>
          <w:rFonts w:hint="eastAsia" w:ascii="宋体" w:hAnsi="宋体" w:eastAsia="宋体" w:cs="宋体"/>
          <w:sz w:val="24"/>
          <w:szCs w:val="24"/>
        </w:rPr>
        <w:t>另行分签合同执行。</w:t>
      </w:r>
    </w:p>
    <w:p w14:paraId="76D69217">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bookmarkStart w:id="339" w:name="_Toc6451"/>
      <w:r>
        <w:rPr>
          <w:rFonts w:hint="eastAsia" w:ascii="宋体" w:hAnsi="宋体" w:eastAsia="宋体" w:cs="宋体"/>
          <w:b/>
          <w:bCs/>
          <w:color w:val="000000" w:themeColor="text1"/>
          <w:sz w:val="24"/>
          <w:szCs w:val="24"/>
          <w14:textFill>
            <w14:solidFill>
              <w14:schemeClr w14:val="tx1"/>
            </w14:solidFill>
          </w14:textFill>
        </w:rPr>
        <w:t>三、交货</w:t>
      </w:r>
      <w:r>
        <w:rPr>
          <w:rFonts w:hint="eastAsia" w:hAnsi="宋体" w:eastAsia="宋体" w:cs="宋体"/>
          <w:b/>
          <w:bCs/>
          <w:color w:val="000000" w:themeColor="text1"/>
          <w:sz w:val="24"/>
          <w:szCs w:val="24"/>
          <w:lang w:val="en-US" w:eastAsia="zh-CN"/>
          <w14:textFill>
            <w14:solidFill>
              <w14:schemeClr w14:val="tx1"/>
            </w14:solidFill>
          </w14:textFill>
        </w:rPr>
        <w:t>时间</w:t>
      </w:r>
      <w:r>
        <w:rPr>
          <w:rFonts w:hint="eastAsia" w:ascii="宋体" w:hAnsi="宋体" w:eastAsia="宋体" w:cs="宋体"/>
          <w:b/>
          <w:bCs/>
          <w:color w:val="000000" w:themeColor="text1"/>
          <w:sz w:val="24"/>
          <w:szCs w:val="24"/>
          <w14:textFill>
            <w14:solidFill>
              <w14:schemeClr w14:val="tx1"/>
            </w14:solidFill>
          </w14:textFill>
        </w:rPr>
        <w:t>、交货地点及交货方式</w:t>
      </w:r>
      <w:bookmarkEnd w:id="339"/>
    </w:p>
    <w:p w14:paraId="2216E1AF">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1.交货</w:t>
      </w:r>
      <w:r>
        <w:rPr>
          <w:rFonts w:hint="eastAsia" w:hAnsi="宋体" w:eastAsia="宋体" w:cs="宋体"/>
          <w:color w:val="000000" w:themeColor="text1"/>
          <w:sz w:val="24"/>
          <w:szCs w:val="24"/>
          <w:lang w:val="en-US" w:eastAsia="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：接到甲方终端用户送货通知的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日内将</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送至指定地点。</w:t>
      </w:r>
    </w:p>
    <w:p w14:paraId="32C087E9">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.交货地点：甲方终端用户指定地点</w:t>
      </w:r>
      <w:r>
        <w:rPr>
          <w:rFonts w:hint="eastAsia" w:ascii="宋体" w:hAnsi="宋体" w:eastAsia="宋体" w:cs="宋体"/>
          <w:color w:val="000000" w:themeColor="text1"/>
          <w:sz w:val="24"/>
          <w:szCs w:val="24"/>
          <w:lang w:eastAsia="zh-CN"/>
          <w14:textFill>
            <w14:solidFill>
              <w14:schemeClr w14:val="tx1"/>
            </w14:solidFill>
          </w14:textFill>
        </w:rPr>
        <w:t>。</w:t>
      </w:r>
    </w:p>
    <w:p w14:paraId="68822951">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.交货方式：现场成品交付。</w:t>
      </w:r>
    </w:p>
    <w:p w14:paraId="2ADDADF3">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bookmarkStart w:id="340" w:name="_Toc23480"/>
      <w:r>
        <w:rPr>
          <w:rFonts w:hint="eastAsia" w:ascii="宋体" w:hAnsi="宋体" w:eastAsia="宋体" w:cs="宋体"/>
          <w:b/>
          <w:bCs/>
          <w:color w:val="000000" w:themeColor="text1"/>
          <w:sz w:val="24"/>
          <w:szCs w:val="24"/>
          <w14:textFill>
            <w14:solidFill>
              <w14:schemeClr w14:val="tx1"/>
            </w14:solidFill>
          </w14:textFill>
        </w:rPr>
        <w:t>四、货物包装及运输</w:t>
      </w:r>
      <w:bookmarkEnd w:id="340"/>
    </w:p>
    <w:p w14:paraId="201132E2">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w:t>
      </w:r>
      <w:r>
        <w:rPr>
          <w:rFonts w:hint="eastAsia" w:ascii="宋体" w:hAnsi="宋体" w:eastAsia="宋体" w:cs="宋体"/>
          <w:sz w:val="24"/>
          <w:szCs w:val="24"/>
        </w:rPr>
        <w:t>所供产品的包装，应满足运输距离、防潮、防震、防锈和防破损装卸等要求，以保证产品安全运达</w:t>
      </w:r>
      <w:r>
        <w:rPr>
          <w:rFonts w:hint="eastAsia" w:hAnsi="宋体" w:eastAsia="宋体" w:cs="宋体"/>
          <w:sz w:val="24"/>
          <w:szCs w:val="24"/>
          <w:lang w:val="en-US" w:eastAsia="zh-CN"/>
        </w:rPr>
        <w:t>甲方</w:t>
      </w:r>
      <w:r>
        <w:rPr>
          <w:rFonts w:hint="eastAsia" w:ascii="宋体" w:hAnsi="宋体" w:eastAsia="宋体" w:cs="宋体"/>
          <w:sz w:val="24"/>
          <w:szCs w:val="24"/>
        </w:rPr>
        <w:t>终端用户指定地点。</w:t>
      </w:r>
    </w:p>
    <w:p w14:paraId="52AFFACA">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2.使用说明书、质量检验证明书、随配附件和工具以及清单</w:t>
      </w:r>
      <w:r>
        <w:rPr>
          <w:rFonts w:hint="eastAsia"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14:textFill>
            <w14:solidFill>
              <w14:schemeClr w14:val="tx1"/>
            </w14:solidFill>
          </w14:textFill>
        </w:rPr>
        <w:t>一并提供。</w:t>
      </w:r>
    </w:p>
    <w:p w14:paraId="49677657">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3.乙方在</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发运手续办理完毕后24小时内或货到甲方</w:t>
      </w:r>
      <w:r>
        <w:rPr>
          <w:rFonts w:hint="eastAsia" w:hAnsi="宋体" w:eastAsia="宋体" w:cs="宋体"/>
          <w:color w:val="000000" w:themeColor="text1"/>
          <w:sz w:val="24"/>
          <w:szCs w:val="24"/>
          <w:lang w:val="en-US" w:eastAsia="zh-CN"/>
          <w14:textFill>
            <w14:solidFill>
              <w14:schemeClr w14:val="tx1"/>
            </w14:solidFill>
          </w14:textFill>
        </w:rPr>
        <w:t>终端用户指定地点</w:t>
      </w:r>
      <w:r>
        <w:rPr>
          <w:rFonts w:hint="eastAsia" w:ascii="宋体" w:hAnsi="宋体" w:eastAsia="宋体" w:cs="宋体"/>
          <w:color w:val="000000" w:themeColor="text1"/>
          <w:sz w:val="24"/>
          <w:szCs w:val="24"/>
          <w14:textFill>
            <w14:solidFill>
              <w14:schemeClr w14:val="tx1"/>
            </w14:solidFill>
          </w14:textFill>
        </w:rPr>
        <w:t>48小时前通知甲方终端用户，以准备接货。</w:t>
      </w:r>
    </w:p>
    <w:p w14:paraId="71EEB592">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在交付甲方终端用户前发生的风险均由乙方负责。</w:t>
      </w:r>
    </w:p>
    <w:p w14:paraId="038D771B">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在</w:t>
      </w:r>
      <w:r>
        <w:rPr>
          <w:rFonts w:hint="eastAsia" w:hAnsi="宋体" w:eastAsia="宋体" w:cs="宋体"/>
          <w:color w:val="000000" w:themeColor="text1"/>
          <w:sz w:val="24"/>
          <w:szCs w:val="24"/>
          <w:lang w:val="en-US" w:eastAsia="zh-CN"/>
          <w14:textFill>
            <w14:solidFill>
              <w14:schemeClr w14:val="tx1"/>
            </w14:solidFill>
          </w14:textFill>
        </w:rPr>
        <w:t>约</w:t>
      </w:r>
      <w:r>
        <w:rPr>
          <w:rFonts w:hint="eastAsia" w:ascii="宋体" w:hAnsi="宋体" w:eastAsia="宋体" w:cs="宋体"/>
          <w:color w:val="000000" w:themeColor="text1"/>
          <w:sz w:val="24"/>
          <w:szCs w:val="24"/>
          <w14:textFill>
            <w14:solidFill>
              <w14:schemeClr w14:val="tx1"/>
            </w14:solidFill>
          </w14:textFill>
        </w:rPr>
        <w:t>定的交付期限内由乙方送达甲方终端用户指定的地点视为交付，乙方同时需通知甲方终端用户</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已送达。</w:t>
      </w:r>
    </w:p>
    <w:p w14:paraId="682FE3A5">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bookmarkStart w:id="341" w:name="_Toc10715"/>
      <w:r>
        <w:rPr>
          <w:rFonts w:hint="eastAsia" w:ascii="宋体" w:hAnsi="宋体" w:eastAsia="宋体" w:cs="宋体"/>
          <w:b/>
          <w:bCs/>
          <w:color w:val="000000" w:themeColor="text1"/>
          <w:sz w:val="24"/>
          <w:szCs w:val="24"/>
          <w14:textFill>
            <w14:solidFill>
              <w14:schemeClr w14:val="tx1"/>
            </w14:solidFill>
          </w14:textFill>
        </w:rPr>
        <w:t>五、付款方式</w:t>
      </w:r>
      <w:bookmarkEnd w:id="341"/>
    </w:p>
    <w:p w14:paraId="1110ECDA">
      <w:pPr>
        <w:widowControl/>
        <w:shd w:val="clear" w:color="auto" w:fill="FFFFFF"/>
        <w:snapToGrid w:val="0"/>
        <w:spacing w:before="0" w:beforeLines="0" w:after="0" w:afterLines="0"/>
        <w:ind w:firstLine="444" w:firstLineChars="185"/>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sz w:val="24"/>
          <w:szCs w:val="24"/>
        </w:rPr>
        <w:t>乙方所供甲方产品的具体价格</w:t>
      </w:r>
      <w:r>
        <w:rPr>
          <w:rFonts w:hint="eastAsia" w:ascii="宋体" w:hAnsi="宋体" w:eastAsia="宋体" w:cs="宋体"/>
          <w:sz w:val="24"/>
          <w:szCs w:val="24"/>
          <w:lang w:val="en-US" w:eastAsia="zh-CN"/>
        </w:rPr>
        <w:t>及付款</w:t>
      </w:r>
      <w:r>
        <w:rPr>
          <w:rFonts w:hint="eastAsia" w:ascii="宋体" w:hAnsi="宋体" w:eastAsia="宋体" w:cs="宋体"/>
          <w:sz w:val="24"/>
          <w:szCs w:val="24"/>
        </w:rPr>
        <w:t>，按乙方与甲方终端</w:t>
      </w:r>
      <w:r>
        <w:rPr>
          <w:rFonts w:hint="eastAsia" w:ascii="宋体" w:hAnsi="宋体" w:eastAsia="宋体" w:cs="宋体"/>
          <w:sz w:val="24"/>
          <w:szCs w:val="24"/>
          <w:lang w:val="en-US" w:eastAsia="zh-CN"/>
        </w:rPr>
        <w:t>用</w:t>
      </w:r>
      <w:r>
        <w:rPr>
          <w:rFonts w:hint="eastAsia" w:ascii="宋体" w:hAnsi="宋体" w:eastAsia="宋体" w:cs="宋体"/>
          <w:sz w:val="24"/>
          <w:szCs w:val="24"/>
        </w:rPr>
        <w:t>户另行分签合同执行</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14:textFill>
            <w14:solidFill>
              <w14:schemeClr w14:val="tx1"/>
            </w14:solidFill>
          </w14:textFill>
        </w:rPr>
        <w:t>款项由</w:t>
      </w:r>
      <w:r>
        <w:rPr>
          <w:rFonts w:hint="eastAsia" w:ascii="宋体" w:hAnsi="宋体" w:eastAsia="宋体" w:cs="宋体"/>
          <w:sz w:val="24"/>
          <w:szCs w:val="24"/>
        </w:rPr>
        <w:t>甲方终端</w:t>
      </w:r>
      <w:r>
        <w:rPr>
          <w:rFonts w:hint="eastAsia" w:ascii="宋体" w:hAnsi="宋体" w:eastAsia="宋体" w:cs="宋体"/>
          <w:sz w:val="24"/>
          <w:szCs w:val="24"/>
          <w:lang w:val="en-US" w:eastAsia="zh-CN"/>
        </w:rPr>
        <w:t>用</w:t>
      </w:r>
      <w:r>
        <w:rPr>
          <w:rFonts w:hint="eastAsia" w:ascii="宋体" w:hAnsi="宋体" w:eastAsia="宋体" w:cs="宋体"/>
          <w:sz w:val="24"/>
          <w:szCs w:val="24"/>
        </w:rPr>
        <w:t>户</w:t>
      </w:r>
      <w:r>
        <w:rPr>
          <w:rFonts w:hint="eastAsia" w:ascii="宋体" w:hAnsi="宋体" w:eastAsia="宋体" w:cs="宋体"/>
          <w:color w:val="000000" w:themeColor="text1"/>
          <w:sz w:val="24"/>
          <w:szCs w:val="24"/>
          <w14:textFill>
            <w14:solidFill>
              <w14:schemeClr w14:val="tx1"/>
            </w14:solidFill>
          </w14:textFill>
        </w:rPr>
        <w:t>各使用单位分别支付。</w:t>
      </w:r>
    </w:p>
    <w:p w14:paraId="74224F82">
      <w:pPr>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2.具体付款方式为</w:t>
      </w:r>
      <w:r>
        <w:rPr>
          <w:rFonts w:hint="eastAsia" w:ascii="宋体" w:hAnsi="宋体" w:eastAsia="宋体" w:cs="宋体"/>
          <w:sz w:val="24"/>
          <w:szCs w:val="24"/>
        </w:rPr>
        <w:t>：①标段一、标</w:t>
      </w:r>
      <w:r>
        <w:rPr>
          <w:rFonts w:hint="eastAsia" w:ascii="宋体" w:hAnsi="宋体" w:eastAsia="宋体" w:cs="宋体"/>
          <w:sz w:val="24"/>
          <w:szCs w:val="24"/>
          <w:highlight w:val="none"/>
        </w:rPr>
        <w:t>段二：</w:t>
      </w:r>
      <w:r>
        <w:rPr>
          <w:rFonts w:hint="eastAsia" w:ascii="宋体" w:hAnsi="宋体" w:eastAsia="宋体" w:cs="宋体"/>
          <w:color w:val="000000" w:themeColor="text1"/>
          <w:sz w:val="24"/>
          <w:szCs w:val="24"/>
          <w:highlight w:val="none"/>
          <w14:textFill>
            <w14:solidFill>
              <w14:schemeClr w14:val="tx1"/>
            </w14:solidFill>
          </w14:textFill>
        </w:rPr>
        <w:t>不预付货款；</w:t>
      </w:r>
      <w:r>
        <w:rPr>
          <w:rFonts w:hint="eastAsia"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终端用户收到</w:t>
      </w:r>
      <w:r>
        <w:rPr>
          <w:rFonts w:hint="eastAsia"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所供产品安装验收合格单和发票后，在第二个月（</w:t>
      </w:r>
      <w:r>
        <w:rPr>
          <w:rFonts w:hint="eastAsia" w:ascii="宋体" w:hAnsi="宋体" w:eastAsia="宋体" w:cs="宋体"/>
          <w:sz w:val="24"/>
          <w:szCs w:val="24"/>
          <w:highlight w:val="none"/>
        </w:rPr>
        <w:t>收到发票当月为第1月</w:t>
      </w:r>
      <w:r>
        <w:rPr>
          <w:rFonts w:hint="eastAsia" w:ascii="宋体" w:hAnsi="宋体" w:eastAsia="宋体" w:cs="宋体"/>
          <w:color w:val="000000" w:themeColor="text1"/>
          <w:sz w:val="24"/>
          <w:szCs w:val="24"/>
          <w:highlight w:val="none"/>
          <w14:textFill>
            <w14:solidFill>
              <w14:schemeClr w14:val="tx1"/>
            </w14:solidFill>
          </w14:textFill>
        </w:rPr>
        <w:t>）25日前支付应付款项的90%，余款（10%）于次年同月（发票开具月）25日前付清。②标段三、标段四：不预付货款；</w:t>
      </w:r>
      <w:r>
        <w:rPr>
          <w:rFonts w:hint="eastAsia"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终端用户收到</w:t>
      </w:r>
      <w:r>
        <w:rPr>
          <w:rFonts w:hint="eastAsia"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所供产品验收合格单和发票后，在第二个月（</w:t>
      </w:r>
      <w:r>
        <w:rPr>
          <w:rFonts w:hint="eastAsia" w:ascii="宋体" w:hAnsi="宋体" w:eastAsia="宋体" w:cs="宋体"/>
          <w:sz w:val="24"/>
          <w:szCs w:val="24"/>
          <w:highlight w:val="none"/>
        </w:rPr>
        <w:t>收到发票当月为第1月</w:t>
      </w:r>
      <w:r>
        <w:rPr>
          <w:rFonts w:hint="eastAsia" w:ascii="宋体" w:hAnsi="宋体" w:eastAsia="宋体" w:cs="宋体"/>
          <w:color w:val="000000" w:themeColor="text1"/>
          <w:sz w:val="24"/>
          <w:szCs w:val="24"/>
          <w:highlight w:val="none"/>
          <w14:textFill>
            <w14:solidFill>
              <w14:schemeClr w14:val="tx1"/>
            </w14:solidFill>
          </w14:textFill>
        </w:rPr>
        <w:t>）25日前支付应付款项的100%。</w:t>
      </w:r>
    </w:p>
    <w:p w14:paraId="53941827">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bookmarkStart w:id="342" w:name="_Toc10913"/>
      <w:r>
        <w:rPr>
          <w:rFonts w:hint="eastAsia" w:ascii="宋体" w:hAnsi="宋体" w:eastAsia="宋体" w:cs="宋体"/>
          <w:b/>
          <w:bCs/>
          <w:color w:val="000000" w:themeColor="text1"/>
          <w:sz w:val="24"/>
          <w:szCs w:val="24"/>
          <w14:textFill>
            <w14:solidFill>
              <w14:schemeClr w14:val="tx1"/>
            </w14:solidFill>
          </w14:textFill>
        </w:rPr>
        <w:t>六、质量保证及售后服务</w:t>
      </w:r>
      <w:bookmarkEnd w:id="342"/>
    </w:p>
    <w:p w14:paraId="49B79769">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hAnsi="宋体" w:eastAsia="宋体" w:cs="宋体"/>
          <w:color w:val="000000" w:themeColor="text1"/>
          <w:sz w:val="24"/>
          <w:szCs w:val="24"/>
          <w:lang w:val="en-US" w:eastAsia="zh-CN"/>
          <w14:textFill>
            <w14:solidFill>
              <w14:schemeClr w14:val="tx1"/>
            </w14:solidFill>
          </w14:textFill>
        </w:rPr>
        <w:t>各标段</w:t>
      </w:r>
      <w:r>
        <w:rPr>
          <w:rFonts w:hint="eastAsia" w:ascii="宋体" w:hAnsi="宋体" w:eastAsia="宋体" w:cs="宋体"/>
          <w:color w:val="000000" w:themeColor="text1"/>
          <w:sz w:val="24"/>
          <w:szCs w:val="24"/>
          <w14:textFill>
            <w14:solidFill>
              <w14:schemeClr w14:val="tx1"/>
            </w14:solidFill>
          </w14:textFill>
        </w:rPr>
        <w:t>通用条款</w:t>
      </w:r>
    </w:p>
    <w:p w14:paraId="5963BF92">
      <w:pPr>
        <w:snapToGrid w:val="0"/>
        <w:spacing w:beforeLines="0" w:afterLines="0"/>
        <w:ind w:firstLine="480" w:firstLineChars="200"/>
        <w:jc w:val="left"/>
        <w:outlineLvl w:val="9"/>
        <w:rPr>
          <w:rFonts w:hint="default" w:ascii="宋体" w:hAnsi="宋体" w:eastAsia="宋体" w:cs="宋体"/>
          <w:sz w:val="24"/>
          <w:szCs w:val="24"/>
          <w:lang w:val="en-US" w:eastAsia="zh-CN"/>
        </w:rPr>
      </w:pPr>
      <w:r>
        <w:rPr>
          <w:rFonts w:hint="eastAsia" w:hAnsi="宋体" w:eastAsia="宋体" w:cs="宋体"/>
          <w:sz w:val="24"/>
          <w:szCs w:val="24"/>
          <w:lang w:val="en-US" w:eastAsia="zh-CN"/>
        </w:rPr>
        <w:t>1.乙方</w:t>
      </w:r>
      <w:r>
        <w:rPr>
          <w:rFonts w:hint="eastAsia" w:ascii="宋体" w:hAnsi="宋体" w:eastAsia="宋体" w:cs="宋体"/>
          <w:sz w:val="24"/>
          <w:szCs w:val="24"/>
        </w:rPr>
        <w:t>所供产品</w:t>
      </w:r>
      <w:r>
        <w:rPr>
          <w:rFonts w:hint="eastAsia" w:ascii="宋体" w:hAnsi="宋体" w:eastAsia="宋体" w:cs="宋体"/>
          <w:sz w:val="24"/>
          <w:szCs w:val="24"/>
          <w:lang w:val="en-US" w:eastAsia="zh-CN"/>
        </w:rPr>
        <w:t>和</w:t>
      </w:r>
      <w:r>
        <w:rPr>
          <w:rFonts w:hint="eastAsia" w:ascii="宋体" w:hAnsi="宋体" w:eastAsia="宋体" w:cs="宋体"/>
          <w:sz w:val="24"/>
          <w:szCs w:val="24"/>
        </w:rPr>
        <w:t>生产制造所需要的所有主材和辅助材料的</w:t>
      </w:r>
      <w:r>
        <w:rPr>
          <w:rFonts w:hint="eastAsia" w:ascii="宋体" w:hAnsi="宋体" w:eastAsia="宋体" w:cs="宋体"/>
          <w:sz w:val="24"/>
          <w:szCs w:val="24"/>
          <w:lang w:val="en-US" w:eastAsia="zh-CN"/>
        </w:rPr>
        <w:t>质量以及</w:t>
      </w:r>
      <w:r>
        <w:rPr>
          <w:rFonts w:hint="eastAsia" w:ascii="宋体" w:hAnsi="宋体" w:eastAsia="宋体" w:cs="宋体"/>
          <w:sz w:val="24"/>
          <w:szCs w:val="24"/>
        </w:rPr>
        <w:t>生产、安</w:t>
      </w:r>
      <w:r>
        <w:rPr>
          <w:rFonts w:hint="eastAsia" w:hAnsi="宋体" w:eastAsia="宋体" w:cs="宋体"/>
          <w:sz w:val="24"/>
          <w:szCs w:val="24"/>
          <w:lang w:val="en-US" w:eastAsia="zh-CN"/>
        </w:rPr>
        <w:t>装、维修、检验、验收等，应严格按照相关国家标准、行业标准、地方标准执行。乙方应根据甲方终端用户要求，提供相关产品的质量检测报告。</w:t>
      </w:r>
    </w:p>
    <w:p w14:paraId="6FAE8761">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乙方应保证所供产品是全新、未使用过的原装合格正品，并完全符合本</w:t>
      </w:r>
      <w:r>
        <w:rPr>
          <w:rFonts w:hint="eastAsia" w:hAnsi="宋体" w:eastAsia="宋体" w:cs="宋体"/>
          <w:sz w:val="24"/>
          <w:szCs w:val="24"/>
          <w:lang w:val="en-US" w:eastAsia="zh-CN"/>
        </w:rPr>
        <w:t>项目</w:t>
      </w:r>
      <w:r>
        <w:rPr>
          <w:rFonts w:hint="eastAsia" w:ascii="宋体" w:hAnsi="宋体" w:eastAsia="宋体" w:cs="宋体"/>
          <w:sz w:val="24"/>
          <w:szCs w:val="24"/>
        </w:rPr>
        <w:t>磋商文件规定的质量、规格和性能的要求。</w:t>
      </w:r>
      <w:r>
        <w:rPr>
          <w:rFonts w:hint="eastAsia" w:ascii="宋体" w:hAnsi="宋体" w:eastAsia="宋体" w:cs="宋体"/>
          <w:color w:val="000000" w:themeColor="text1"/>
          <w:sz w:val="24"/>
          <w:szCs w:val="24"/>
          <w14:textFill>
            <w14:solidFill>
              <w14:schemeClr w14:val="tx1"/>
            </w14:solidFill>
          </w14:textFill>
        </w:rPr>
        <w:t>如甲方在实际测试中或经第三方检测达不到标注性能要求的，甲方有权要求解除合同，因此所产生的损失由乙方承担。</w:t>
      </w:r>
    </w:p>
    <w:p w14:paraId="29E34DBE">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.产品</w:t>
      </w:r>
      <w:r>
        <w:rPr>
          <w:rFonts w:hint="eastAsia" w:hAnsi="宋体" w:eastAsia="宋体" w:cs="宋体"/>
          <w:color w:val="000000" w:themeColor="text1"/>
          <w:sz w:val="24"/>
          <w:szCs w:val="24"/>
          <w:lang w:val="en-US" w:eastAsia="zh-CN"/>
          <w14:textFill>
            <w14:solidFill>
              <w14:schemeClr w14:val="tx1"/>
            </w14:solidFill>
          </w14:textFill>
        </w:rPr>
        <w:t>免费</w:t>
      </w:r>
      <w:r>
        <w:rPr>
          <w:rFonts w:hint="eastAsia" w:ascii="宋体" w:hAnsi="宋体" w:eastAsia="宋体" w:cs="宋体"/>
          <w:color w:val="000000" w:themeColor="text1"/>
          <w:sz w:val="24"/>
          <w:szCs w:val="24"/>
          <w14:textFill>
            <w14:solidFill>
              <w14:schemeClr w14:val="tx1"/>
            </w14:solidFill>
          </w14:textFill>
        </w:rPr>
        <w:t>质保期为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，质保期内由乙方提供免费保修服务，因</w:t>
      </w:r>
      <w:r>
        <w:rPr>
          <w:rFonts w:hint="eastAsia" w:ascii="宋体" w:hAnsi="宋体" w:eastAsia="宋体" w:cs="宋体"/>
          <w:sz w:val="24"/>
          <w:szCs w:val="24"/>
        </w:rPr>
        <w:t>甲方</w:t>
      </w:r>
      <w:r>
        <w:rPr>
          <w:rFonts w:hint="eastAsia" w:hAnsi="宋体" w:eastAsia="宋体" w:cs="宋体"/>
          <w:sz w:val="24"/>
          <w:szCs w:val="24"/>
          <w:lang w:val="en-US" w:eastAsia="zh-CN"/>
        </w:rPr>
        <w:t>终端用户</w:t>
      </w:r>
      <w:r>
        <w:rPr>
          <w:rFonts w:hint="eastAsia" w:ascii="宋体" w:hAnsi="宋体" w:eastAsia="宋体" w:cs="宋体"/>
          <w:color w:val="000000" w:themeColor="text1"/>
          <w:sz w:val="24"/>
          <w:szCs w:val="24"/>
          <w14:textFill>
            <w14:solidFill>
              <w14:schemeClr w14:val="tx1"/>
            </w14:solidFill>
          </w14:textFill>
        </w:rPr>
        <w:t>人为</w:t>
      </w:r>
      <w:r>
        <w:rPr>
          <w:rFonts w:hint="eastAsia" w:hAnsi="宋体" w:eastAsia="宋体" w:cs="宋体"/>
          <w:color w:val="000000" w:themeColor="text1"/>
          <w:sz w:val="24"/>
          <w:szCs w:val="24"/>
          <w:lang w:val="en-US"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出现的故障不在免费保修范围内。</w:t>
      </w:r>
    </w:p>
    <w:p w14:paraId="4E79EA99">
      <w:pPr>
        <w:widowControl/>
        <w:snapToGrid w:val="0"/>
        <w:spacing w:beforeLines="0" w:afterLines="0"/>
        <w:ind w:firstLine="480" w:firstLineChars="200"/>
        <w:jc w:val="left"/>
        <w:outlineLvl w:val="9"/>
        <w:rPr>
          <w:rFonts w:hint="eastAsia" w:ascii="宋体" w:hAnsi="宋体" w:eastAsia="宋体" w:cs="宋体"/>
          <w:sz w:val="24"/>
          <w:szCs w:val="24"/>
        </w:rPr>
      </w:pPr>
      <w:r>
        <w:rPr>
          <w:rFonts w:hint="eastAsia"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质保期内，非甲方</w:t>
      </w:r>
      <w:r>
        <w:rPr>
          <w:rFonts w:hint="eastAsia" w:hAnsi="宋体" w:eastAsia="宋体" w:cs="宋体"/>
          <w:sz w:val="24"/>
          <w:szCs w:val="24"/>
          <w:lang w:val="en-US" w:eastAsia="zh-CN"/>
        </w:rPr>
        <w:t>终端用户</w:t>
      </w:r>
      <w:r>
        <w:rPr>
          <w:rFonts w:hint="eastAsia" w:ascii="宋体" w:hAnsi="宋体" w:eastAsia="宋体" w:cs="宋体"/>
          <w:sz w:val="24"/>
          <w:szCs w:val="24"/>
        </w:rPr>
        <w:t>人为原因而出现产品质量问题的，由乙方负责包修、包退或包换，并承担因此而产生的一切费用。所有</w:t>
      </w:r>
      <w:r>
        <w:rPr>
          <w:rFonts w:hint="eastAsia" w:hAnsi="宋体" w:eastAsia="宋体" w:cs="宋体"/>
          <w:sz w:val="24"/>
          <w:szCs w:val="24"/>
          <w:lang w:val="en-US" w:eastAsia="zh-CN"/>
        </w:rPr>
        <w:t>产品</w:t>
      </w:r>
      <w:r>
        <w:rPr>
          <w:rFonts w:hint="eastAsia" w:ascii="宋体" w:hAnsi="宋体" w:eastAsia="宋体" w:cs="宋体"/>
          <w:sz w:val="24"/>
          <w:szCs w:val="24"/>
        </w:rPr>
        <w:t>质保维修服务方式均为上门服务，即由乙方派工作人员到</w:t>
      </w:r>
      <w:r>
        <w:rPr>
          <w:rFonts w:hint="eastAsia" w:hAnsi="宋体" w:eastAsia="宋体" w:cs="宋体"/>
          <w:sz w:val="24"/>
          <w:szCs w:val="24"/>
          <w:lang w:val="en-US" w:eastAsia="zh-CN"/>
        </w:rPr>
        <w:t>产品</w:t>
      </w:r>
      <w:r>
        <w:rPr>
          <w:rFonts w:hint="eastAsia" w:ascii="宋体" w:hAnsi="宋体" w:eastAsia="宋体" w:cs="宋体"/>
          <w:sz w:val="24"/>
          <w:szCs w:val="24"/>
        </w:rPr>
        <w:t>使用现场维修，由此产生的一切费用均由乙方承担。</w:t>
      </w:r>
    </w:p>
    <w:p w14:paraId="5FCDEEB3">
      <w:pPr>
        <w:widowControl/>
        <w:snapToGrid w:val="0"/>
        <w:spacing w:beforeLines="0" w:afterLines="0"/>
        <w:ind w:firstLine="480" w:firstLineChars="200"/>
        <w:jc w:val="left"/>
        <w:outlineLvl w:val="9"/>
        <w:rPr>
          <w:rFonts w:hint="eastAsia" w:ascii="宋体" w:hAnsi="宋体" w:eastAsia="宋体" w:cs="宋体"/>
          <w:sz w:val="24"/>
          <w:szCs w:val="24"/>
        </w:rPr>
      </w:pPr>
      <w:r>
        <w:rPr>
          <w:rFonts w:hint="eastAsia"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sz w:val="24"/>
          <w:szCs w:val="24"/>
        </w:rPr>
        <w:t>须设有售后服务维修电话，</w:t>
      </w:r>
      <w:r>
        <w:rPr>
          <w:rFonts w:hint="eastAsia" w:ascii="宋体" w:hAnsi="宋体" w:eastAsia="宋体" w:cs="宋体"/>
          <w:color w:val="000000" w:themeColor="text1"/>
          <w:sz w:val="24"/>
          <w:szCs w:val="24"/>
          <w14:textFill>
            <w14:solidFill>
              <w14:schemeClr w14:val="tx1"/>
            </w14:solidFill>
          </w14:textFill>
        </w:rPr>
        <w:t>为甲方</w:t>
      </w:r>
      <w:r>
        <w:rPr>
          <w:rFonts w:hint="eastAsia" w:hAnsi="宋体" w:eastAsia="宋体" w:cs="宋体"/>
          <w:sz w:val="24"/>
          <w:szCs w:val="24"/>
          <w:lang w:val="en-US" w:eastAsia="zh-CN"/>
        </w:rPr>
        <w:t>终端用户</w:t>
      </w:r>
      <w:r>
        <w:rPr>
          <w:rFonts w:hint="eastAsia" w:ascii="宋体" w:hAnsi="宋体" w:eastAsia="宋体" w:cs="宋体"/>
          <w:color w:val="000000" w:themeColor="text1"/>
          <w:sz w:val="24"/>
          <w:szCs w:val="24"/>
          <w14:textFill>
            <w14:solidFill>
              <w14:schemeClr w14:val="tx1"/>
            </w14:solidFill>
          </w14:textFill>
        </w:rPr>
        <w:t>提供免费的电话咨询及技术服务</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负责解答甲方</w:t>
      </w:r>
      <w:r>
        <w:rPr>
          <w:rFonts w:hint="eastAsia" w:hAnsi="宋体" w:eastAsia="宋体" w:cs="宋体"/>
          <w:sz w:val="24"/>
          <w:szCs w:val="24"/>
          <w:lang w:val="en-US" w:eastAsia="zh-CN"/>
        </w:rPr>
        <w:t>终端用户</w:t>
      </w:r>
      <w:r>
        <w:rPr>
          <w:rFonts w:hint="eastAsia" w:ascii="宋体" w:hAnsi="宋体" w:eastAsia="宋体" w:cs="宋体"/>
          <w:sz w:val="24"/>
          <w:szCs w:val="24"/>
        </w:rPr>
        <w:t>在使用过程中遇到的问题，及时提出解决问题的建议和操作方法。</w:t>
      </w:r>
    </w:p>
    <w:p w14:paraId="5603262C">
      <w:pPr>
        <w:spacing w:beforeLines="0" w:afterLines="0"/>
        <w:ind w:firstLine="480" w:firstLineChars="200"/>
        <w:outlineLvl w:val="9"/>
        <w:rPr>
          <w:rFonts w:hint="eastAsia" w:ascii="宋体" w:hAnsi="宋体" w:eastAsia="宋体" w:cs="宋体"/>
          <w:sz w:val="24"/>
          <w:szCs w:val="24"/>
        </w:rPr>
      </w:pPr>
      <w:r>
        <w:rPr>
          <w:rFonts w:hint="eastAsia" w:hAnsi="宋体" w:eastAsia="宋体" w:cs="宋体"/>
          <w:sz w:val="24"/>
          <w:szCs w:val="24"/>
          <w:lang w:val="en-US" w:eastAsia="zh-CN"/>
        </w:rPr>
        <w:t>6</w:t>
      </w:r>
      <w:r>
        <w:rPr>
          <w:rFonts w:hint="eastAsia" w:ascii="宋体" w:hAnsi="宋体" w:eastAsia="宋体" w:cs="宋体"/>
          <w:sz w:val="24"/>
          <w:szCs w:val="24"/>
        </w:rPr>
        <w:t>.售后服务响应时间：售后服务电话2小时响应，如设备（或货物）出现故障等问题且电话响应无法解决，</w:t>
      </w:r>
      <w:r>
        <w:rPr>
          <w:rFonts w:hint="eastAsia" w:hAnsi="宋体" w:eastAsia="宋体" w:cs="宋体"/>
          <w:sz w:val="24"/>
          <w:szCs w:val="24"/>
          <w:lang w:val="en-US" w:eastAsia="zh-CN"/>
        </w:rPr>
        <w:t>乙方</w:t>
      </w:r>
      <w:r>
        <w:rPr>
          <w:rFonts w:hint="eastAsia" w:ascii="宋体" w:hAnsi="宋体" w:eastAsia="宋体" w:cs="宋体"/>
          <w:sz w:val="24"/>
          <w:szCs w:val="24"/>
        </w:rPr>
        <w:t>须在24小时内到达现场并解决问题。</w:t>
      </w:r>
    </w:p>
    <w:p w14:paraId="4B143EE2">
      <w:pPr>
        <w:spacing w:beforeLines="0" w:afterLines="0"/>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（二）标段一、标段二供应商须另行遵守的售后服务条款</w:t>
      </w:r>
    </w:p>
    <w:p w14:paraId="66CA3257">
      <w:pPr>
        <w:pStyle w:val="24"/>
        <w:spacing w:beforeLines="0" w:afterLines="0"/>
        <w:ind w:firstLine="480" w:firstLineChars="200"/>
        <w:outlineLvl w:val="9"/>
        <w:rPr>
          <w:rFonts w:hint="eastAsia" w:ascii="宋体" w:hAnsi="宋体" w:eastAsia="宋体" w:cs="宋体"/>
          <w:color w:val="000000" w:themeColor="text1"/>
          <w:sz w:val="24"/>
          <w:szCs w:val="24"/>
          <w14:textFill>
            <w14:solidFill>
              <w14:schemeClr w14:val="tx1"/>
            </w14:solidFill>
          </w14:textFill>
        </w:rPr>
      </w:pPr>
      <w:bookmarkStart w:id="343" w:name="_Toc27990"/>
      <w:r>
        <w:rPr>
          <w:rFonts w:hint="eastAsia" w:ascii="宋体" w:hAnsi="宋体" w:eastAsia="宋体" w:cs="宋体"/>
          <w:color w:val="000000" w:themeColor="text1"/>
          <w:sz w:val="24"/>
          <w:szCs w:val="24"/>
          <w14:textFill>
            <w14:solidFill>
              <w14:schemeClr w14:val="tx1"/>
            </w14:solidFill>
          </w14:textFill>
        </w:rPr>
        <w:t>1.乙方负责所供产品的安装调试服务并确保通过甲方终端</w:t>
      </w:r>
      <w:r>
        <w:rPr>
          <w:rFonts w:hint="eastAsia" w:hAnsi="宋体" w:eastAsia="宋体" w:cs="宋体"/>
          <w:color w:val="000000" w:themeColor="text1"/>
          <w:sz w:val="24"/>
          <w:szCs w:val="24"/>
          <w:lang w:val="en-US" w:eastAsia="zh-CN"/>
          <w14:textFill>
            <w14:solidFill>
              <w14:schemeClr w14:val="tx1"/>
            </w14:solidFill>
          </w14:textFill>
        </w:rPr>
        <w:t>用</w:t>
      </w:r>
      <w:r>
        <w:rPr>
          <w:rFonts w:hint="eastAsia" w:ascii="宋体" w:hAnsi="宋体" w:eastAsia="宋体" w:cs="宋体"/>
          <w:color w:val="000000" w:themeColor="text1"/>
          <w:sz w:val="24"/>
          <w:szCs w:val="24"/>
          <w14:textFill>
            <w14:solidFill>
              <w14:schemeClr w14:val="tx1"/>
            </w14:solidFill>
          </w14:textFill>
        </w:rPr>
        <w:t>户的验收。如产品存在质量问题，实行1个月（自安装调试验收合格之日起)包换。</w:t>
      </w:r>
    </w:p>
    <w:p w14:paraId="7D9D9ACA">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2.乙方根据甲方</w:t>
      </w:r>
      <w:r>
        <w:rPr>
          <w:rFonts w:hint="eastAsia" w:hAnsi="宋体" w:eastAsia="宋体" w:cs="宋体"/>
          <w:sz w:val="24"/>
          <w:szCs w:val="24"/>
          <w:lang w:val="en-US" w:eastAsia="zh-CN"/>
        </w:rPr>
        <w:t>终端用户</w:t>
      </w:r>
      <w:r>
        <w:rPr>
          <w:rFonts w:hint="eastAsia" w:ascii="宋体" w:hAnsi="宋体" w:eastAsia="宋体" w:cs="宋体"/>
          <w:color w:val="000000" w:themeColor="text1"/>
          <w:sz w:val="24"/>
          <w:szCs w:val="24"/>
          <w14:textFill>
            <w14:solidFill>
              <w14:schemeClr w14:val="tx1"/>
            </w14:solidFill>
          </w14:textFill>
        </w:rPr>
        <w:t>的需求，为甲方</w:t>
      </w:r>
      <w:r>
        <w:rPr>
          <w:rFonts w:hint="eastAsia" w:hAnsi="宋体" w:eastAsia="宋体" w:cs="宋体"/>
          <w:sz w:val="24"/>
          <w:szCs w:val="24"/>
          <w:lang w:val="en-US" w:eastAsia="zh-CN"/>
        </w:rPr>
        <w:t>终端用户</w:t>
      </w:r>
      <w:r>
        <w:rPr>
          <w:rFonts w:hint="eastAsia" w:ascii="宋体" w:hAnsi="宋体" w:eastAsia="宋体" w:cs="宋体"/>
          <w:color w:val="000000" w:themeColor="text1"/>
          <w:sz w:val="24"/>
          <w:szCs w:val="24"/>
          <w14:textFill>
            <w14:solidFill>
              <w14:schemeClr w14:val="tx1"/>
            </w14:solidFill>
          </w14:textFill>
        </w:rPr>
        <w:t>提供产品线规划方案并协助实施。</w:t>
      </w:r>
    </w:p>
    <w:p w14:paraId="444E90FF">
      <w:pPr>
        <w:widowControl/>
        <w:shd w:val="clear" w:color="auto" w:fill="FFFFFF"/>
        <w:snapToGrid w:val="0"/>
        <w:spacing w:beforeLines="0" w:afterLines="0"/>
        <w:ind w:firstLine="480" w:firstLineChars="200"/>
        <w:jc w:val="left"/>
        <w:outlineLvl w:val="9"/>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sz w:val="24"/>
          <w:szCs w:val="24"/>
        </w:rPr>
        <w:t>乙方提供设备</w:t>
      </w:r>
      <w:r>
        <w:rPr>
          <w:rFonts w:hint="eastAsia" w:ascii="宋体" w:hAnsi="宋体" w:eastAsia="宋体" w:cs="宋体"/>
          <w:color w:val="000000" w:themeColor="text1"/>
          <w:sz w:val="24"/>
          <w:szCs w:val="24"/>
          <w14:textFill>
            <w14:solidFill>
              <w14:schemeClr w14:val="tx1"/>
            </w14:solidFill>
          </w14:textFill>
        </w:rPr>
        <w:t>终身售后服务</w:t>
      </w:r>
      <w:r>
        <w:rPr>
          <w:rFonts w:hint="eastAsia" w:ascii="宋体" w:hAnsi="宋体" w:eastAsia="宋体" w:cs="宋体"/>
          <w:sz w:val="24"/>
          <w:szCs w:val="24"/>
        </w:rPr>
        <w:t>，在设备的设计使用寿命周期内，保证</w:t>
      </w:r>
      <w:r>
        <w:rPr>
          <w:rFonts w:hint="eastAsia" w:hAnsi="宋体" w:eastAsia="宋体" w:cs="宋体"/>
          <w:sz w:val="24"/>
          <w:szCs w:val="24"/>
          <w:lang w:val="en-US" w:eastAsia="zh-CN"/>
        </w:rPr>
        <w:t>甲方</w:t>
      </w:r>
      <w:r>
        <w:rPr>
          <w:rFonts w:hint="eastAsia" w:ascii="宋体" w:hAnsi="宋体" w:eastAsia="宋体" w:cs="宋体"/>
          <w:sz w:val="24"/>
          <w:szCs w:val="24"/>
        </w:rPr>
        <w:t>终端用户更换到原厂正宗的备件材料，以确保设备的正常使用。</w:t>
      </w:r>
      <w:r>
        <w:rPr>
          <w:rFonts w:hint="eastAsia" w:ascii="宋体" w:hAnsi="宋体" w:eastAsia="宋体" w:cs="宋体"/>
          <w:color w:val="000000" w:themeColor="text1"/>
          <w:sz w:val="24"/>
          <w:szCs w:val="24"/>
          <w14:textFill>
            <w14:solidFill>
              <w14:schemeClr w14:val="tx1"/>
            </w14:solidFill>
          </w14:textFill>
        </w:rPr>
        <w:t>保修范围外的零部件、配件损坏，如需更换零部件、配件，按不高于市场价</w:t>
      </w:r>
      <w:r>
        <w:rPr>
          <w:rFonts w:hint="eastAsia"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u w:val="single"/>
          <w:lang w:val="en-US" w:eastAsia="zh-CN"/>
          <w14:textFill>
            <w14:solidFill>
              <w14:schemeClr w14:val="tx1"/>
            </w14:solidFill>
          </w14:textFill>
        </w:rPr>
        <w:t xml:space="preserve">   </w:t>
      </w:r>
      <w:r>
        <w:rPr>
          <w:rFonts w:hint="eastAsia"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收取。</w:t>
      </w:r>
    </w:p>
    <w:p w14:paraId="27F48B08">
      <w:pPr>
        <w:widowControl/>
        <w:shd w:val="clear" w:color="auto" w:fill="FFFFFF"/>
        <w:snapToGrid w:val="0"/>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4.乙方应免费对甲方终端用户指定人员（不少于2人）进行现场培训，并直至正常使用设备。根据甲方终端</w:t>
      </w:r>
      <w:r>
        <w:rPr>
          <w:rFonts w:hint="eastAsia" w:hAnsi="宋体" w:eastAsia="宋体" w:cs="宋体"/>
          <w:sz w:val="24"/>
          <w:szCs w:val="24"/>
          <w:lang w:val="en-US" w:eastAsia="zh-CN"/>
        </w:rPr>
        <w:t>用户</w:t>
      </w:r>
      <w:r>
        <w:rPr>
          <w:rFonts w:hint="eastAsia" w:ascii="宋体" w:hAnsi="宋体" w:eastAsia="宋体" w:cs="宋体"/>
          <w:sz w:val="24"/>
          <w:szCs w:val="24"/>
        </w:rPr>
        <w:t>需要，乙方应提供详细的培训方案、计划、课程、人员及期限，培训的内容应包括但不限于：设备正常操作和使用方法、日常维护和保养方法、安全操作规程、安全注意事项等。</w:t>
      </w:r>
    </w:p>
    <w:p w14:paraId="6A0C4A18">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5.乙方免费向甲方</w:t>
      </w:r>
      <w:r>
        <w:rPr>
          <w:rFonts w:hint="eastAsia" w:ascii="宋体" w:hAnsi="宋体" w:eastAsia="宋体" w:cs="宋体"/>
          <w:sz w:val="24"/>
          <w:szCs w:val="24"/>
        </w:rPr>
        <w:t>终端用户</w:t>
      </w:r>
      <w:r>
        <w:rPr>
          <w:rFonts w:hint="eastAsia" w:ascii="宋体" w:hAnsi="宋体" w:eastAsia="宋体" w:cs="宋体"/>
          <w:color w:val="000000" w:themeColor="text1"/>
          <w:sz w:val="24"/>
          <w:szCs w:val="24"/>
          <w14:textFill>
            <w14:solidFill>
              <w14:schemeClr w14:val="tx1"/>
            </w14:solidFill>
          </w14:textFill>
        </w:rPr>
        <w:t>提供产品售后技术指导。甲方及甲方</w:t>
      </w:r>
      <w:r>
        <w:rPr>
          <w:rFonts w:hint="eastAsia" w:ascii="宋体" w:hAnsi="宋体" w:eastAsia="宋体" w:cs="宋体"/>
          <w:sz w:val="24"/>
          <w:szCs w:val="24"/>
        </w:rPr>
        <w:t>终端用户</w:t>
      </w:r>
      <w:r>
        <w:rPr>
          <w:rFonts w:hint="eastAsia" w:ascii="宋体" w:hAnsi="宋体" w:eastAsia="宋体" w:cs="宋体"/>
          <w:color w:val="000000" w:themeColor="text1"/>
          <w:sz w:val="24"/>
          <w:szCs w:val="24"/>
          <w14:textFill>
            <w14:solidFill>
              <w14:schemeClr w14:val="tx1"/>
            </w14:solidFill>
          </w14:textFill>
        </w:rPr>
        <w:t>可根据自身需求，定期组织技术人员至乙方进行学习和培训，乙方有义务利用自身资源对甲方及甲方终端用户技术人员进行技术培训。</w:t>
      </w:r>
    </w:p>
    <w:p w14:paraId="28CAE18B">
      <w:pPr>
        <w:widowControl/>
        <w:shd w:val="clear" w:color="auto" w:fill="FFFFFF"/>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6.乙方</w:t>
      </w:r>
      <w:r>
        <w:rPr>
          <w:rFonts w:hint="eastAsia"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14:textFill>
            <w14:solidFill>
              <w14:schemeClr w14:val="tx1"/>
            </w14:solidFill>
          </w14:textFill>
        </w:rPr>
        <w:t>为</w:t>
      </w:r>
      <w:r>
        <w:rPr>
          <w:rFonts w:hint="eastAsia" w:hAnsi="宋体" w:eastAsia="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lang w:val="en-US" w:eastAsia="zh-CN"/>
          <w14:textFill>
            <w14:solidFill>
              <w14:schemeClr w14:val="tx1"/>
            </w14:solidFill>
          </w14:textFill>
        </w:rPr>
        <w:t>及</w:t>
      </w:r>
      <w:r>
        <w:rPr>
          <w:rFonts w:hint="eastAsia" w:hAnsi="宋体" w:eastAsia="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每年提供不少于一次的新产品推广服务活动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参与甲方</w:t>
      </w:r>
      <w:r>
        <w:rPr>
          <w:rFonts w:hint="eastAsia" w:ascii="宋体" w:hAnsi="宋体" w:eastAsia="宋体" w:cs="宋体"/>
          <w:sz w:val="24"/>
          <w:szCs w:val="24"/>
        </w:rPr>
        <w:t>不定期组织</w:t>
      </w:r>
      <w:r>
        <w:rPr>
          <w:rFonts w:hint="eastAsia" w:hAnsi="宋体" w:eastAsia="宋体" w:cs="宋体"/>
          <w:sz w:val="24"/>
          <w:szCs w:val="24"/>
          <w:lang w:val="en-US" w:eastAsia="zh-CN"/>
        </w:rPr>
        <w:t>的</w:t>
      </w:r>
      <w:r>
        <w:rPr>
          <w:rFonts w:hint="eastAsia" w:ascii="宋体" w:hAnsi="宋体" w:eastAsia="宋体" w:cs="宋体"/>
          <w:sz w:val="24"/>
          <w:szCs w:val="24"/>
        </w:rPr>
        <w:t>新产品展示活动。</w:t>
      </w:r>
    </w:p>
    <w:p w14:paraId="6372135F">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七、违约责任</w:t>
      </w:r>
      <w:bookmarkEnd w:id="343"/>
    </w:p>
    <w:p w14:paraId="57D1BED0">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bookmarkStart w:id="344" w:name="_Toc16394"/>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.乙方逾期交付货物的，乙方应按逾期交货总额每日</w:t>
      </w:r>
      <w:r>
        <w:rPr>
          <w:rFonts w:hint="eastAsia" w:hAnsi="宋体" w:eastAsia="宋体" w:cs="宋体"/>
          <w:color w:val="000000" w:themeColor="text1"/>
          <w:sz w:val="24"/>
          <w:szCs w:val="24"/>
          <w:lang w:val="en-US" w:eastAsia="zh-CN"/>
          <w14:textFill>
            <w14:solidFill>
              <w14:schemeClr w14:val="tx1"/>
            </w14:solidFill>
          </w14:textFill>
        </w:rPr>
        <w:t>万</w:t>
      </w:r>
      <w:r>
        <w:rPr>
          <w:rFonts w:hint="eastAsia" w:ascii="宋体" w:hAnsi="宋体" w:eastAsia="宋体" w:cs="宋体"/>
          <w:color w:val="000000" w:themeColor="text1"/>
          <w:sz w:val="24"/>
          <w:szCs w:val="24"/>
          <w14:textFill>
            <w14:solidFill>
              <w14:schemeClr w14:val="tx1"/>
            </w14:solidFill>
          </w14:textFill>
        </w:rPr>
        <w:t>分之</w:t>
      </w:r>
      <w:r>
        <w:rPr>
          <w:rFonts w:hint="eastAsia"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向甲方</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支付违约金，由甲方</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从待付货款中扣除。逾期超过约定日期10个工作日不能交货的，甲方</w:t>
      </w:r>
      <w:r>
        <w:rPr>
          <w:rFonts w:hint="eastAsia" w:hAnsi="宋体" w:eastAsia="宋体" w:cs="宋体"/>
          <w:color w:val="000000" w:themeColor="text1"/>
          <w:sz w:val="24"/>
          <w:szCs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可解除本合同。乙方因逾期交货或因其他违约行为导致甲方解除合同的，乙方应向甲方</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支付合同</w:t>
      </w:r>
      <w:r>
        <w:rPr>
          <w:rFonts w:hint="eastAsia" w:ascii="宋体" w:hAnsi="宋体" w:eastAsia="宋体" w:cs="宋体"/>
          <w:color w:val="000000" w:themeColor="text1"/>
          <w:sz w:val="24"/>
          <w:szCs w:val="24"/>
          <w:lang w:val="en-US" w:eastAsia="zh-CN"/>
          <w14:textFill>
            <w14:solidFill>
              <w14:schemeClr w14:val="tx1"/>
            </w14:solidFill>
          </w14:textFill>
        </w:rPr>
        <w:t>总价10%</w:t>
      </w:r>
      <w:r>
        <w:rPr>
          <w:rFonts w:hint="eastAsia" w:ascii="宋体" w:hAnsi="宋体" w:eastAsia="宋体" w:cs="宋体"/>
          <w:color w:val="000000" w:themeColor="text1"/>
          <w:sz w:val="24"/>
          <w:szCs w:val="24"/>
          <w14:textFill>
            <w14:solidFill>
              <w14:schemeClr w14:val="tx1"/>
            </w14:solidFill>
          </w14:textFill>
        </w:rPr>
        <w:t>的违约金，如造成甲方</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损失超过违约金的，超出部分由乙方继续承担赔偿责任。</w:t>
      </w:r>
    </w:p>
    <w:p w14:paraId="7E13B08D">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.乙方所交的</w:t>
      </w:r>
      <w:r>
        <w:rPr>
          <w:rFonts w:hint="eastAsia" w:ascii="宋体"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品种、型号、规格、技术参数、质量不符合合同</w:t>
      </w:r>
      <w:r>
        <w:rPr>
          <w:rFonts w:hint="eastAsia" w:hAnsi="宋体" w:eastAsia="宋体" w:cs="宋体"/>
          <w:color w:val="000000" w:themeColor="text1"/>
          <w:sz w:val="24"/>
          <w:szCs w:val="24"/>
          <w:lang w:val="en-US" w:eastAsia="zh-CN"/>
          <w14:textFill>
            <w14:solidFill>
              <w14:schemeClr w14:val="tx1"/>
            </w14:solidFill>
          </w14:textFill>
        </w:rPr>
        <w:t>约定</w:t>
      </w:r>
      <w:r>
        <w:rPr>
          <w:rFonts w:hint="eastAsia" w:ascii="宋体" w:hAnsi="宋体" w:eastAsia="宋体" w:cs="宋体"/>
          <w:color w:val="000000" w:themeColor="text1"/>
          <w:sz w:val="24"/>
          <w:szCs w:val="24"/>
          <w14:textFill>
            <w14:solidFill>
              <w14:schemeClr w14:val="tx1"/>
            </w14:solidFill>
          </w14:textFill>
        </w:rPr>
        <w:t>及</w:t>
      </w:r>
      <w:r>
        <w:rPr>
          <w:rFonts w:hint="eastAsia"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文件规定标准的，甲方</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有权拒收该</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乙方愿意更换</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但逾期</w:t>
      </w:r>
      <w:r>
        <w:rPr>
          <w:rFonts w:hint="eastAsia" w:hAnsi="宋体" w:eastAsia="宋体" w:cs="宋体"/>
          <w:color w:val="000000" w:themeColor="text1"/>
          <w:sz w:val="24"/>
          <w:szCs w:val="24"/>
          <w:lang w:val="en-US" w:eastAsia="zh-CN"/>
          <w14:textFill>
            <w14:solidFill>
              <w14:schemeClr w14:val="tx1"/>
            </w14:solidFill>
          </w14:textFill>
        </w:rPr>
        <w:t>交付</w:t>
      </w:r>
      <w:r>
        <w:rPr>
          <w:rFonts w:hint="eastAsia" w:ascii="宋体" w:hAnsi="宋体" w:eastAsia="宋体" w:cs="宋体"/>
          <w:color w:val="000000" w:themeColor="text1"/>
          <w:sz w:val="24"/>
          <w:szCs w:val="24"/>
          <w14:textFill>
            <w14:solidFill>
              <w14:schemeClr w14:val="tx1"/>
            </w14:solidFill>
          </w14:textFill>
        </w:rPr>
        <w:t>的，按乙方逾期交货处理。乙方拒绝更换</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的，甲方</w:t>
      </w:r>
      <w:r>
        <w:rPr>
          <w:rFonts w:hint="eastAsia" w:hAnsi="宋体" w:eastAsia="宋体" w:cs="宋体"/>
          <w:color w:val="000000" w:themeColor="text1"/>
          <w:sz w:val="24"/>
          <w:szCs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可单方面解除合同。</w:t>
      </w:r>
    </w:p>
    <w:p w14:paraId="38186093">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未按约定</w:t>
      </w:r>
      <w:r>
        <w:rPr>
          <w:rFonts w:hint="eastAsia" w:ascii="宋体" w:hAnsi="宋体" w:eastAsia="宋体" w:cs="宋体"/>
          <w:color w:val="000000" w:themeColor="text1"/>
          <w:sz w:val="24"/>
          <w:szCs w:val="24"/>
          <w14:textFill>
            <w14:solidFill>
              <w14:schemeClr w14:val="tx1"/>
            </w14:solidFill>
          </w14:textFill>
        </w:rPr>
        <w:t>提供售后服务的，视为乙方违约，甲方</w:t>
      </w:r>
      <w:r>
        <w:rPr>
          <w:rFonts w:hint="eastAsia" w:hAnsi="宋体" w:eastAsia="宋体" w:cs="宋体"/>
          <w:color w:val="000000" w:themeColor="text1"/>
          <w:sz w:val="24"/>
          <w:szCs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val="en-US" w:eastAsia="zh-CN"/>
          <w14:textFill>
            <w14:solidFill>
              <w14:schemeClr w14:val="tx1"/>
            </w14:solidFill>
          </w14:textFill>
        </w:rPr>
        <w:t>终端用户</w:t>
      </w:r>
      <w:r>
        <w:rPr>
          <w:rFonts w:hint="eastAsia" w:ascii="宋体" w:hAnsi="宋体" w:eastAsia="宋体" w:cs="宋体"/>
          <w:color w:val="000000" w:themeColor="text1"/>
          <w:sz w:val="24"/>
          <w:szCs w:val="24"/>
          <w14:textFill>
            <w14:solidFill>
              <w14:schemeClr w14:val="tx1"/>
            </w14:solidFill>
          </w14:textFill>
        </w:rPr>
        <w:t>将按乙方逾期交付的约定追究乙方的违约责任。</w:t>
      </w:r>
    </w:p>
    <w:p w14:paraId="10F4847C">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八、不可抗力</w:t>
      </w:r>
      <w:bookmarkEnd w:id="344"/>
    </w:p>
    <w:p w14:paraId="01F84D88">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14:paraId="4921AA59">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2.不可抗力事件发生后，应立即通知对方，并寄送有关权威机构出具的证明。</w:t>
      </w:r>
    </w:p>
    <w:p w14:paraId="2C796781">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3.不可抗力事件延续120天以上，双方应通过友好协商，确定是否继续履行合同。</w:t>
      </w:r>
    </w:p>
    <w:p w14:paraId="0EF72182">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bookmarkStart w:id="345" w:name="_Toc24293"/>
      <w:r>
        <w:rPr>
          <w:rFonts w:hint="eastAsia" w:ascii="宋体" w:hAnsi="宋体" w:eastAsia="宋体" w:cs="宋体"/>
          <w:b/>
          <w:bCs/>
          <w:color w:val="000000" w:themeColor="text1"/>
          <w:sz w:val="24"/>
          <w:szCs w:val="24"/>
          <w14:textFill>
            <w14:solidFill>
              <w14:schemeClr w14:val="tx1"/>
            </w14:solidFill>
          </w14:textFill>
        </w:rPr>
        <w:t>九、解决争议的方法</w:t>
      </w:r>
      <w:bookmarkEnd w:id="345"/>
    </w:p>
    <w:p w14:paraId="65B96856">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双方在执行合同中所发生的一切争议，应通过协商解决。如协商不成，可向甲方所在地法院起诉。</w:t>
      </w:r>
    </w:p>
    <w:p w14:paraId="4A776776">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lang w:eastAsia="zh-CN"/>
          <w14:textFill>
            <w14:solidFill>
              <w14:schemeClr w14:val="tx1"/>
            </w14:solidFill>
          </w14:textFill>
        </w:rPr>
      </w:pPr>
      <w:bookmarkStart w:id="346" w:name="_Toc18209"/>
      <w:r>
        <w:rPr>
          <w:rFonts w:hint="eastAsia" w:ascii="宋体" w:hAnsi="宋体" w:eastAsia="宋体" w:cs="宋体"/>
          <w:b/>
          <w:bCs/>
          <w:color w:val="000000" w:themeColor="text1"/>
          <w:sz w:val="24"/>
          <w:szCs w:val="24"/>
          <w14:textFill>
            <w14:solidFill>
              <w14:schemeClr w14:val="tx1"/>
            </w14:solidFill>
          </w14:textFill>
        </w:rPr>
        <w:t>十、合同生效及其</w:t>
      </w:r>
      <w:bookmarkEnd w:id="346"/>
      <w:r>
        <w:rPr>
          <w:rFonts w:hint="eastAsia" w:hAnsi="宋体" w:eastAsia="宋体" w:cs="宋体"/>
          <w:b/>
          <w:bCs/>
          <w:color w:val="000000" w:themeColor="text1"/>
          <w:sz w:val="24"/>
          <w:szCs w:val="24"/>
          <w:lang w:val="en-US" w:eastAsia="zh-CN"/>
          <w14:textFill>
            <w14:solidFill>
              <w14:schemeClr w14:val="tx1"/>
            </w14:solidFill>
          </w14:textFill>
        </w:rPr>
        <w:t>他</w:t>
      </w:r>
    </w:p>
    <w:p w14:paraId="1EC19B6B">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1.本合同经甲方、乙方法定代表人或其授权代表签字并加盖公章后生效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合同有效期限自2024年X月XX日始至2025年XX月XX日止。</w:t>
      </w:r>
    </w:p>
    <w:p w14:paraId="5FE136AB">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2.本合同未尽事宜，遵照《中华人民共和国民法典》有关条文执行。经甲乙双方协商一致并签署书面补充协议后，方可作为主合同不可分割的一部分。</w:t>
      </w:r>
    </w:p>
    <w:p w14:paraId="0DB71FE6">
      <w:pPr>
        <w:widowControl/>
        <w:snapToGrid w:val="0"/>
        <w:spacing w:beforeLines="0" w:afterLines="0"/>
        <w:ind w:firstLine="480" w:firstLineChars="200"/>
        <w:jc w:val="left"/>
        <w:outlineLvl w:val="9"/>
        <w:rPr>
          <w:rFonts w:hint="eastAsia" w:hAnsi="宋体" w:eastAsia="宋体" w:cs="宋体"/>
        </w:rPr>
      </w:pPr>
      <w:r>
        <w:rPr>
          <w:rFonts w:hint="eastAsia" w:ascii="宋体" w:hAnsi="宋体" w:eastAsia="宋体" w:cs="宋体"/>
          <w:color w:val="000000" w:themeColor="text1"/>
          <w:sz w:val="24"/>
          <w:szCs w:val="24"/>
          <w14:textFill>
            <w14:solidFill>
              <w14:schemeClr w14:val="tx1"/>
            </w14:solidFill>
          </w14:textFill>
        </w:rPr>
        <w:t>3.合同一式肆份，甲、乙双方各执贰份。</w:t>
      </w:r>
    </w:p>
    <w:p w14:paraId="62F3D229">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bookmarkStart w:id="347" w:name="_Toc23228"/>
      <w:bookmarkStart w:id="348" w:name="_Toc11213"/>
      <w:r>
        <w:rPr>
          <w:rFonts w:hint="eastAsia" w:ascii="宋体" w:hAnsi="宋体" w:eastAsia="宋体" w:cs="宋体"/>
          <w:color w:val="000000" w:themeColor="text1"/>
          <w:sz w:val="24"/>
          <w:szCs w:val="24"/>
          <w14:textFill>
            <w14:solidFill>
              <w14:schemeClr w14:val="tx1"/>
            </w14:solidFill>
          </w14:textFill>
        </w:rPr>
        <w:t>4.下列文件均为本合同的组成部分：</w:t>
      </w:r>
      <w:bookmarkEnd w:id="347"/>
      <w:bookmarkEnd w:id="348"/>
    </w:p>
    <w:p w14:paraId="0D4DC46A">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磋商文件；</w:t>
      </w:r>
    </w:p>
    <w:p w14:paraId="0A2F398A">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响应文件；</w:t>
      </w:r>
    </w:p>
    <w:p w14:paraId="2A9A8F8E">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成交通知书；</w:t>
      </w:r>
    </w:p>
    <w:p w14:paraId="22F13566">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 甲、乙双方在磋商过程中有关澄清、承诺文件。</w:t>
      </w:r>
    </w:p>
    <w:p w14:paraId="0627037A">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p>
    <w:p w14:paraId="61E29956">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公章</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乙方</w:t>
      </w:r>
      <w:r>
        <w:rPr>
          <w:rFonts w:hint="eastAsia"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公章</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14:paraId="773D5788">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地址： </w:t>
      </w:r>
    </w:p>
    <w:p w14:paraId="6AE2E5D2">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hAnsi="宋体" w:eastAsia="宋体" w:cs="宋体"/>
          <w:color w:val="000000" w:themeColor="text1"/>
          <w:sz w:val="24"/>
          <w:szCs w:val="24"/>
          <w:highlight w:val="none"/>
          <w:lang w:val="en-US" w:eastAsia="zh-CN"/>
          <w14:textFill>
            <w14:solidFill>
              <w14:schemeClr w14:val="tx1"/>
            </w14:solidFill>
          </w14:textFill>
        </w:rPr>
        <w:t>或授权代表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w:t>
      </w:r>
      <w:r>
        <w:rPr>
          <w:rFonts w:hint="eastAsia" w:ascii="宋体" w:hAnsi="宋体" w:eastAsia="宋体" w:cs="宋体"/>
          <w:color w:val="000000" w:themeColor="text1"/>
          <w:sz w:val="24"/>
          <w:szCs w:val="24"/>
          <w:highlight w:val="none"/>
          <w14:textFill>
            <w14:solidFill>
              <w14:schemeClr w14:val="tx1"/>
            </w14:solidFill>
          </w14:textFill>
        </w:rPr>
        <w:t>）：      法定代表人</w:t>
      </w:r>
      <w:r>
        <w:rPr>
          <w:rFonts w:hint="eastAsia" w:hAnsi="宋体" w:eastAsia="宋体" w:cs="宋体"/>
          <w:color w:val="000000" w:themeColor="text1"/>
          <w:sz w:val="24"/>
          <w:szCs w:val="24"/>
          <w:highlight w:val="none"/>
          <w:lang w:val="en-US" w:eastAsia="zh-CN"/>
          <w14:textFill>
            <w14:solidFill>
              <w14:schemeClr w14:val="tx1"/>
            </w14:solidFill>
          </w14:textFill>
        </w:rPr>
        <w:t>或授权代表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w:t>
      </w:r>
      <w:r>
        <w:rPr>
          <w:rFonts w:hint="eastAsia" w:ascii="宋体" w:hAnsi="宋体" w:eastAsia="宋体" w:cs="宋体"/>
          <w:color w:val="000000" w:themeColor="text1"/>
          <w:sz w:val="24"/>
          <w:szCs w:val="24"/>
          <w:highlight w:val="none"/>
          <w14:textFill>
            <w14:solidFill>
              <w14:schemeClr w14:val="tx1"/>
            </w14:solidFill>
          </w14:textFill>
        </w:rPr>
        <w:t>）：</w:t>
      </w:r>
    </w:p>
    <w:p w14:paraId="64E46F0E">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                          联系电话：</w:t>
      </w:r>
    </w:p>
    <w:p w14:paraId="2FFF4B02">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签字日期：    年   月   日         </w:t>
      </w:r>
      <w:r>
        <w:rPr>
          <w:rFonts w:hint="eastAsia"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签订地点：</w:t>
      </w:r>
      <w:r>
        <w:rPr>
          <w:rFonts w:hint="eastAsia" w:ascii="宋体" w:hAnsi="宋体" w:eastAsia="宋体" w:cs="宋体"/>
          <w:color w:val="000000" w:themeColor="text1"/>
          <w:sz w:val="24"/>
          <w:szCs w:val="24"/>
          <w14:textFill>
            <w14:solidFill>
              <w14:schemeClr w14:val="tx1"/>
            </w14:solidFill>
          </w14:textFill>
        </w:rPr>
        <w:br w:type="page"/>
      </w:r>
    </w:p>
    <w:p w14:paraId="0E1C895F">
      <w:pPr>
        <w:autoSpaceDE w:val="0"/>
        <w:autoSpaceDN w:val="0"/>
        <w:bidi w:val="0"/>
        <w:snapToGrid w:val="0"/>
        <w:spacing w:before="0" w:beforeLines="0" w:after="0" w:afterLines="0" w:line="360" w:lineRule="auto"/>
        <w:jc w:val="center"/>
        <w:outlineLvl w:val="9"/>
        <w:rPr>
          <w:rFonts w:hint="default" w:ascii="宋体" w:hAnsi="宋体" w:eastAsia="宋体" w:cs="Cambria Math"/>
          <w:b/>
          <w:bCs/>
          <w:color w:val="auto"/>
          <w:kern w:val="44"/>
          <w:sz w:val="36"/>
          <w:szCs w:val="36"/>
        </w:rPr>
      </w:pPr>
      <w:r>
        <w:rPr>
          <w:rFonts w:hint="eastAsia" w:hAnsi="宋体" w:eastAsia="宋体" w:cs="Cambria Math"/>
          <w:b/>
          <w:bCs/>
          <w:color w:val="auto"/>
          <w:kern w:val="44"/>
          <w:sz w:val="36"/>
          <w:szCs w:val="36"/>
          <w:lang w:eastAsia="zh-CN"/>
        </w:rPr>
        <w:t>（</w:t>
      </w:r>
      <w:r>
        <w:rPr>
          <w:rFonts w:hint="eastAsia" w:hAnsi="宋体" w:eastAsia="宋体" w:cs="Cambria Math"/>
          <w:b/>
          <w:bCs/>
          <w:color w:val="auto"/>
          <w:kern w:val="44"/>
          <w:sz w:val="36"/>
          <w:szCs w:val="36"/>
          <w:lang w:val="en-US" w:eastAsia="zh-CN"/>
        </w:rPr>
        <w:t>二</w:t>
      </w:r>
      <w:r>
        <w:rPr>
          <w:rFonts w:hint="eastAsia" w:hAnsi="宋体" w:eastAsia="宋体" w:cs="Cambria Math"/>
          <w:b/>
          <w:bCs/>
          <w:color w:val="auto"/>
          <w:kern w:val="44"/>
          <w:sz w:val="36"/>
          <w:szCs w:val="36"/>
          <w:lang w:eastAsia="zh-CN"/>
        </w:rPr>
        <w:t>）</w:t>
      </w:r>
      <w:r>
        <w:rPr>
          <w:rFonts w:hint="default" w:ascii="宋体" w:hAnsi="宋体" w:eastAsia="宋体" w:cs="Cambria Math"/>
          <w:b/>
          <w:bCs/>
          <w:color w:val="auto"/>
          <w:kern w:val="44"/>
          <w:sz w:val="36"/>
          <w:szCs w:val="36"/>
        </w:rPr>
        <w:t>分签合同</w:t>
      </w:r>
    </w:p>
    <w:p w14:paraId="799E8593">
      <w:pPr>
        <w:autoSpaceDE w:val="0"/>
        <w:autoSpaceDN w:val="0"/>
        <w:bidi/>
        <w:snapToGrid w:val="0"/>
        <w:spacing w:before="0" w:beforeLines="0" w:after="0" w:afterLines="0" w:line="360" w:lineRule="auto"/>
        <w:ind w:firstLineChars="200"/>
        <w:jc w:val="center"/>
        <w:outlineLvl w:val="9"/>
        <w:rPr>
          <w:rFonts w:hint="eastAsia" w:ascii="宋体" w:hAnsi="宋体" w:eastAsia="宋体" w:cs="宋体"/>
          <w:b/>
          <w:sz w:val="30"/>
        </w:rPr>
      </w:pPr>
      <w:r>
        <w:rPr>
          <w:rFonts w:hint="eastAsia" w:hAnsi="宋体" w:eastAsia="宋体" w:cs="宋体"/>
          <w:b/>
          <w:sz w:val="30"/>
          <w:lang w:val="en-US" w:eastAsia="zh-CN"/>
        </w:rPr>
        <w:t>产品买卖</w:t>
      </w:r>
      <w:r>
        <w:rPr>
          <w:rFonts w:hint="eastAsia" w:ascii="宋体" w:hAnsi="宋体" w:eastAsia="宋体" w:cs="宋体"/>
          <w:b/>
          <w:sz w:val="30"/>
        </w:rPr>
        <w:t>合同</w:t>
      </w:r>
    </w:p>
    <w:p w14:paraId="2C44F7C5">
      <w:pPr>
        <w:pStyle w:val="9"/>
        <w:snapToGrid w:val="0"/>
        <w:spacing w:before="0" w:beforeLines="0" w:afterLines="0" w:line="360" w:lineRule="auto"/>
        <w:ind w:firstLine="4560" w:firstLineChars="1900"/>
        <w:outlineLvl w:val="9"/>
        <w:rPr>
          <w:rFonts w:hint="eastAsia" w:hAnsi="宋体" w:eastAsia="宋体" w:cs="宋体"/>
          <w:szCs w:val="24"/>
        </w:rPr>
      </w:pPr>
      <w:r>
        <w:rPr>
          <w:rFonts w:hint="eastAsia" w:hAnsi="宋体" w:eastAsia="宋体" w:cs="宋体"/>
          <w:sz w:val="24"/>
          <w:szCs w:val="24"/>
        </w:rPr>
        <w:t>合同编号：</w:t>
      </w:r>
      <w:r>
        <w:rPr>
          <w:rFonts w:hint="eastAsia" w:hAnsi="宋体" w:eastAsia="宋体" w:cs="宋体"/>
          <w:szCs w:val="24"/>
        </w:rPr>
        <w:t xml:space="preserve"> </w:t>
      </w:r>
    </w:p>
    <w:p w14:paraId="685B8648">
      <w:pPr>
        <w:pStyle w:val="9"/>
        <w:snapToGrid w:val="0"/>
        <w:spacing w:before="0" w:beforeLines="0" w:afterLines="0" w:line="360" w:lineRule="auto"/>
        <w:ind w:firstLine="5320" w:firstLineChars="1900"/>
        <w:outlineLvl w:val="9"/>
        <w:rPr>
          <w:rFonts w:hint="eastAsia" w:hAnsi="宋体" w:eastAsia="宋体" w:cs="宋体"/>
          <w:szCs w:val="24"/>
        </w:rPr>
      </w:pPr>
      <w:r>
        <w:rPr>
          <w:rFonts w:hint="eastAsia" w:hAnsi="宋体" w:eastAsia="宋体" w:cs="宋体"/>
          <w:szCs w:val="24"/>
        </w:rPr>
        <w:t xml:space="preserve">                </w:t>
      </w:r>
    </w:p>
    <w:p w14:paraId="05B79F0E">
      <w:pPr>
        <w:widowControl/>
        <w:shd w:val="clear" w:color="auto" w:fill="FFFFFF"/>
        <w:snapToGrid w:val="0"/>
        <w:spacing w:before="0" w:beforeLines="0" w:after="0" w:afterLine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甲方（买方）：（方源集团有限公司各相关企业）</w:t>
      </w:r>
    </w:p>
    <w:p w14:paraId="53F0BA71">
      <w:pPr>
        <w:widowControl/>
        <w:shd w:val="clear" w:color="auto" w:fill="FFFFFF"/>
        <w:snapToGrid w:val="0"/>
        <w:spacing w:before="0" w:beforeLines="0" w:after="0" w:afterLines="0"/>
        <w:jc w:val="left"/>
        <w:outlineLvl w:val="9"/>
        <w:rPr>
          <w:rFonts w:hint="eastAsia" w:hAnsi="宋体" w:eastAsia="宋体" w:cs="宋体"/>
          <w:b/>
          <w:bCs/>
          <w:szCs w:val="24"/>
          <w:u w:val="single"/>
        </w:rPr>
      </w:pPr>
      <w:r>
        <w:rPr>
          <w:rFonts w:hint="eastAsia" w:ascii="宋体" w:hAnsi="宋体" w:eastAsia="宋体" w:cs="宋体"/>
          <w:color w:val="000000" w:themeColor="text1"/>
          <w:sz w:val="24"/>
          <w:szCs w:val="24"/>
          <w14:textFill>
            <w14:solidFill>
              <w14:schemeClr w14:val="tx1"/>
            </w14:solidFill>
          </w14:textFill>
        </w:rPr>
        <w:t xml:space="preserve">乙方（卖方）：（成交供应商） </w:t>
      </w:r>
      <w:r>
        <w:rPr>
          <w:rFonts w:hint="eastAsia" w:hAnsi="宋体" w:eastAsia="宋体" w:cs="宋体"/>
          <w:b/>
          <w:bCs/>
          <w:szCs w:val="24"/>
        </w:rPr>
        <w:t xml:space="preserve">   </w:t>
      </w:r>
    </w:p>
    <w:p w14:paraId="1B452D38">
      <w:pPr>
        <w:widowControl/>
        <w:shd w:val="clear" w:color="auto" w:fill="FFFFFF"/>
        <w:snapToGrid w:val="0"/>
        <w:spacing w:before="0" w:beforeLines="0" w:after="0" w:afterLines="0"/>
        <w:jc w:val="left"/>
        <w:outlineLvl w:val="9"/>
        <w:rPr>
          <w:rFonts w:hint="eastAsia" w:hAnsi="宋体" w:eastAsia="宋体" w:cs="宋体"/>
          <w:szCs w:val="28"/>
        </w:rPr>
      </w:pPr>
    </w:p>
    <w:p w14:paraId="3901DA61">
      <w:pPr>
        <w:tabs>
          <w:tab w:val="left" w:pos="1140"/>
        </w:tabs>
        <w:snapToGrid w:val="0"/>
        <w:spacing w:beforeLines="0" w:afterLines="0"/>
        <w:ind w:firstLine="444" w:firstLineChars="185"/>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甲、乙双方根据《中华人民共和国民法典》等相关法律法规规定，按照</w:t>
      </w:r>
      <w:r>
        <w:rPr>
          <w:rFonts w:hint="eastAsia" w:ascii="宋体" w:hAnsi="宋体" w:eastAsia="宋体" w:cs="宋体"/>
          <w:bCs/>
          <w:sz w:val="24"/>
          <w:szCs w:val="24"/>
        </w:rPr>
        <w:t>江苏方源集团有限公司遴选电子加工设备及耗材供应商项目</w:t>
      </w:r>
      <w:r>
        <w:rPr>
          <w:rFonts w:hint="eastAsia" w:ascii="宋体" w:hAnsi="宋体" w:eastAsia="宋体" w:cs="宋体"/>
          <w:bCs w:val="0"/>
          <w:sz w:val="24"/>
          <w:szCs w:val="24"/>
          <w:shd w:val="clear" w:color="auto" w:fill="FFFFFF"/>
          <w:lang w:val="en-US" w:eastAsia="zh-CN"/>
        </w:rPr>
        <w:t>（</w:t>
      </w:r>
      <w:r>
        <w:rPr>
          <w:rFonts w:hint="eastAsia" w:ascii="宋体" w:hAnsi="宋体" w:eastAsia="宋体" w:cs="宋体"/>
          <w:b w:val="0"/>
          <w:bCs w:val="0"/>
          <w:kern w:val="0"/>
          <w:sz w:val="24"/>
          <w:szCs w:val="24"/>
          <w:shd w:val="clear" w:color="auto" w:fill="FFFFFF"/>
          <w:lang w:val="en-US" w:eastAsia="zh-CN"/>
        </w:rPr>
        <w:t>光纤和变压器加工设备及耗材</w:t>
      </w:r>
      <w:r>
        <w:rPr>
          <w:rFonts w:hint="eastAsia" w:ascii="宋体" w:hAnsi="宋体" w:eastAsia="宋体" w:cs="宋体"/>
          <w:bCs/>
          <w:sz w:val="24"/>
          <w:szCs w:val="24"/>
          <w:lang w:val="en-US" w:eastAsia="zh-CN"/>
        </w:rPr>
        <w:t>）</w:t>
      </w:r>
      <w:r>
        <w:rPr>
          <w:rFonts w:hint="eastAsia" w:ascii="宋体" w:hAnsi="宋体" w:eastAsia="宋体" w:cs="宋体"/>
          <w:color w:val="000000" w:themeColor="text1"/>
          <w:sz w:val="24"/>
          <w:szCs w:val="24"/>
          <w14:textFill>
            <w14:solidFill>
              <w14:schemeClr w14:val="tx1"/>
            </w14:solidFill>
          </w14:textFill>
        </w:rPr>
        <w:t>（项目编号：          ）的磋商结果，签订本合同。</w:t>
      </w:r>
    </w:p>
    <w:p w14:paraId="5CF45D9E">
      <w:pPr>
        <w:widowControl/>
        <w:snapToGrid w:val="0"/>
        <w:spacing w:beforeLines="0" w:afterLines="0"/>
        <w:ind w:firstLine="482" w:firstLineChars="200"/>
        <w:jc w:val="left"/>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r>
        <w:rPr>
          <w:rFonts w:hint="eastAsia" w:hAnsi="宋体" w:eastAsia="宋体" w:cs="宋体"/>
          <w:b/>
          <w:bCs/>
          <w:color w:val="000000" w:themeColor="text1"/>
          <w:sz w:val="24"/>
          <w:szCs w:val="24"/>
          <w:lang w:val="en-US" w:eastAsia="zh-CN"/>
          <w14:textFill>
            <w14:solidFill>
              <w14:schemeClr w14:val="tx1"/>
            </w14:solidFill>
          </w14:textFill>
        </w:rPr>
        <w:t>合同标的</w:t>
      </w:r>
    </w:p>
    <w:p w14:paraId="33A0395F">
      <w:pPr>
        <w:spacing w:beforeLines="0" w:afterLines="0"/>
        <w:ind w:firstLine="480" w:firstLineChars="200"/>
        <w:outlineLvl w:val="9"/>
        <w:rPr>
          <w:rFonts w:hint="eastAsia" w:hAnsi="宋体" w:eastAsia="宋体" w:cs="宋体"/>
          <w:sz w:val="24"/>
          <w:szCs w:val="24"/>
        </w:rPr>
      </w:pPr>
      <w:bookmarkStart w:id="349" w:name="OLE_LINK2"/>
      <w:r>
        <w:rPr>
          <w:rFonts w:hint="eastAsia" w:ascii="宋体" w:hAnsi="宋体" w:eastAsia="宋体" w:cs="宋体"/>
          <w:color w:val="000000" w:themeColor="text1"/>
          <w:sz w:val="24"/>
          <w:szCs w:val="24"/>
          <w:lang w:val="en-US" w:eastAsia="zh-CN"/>
          <w14:textFill>
            <w14:solidFill>
              <w14:schemeClr w14:val="tx1"/>
            </w14:solidFill>
          </w14:textFill>
        </w:rPr>
        <w:t>甲方所购买的</w:t>
      </w:r>
      <w:r>
        <w:rPr>
          <w:rFonts w:hint="eastAsia" w:ascii="宋体" w:hAnsi="宋体" w:eastAsia="宋体" w:cs="宋体"/>
          <w:color w:val="000000" w:themeColor="text1"/>
          <w:sz w:val="24"/>
          <w:szCs w:val="24"/>
          <w14:textFill>
            <w14:solidFill>
              <w14:schemeClr w14:val="tx1"/>
            </w14:solidFill>
          </w14:textFill>
        </w:rPr>
        <w:t>乙方生产或销售的设备或耗材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产品品种具体以本项目</w:t>
      </w:r>
      <w:r>
        <w:rPr>
          <w:rFonts w:hint="eastAsia" w:ascii="宋体" w:hAnsi="宋体" w:eastAsia="宋体" w:cs="宋体"/>
          <w:color w:val="000000" w:themeColor="text1"/>
          <w:sz w:val="24"/>
          <w:szCs w:val="24"/>
          <w14:textFill>
            <w14:solidFill>
              <w14:schemeClr w14:val="tx1"/>
            </w14:solidFill>
          </w14:textFill>
        </w:rPr>
        <w:t>磋商文件、乙方响应文件和成交通知书</w:t>
      </w:r>
      <w:r>
        <w:rPr>
          <w:rFonts w:hint="eastAsia" w:ascii="宋体" w:hAnsi="宋体" w:eastAsia="宋体" w:cs="宋体"/>
          <w:color w:val="000000" w:themeColor="text1"/>
          <w:sz w:val="24"/>
          <w:szCs w:val="24"/>
          <w:lang w:val="en-US" w:eastAsia="zh-CN"/>
          <w14:textFill>
            <w14:solidFill>
              <w14:schemeClr w14:val="tx1"/>
            </w14:solidFill>
          </w14:textFill>
        </w:rPr>
        <w:t>为准</w:t>
      </w:r>
      <w:r>
        <w:rPr>
          <w:rFonts w:hint="eastAsia" w:ascii="宋体" w:hAnsi="宋体" w:eastAsia="宋体" w:cs="宋体"/>
          <w:color w:val="000000" w:themeColor="text1"/>
          <w:sz w:val="24"/>
          <w:szCs w:val="24"/>
          <w:lang w:eastAsia="zh-CN"/>
          <w14:textFill>
            <w14:solidFill>
              <w14:schemeClr w14:val="tx1"/>
            </w14:solidFill>
          </w14:textFill>
        </w:rPr>
        <w:t>）</w:t>
      </w:r>
      <w:bookmarkEnd w:id="349"/>
      <w:r>
        <w:rPr>
          <w:rFonts w:hint="eastAsia" w:ascii="宋体" w:hAnsi="宋体" w:eastAsia="宋体" w:cs="宋体"/>
          <w:color w:val="000000" w:themeColor="text1"/>
          <w:sz w:val="24"/>
          <w:szCs w:val="24"/>
          <w:lang w:eastAsia="zh-CN"/>
          <w14:textFill>
            <w14:solidFill>
              <w14:schemeClr w14:val="tx1"/>
            </w14:solidFill>
          </w14:textFill>
        </w:rPr>
        <w:t>。</w:t>
      </w:r>
      <w:r>
        <w:rPr>
          <w:rFonts w:hint="eastAsia" w:hAnsi="宋体" w:eastAsia="宋体" w:cs="宋体"/>
          <w:sz w:val="24"/>
          <w:szCs w:val="24"/>
        </w:rPr>
        <w:t>乙方根据甲方的需求计划或采购订单等向其提供本</w:t>
      </w:r>
      <w:r>
        <w:rPr>
          <w:rFonts w:hint="eastAsia" w:hAnsi="宋体" w:eastAsia="宋体" w:cs="宋体"/>
          <w:sz w:val="24"/>
          <w:szCs w:val="24"/>
          <w:lang w:val="en-US" w:eastAsia="zh-CN"/>
        </w:rPr>
        <w:t>相应</w:t>
      </w:r>
      <w:r>
        <w:rPr>
          <w:rFonts w:hint="eastAsia" w:hAnsi="宋体" w:eastAsia="宋体" w:cs="宋体"/>
          <w:sz w:val="24"/>
          <w:szCs w:val="24"/>
        </w:rPr>
        <w:t>的产品。</w:t>
      </w:r>
    </w:p>
    <w:p w14:paraId="00442F2C">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w:t>
      </w:r>
      <w:r>
        <w:rPr>
          <w:rFonts w:hint="eastAsia" w:hAnsi="宋体" w:eastAsia="宋体" w:cs="宋体"/>
          <w:b/>
          <w:bCs/>
          <w:color w:val="000000" w:themeColor="text1"/>
          <w:sz w:val="24"/>
          <w:szCs w:val="24"/>
          <w:lang w:val="en-US" w:eastAsia="zh-CN"/>
          <w14:textFill>
            <w14:solidFill>
              <w14:schemeClr w14:val="tx1"/>
            </w14:solidFill>
          </w14:textFill>
        </w:rPr>
        <w:t>产品</w:t>
      </w:r>
      <w:r>
        <w:rPr>
          <w:rFonts w:hint="eastAsia" w:ascii="宋体" w:hAnsi="宋体" w:eastAsia="宋体" w:cs="宋体"/>
          <w:b/>
          <w:bCs/>
          <w:color w:val="000000" w:themeColor="text1"/>
          <w:sz w:val="24"/>
          <w:szCs w:val="24"/>
          <w14:textFill>
            <w14:solidFill>
              <w14:schemeClr w14:val="tx1"/>
            </w14:solidFill>
          </w14:textFill>
        </w:rPr>
        <w:t>价格</w:t>
      </w:r>
    </w:p>
    <w:p w14:paraId="22370B73">
      <w:pPr>
        <w:pStyle w:val="7"/>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hAnsi="宋体" w:eastAsia="宋体" w:cs="宋体"/>
          <w:color w:val="000000" w:themeColor="text1"/>
          <w:sz w:val="24"/>
          <w:szCs w:val="24"/>
          <w:highlight w:val="none"/>
          <w:lang w:val="en-US" w:eastAsia="zh-CN"/>
          <w14:textFill>
            <w14:solidFill>
              <w14:schemeClr w14:val="tx1"/>
            </w14:solidFill>
          </w14:textFill>
        </w:rPr>
        <w:t>价格折扣比例</w:t>
      </w:r>
      <w:r>
        <w:rPr>
          <w:rFonts w:hint="eastAsia" w:ascii="宋体" w:hAnsi="宋体" w:eastAsia="宋体" w:cs="宋体"/>
          <w:color w:val="000000" w:themeColor="text1"/>
          <w:sz w:val="24"/>
          <w:szCs w:val="24"/>
          <w:highlight w:val="none"/>
          <w14:textFill>
            <w14:solidFill>
              <w14:schemeClr w14:val="tx1"/>
            </w14:solidFill>
          </w14:textFill>
        </w:rPr>
        <w:t>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5100"/>
      </w:tblGrid>
      <w:tr w14:paraId="3FE6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tcPr>
          <w:p w14:paraId="41EE0009">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标段号</w:t>
            </w:r>
          </w:p>
        </w:tc>
        <w:tc>
          <w:tcPr>
            <w:tcW w:w="5100" w:type="dxa"/>
          </w:tcPr>
          <w:p w14:paraId="570410E0">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价格折扣比例，%</w:t>
            </w:r>
          </w:p>
        </w:tc>
      </w:tr>
      <w:tr w14:paraId="3646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tcPr>
          <w:p w14:paraId="00F080BE">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标段一</w:t>
            </w:r>
          </w:p>
        </w:tc>
        <w:tc>
          <w:tcPr>
            <w:tcW w:w="5100" w:type="dxa"/>
            <w:vAlign w:val="center"/>
          </w:tcPr>
          <w:p w14:paraId="5B8C9AEE">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291D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tcPr>
          <w:p w14:paraId="3EE95062">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标段二</w:t>
            </w:r>
          </w:p>
        </w:tc>
        <w:tc>
          <w:tcPr>
            <w:tcW w:w="5100" w:type="dxa"/>
            <w:vAlign w:val="center"/>
          </w:tcPr>
          <w:p w14:paraId="2648C19C">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5DE4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tcPr>
          <w:p w14:paraId="1D16ED0A">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标段三</w:t>
            </w:r>
          </w:p>
        </w:tc>
        <w:tc>
          <w:tcPr>
            <w:tcW w:w="5100" w:type="dxa"/>
            <w:vAlign w:val="center"/>
          </w:tcPr>
          <w:p w14:paraId="0C5121CA">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0C53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tcPr>
          <w:p w14:paraId="09E16F27">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标段四</w:t>
            </w:r>
          </w:p>
        </w:tc>
        <w:tc>
          <w:tcPr>
            <w:tcW w:w="5100" w:type="dxa"/>
            <w:vAlign w:val="center"/>
          </w:tcPr>
          <w:p w14:paraId="2EE85FF8">
            <w:pPr>
              <w:widowControl/>
              <w:snapToGrid w:val="0"/>
              <w:spacing w:before="0" w:beforeLines="0" w:after="0" w:afterLine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bl>
    <w:p w14:paraId="1D7B2910">
      <w:pPr>
        <w:widowControl/>
        <w:shd w:val="clear" w:color="auto" w:fill="FFFFFF"/>
        <w:snapToGrid w:val="0"/>
        <w:spacing w:before="0" w:beforeLines="0" w:after="0" w:afterLines="0"/>
        <w:ind w:firstLine="444" w:firstLineChars="185"/>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表注：1.在合作期内，乙方所供产品的价格折扣比例不得高于该所报价格折扣比例。价格折扣比例=(</w:t>
      </w:r>
      <w:r>
        <w:rPr>
          <w:rFonts w:hint="eastAsia" w:ascii="宋体" w:hAnsi="宋体" w:eastAsia="宋体" w:cs="宋体"/>
          <w:sz w:val="24"/>
          <w:szCs w:val="24"/>
        </w:rPr>
        <w:t>产品报价/磋商</w:t>
      </w:r>
      <w:r>
        <w:rPr>
          <w:rFonts w:hint="eastAsia" w:ascii="宋体" w:hAnsi="宋体" w:eastAsia="宋体" w:cs="宋体"/>
          <w:sz w:val="24"/>
          <w:szCs w:val="24"/>
          <w:lang w:val="en-US" w:eastAsia="zh-CN"/>
        </w:rPr>
        <w:t>开启日</w:t>
      </w:r>
      <w:r>
        <w:rPr>
          <w:rFonts w:hint="eastAsia" w:ascii="宋体" w:hAnsi="宋体" w:eastAsia="宋体" w:cs="宋体"/>
          <w:sz w:val="24"/>
          <w:szCs w:val="24"/>
        </w:rPr>
        <w:t>前2年</w:t>
      </w:r>
      <w:r>
        <w:rPr>
          <w:rFonts w:hint="eastAsia" w:ascii="宋体" w:hAnsi="宋体" w:eastAsia="宋体" w:cs="宋体"/>
          <w:sz w:val="24"/>
          <w:szCs w:val="24"/>
          <w:lang w:val="en-US" w:eastAsia="zh-CN"/>
        </w:rPr>
        <w:t>内</w:t>
      </w:r>
      <w:r>
        <w:rPr>
          <w:rFonts w:hint="eastAsia" w:ascii="宋体" w:hAnsi="宋体" w:eastAsia="宋体" w:cs="宋体"/>
          <w:sz w:val="24"/>
          <w:szCs w:val="24"/>
        </w:rPr>
        <w:t>供应江苏区域最新市场销售价格</w:t>
      </w:r>
      <w:r>
        <w:rPr>
          <w:rFonts w:hint="eastAsia" w:ascii="宋体" w:hAnsi="宋体" w:eastAsia="宋体" w:cs="宋体"/>
          <w:color w:val="000000" w:themeColor="text1"/>
          <w:sz w:val="24"/>
          <w:szCs w:val="24"/>
          <w14:textFill>
            <w14:solidFill>
              <w14:schemeClr w14:val="tx1"/>
            </w14:solidFill>
          </w14:textFill>
        </w:rPr>
        <w:t>)×100%。</w:t>
      </w:r>
    </w:p>
    <w:p w14:paraId="75B17EAA">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2.乙</w:t>
      </w:r>
      <w:r>
        <w:rPr>
          <w:rFonts w:hint="eastAsia" w:ascii="宋体" w:hAnsi="宋体" w:eastAsia="宋体" w:cs="宋体"/>
          <w:sz w:val="24"/>
          <w:szCs w:val="24"/>
        </w:rPr>
        <w:t>方最终磋商报价为产品采购结算价，包括材料、生产、人工、运输、安装、损耗、免费维保、增值税发票等所有费用，</w:t>
      </w:r>
      <w:r>
        <w:rPr>
          <w:rFonts w:hint="eastAsia" w:hAnsi="宋体" w:eastAsia="宋体" w:cs="宋体"/>
          <w:sz w:val="24"/>
          <w:szCs w:val="24"/>
          <w:lang w:val="en-US" w:eastAsia="zh-CN"/>
        </w:rPr>
        <w:t>乙方</w:t>
      </w:r>
      <w:r>
        <w:rPr>
          <w:rFonts w:hint="eastAsia" w:ascii="宋体" w:hAnsi="宋体" w:eastAsia="宋体" w:cs="宋体"/>
          <w:sz w:val="24"/>
          <w:szCs w:val="24"/>
        </w:rPr>
        <w:t>不得再向</w:t>
      </w:r>
      <w:r>
        <w:rPr>
          <w:rFonts w:hint="eastAsia" w:hAnsi="宋体" w:eastAsia="宋体" w:cs="宋体"/>
          <w:sz w:val="24"/>
          <w:szCs w:val="24"/>
          <w:lang w:val="en-US" w:eastAsia="zh-CN"/>
        </w:rPr>
        <w:t>甲方</w:t>
      </w:r>
      <w:r>
        <w:rPr>
          <w:rFonts w:hint="eastAsia" w:ascii="宋体" w:hAnsi="宋体" w:eastAsia="宋体" w:cs="宋体"/>
          <w:sz w:val="24"/>
          <w:szCs w:val="24"/>
        </w:rPr>
        <w:t>收取其他任何费用。</w:t>
      </w:r>
    </w:p>
    <w:p w14:paraId="7DA996CF">
      <w:pPr>
        <w:snapToGrid w:val="0"/>
        <w:spacing w:beforeLines="0" w:afterLines="0"/>
        <w:ind w:firstLine="480" w:firstLineChars="200"/>
        <w:jc w:val="left"/>
        <w:outlineLvl w:val="9"/>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eastAsia="宋体" w:cs="宋体"/>
          <w:sz w:val="24"/>
          <w:szCs w:val="24"/>
          <w:lang w:val="en-US" w:eastAsia="zh-CN"/>
        </w:rPr>
        <w:t>3.</w:t>
      </w:r>
      <w:r>
        <w:rPr>
          <w:rFonts w:hint="eastAsia" w:ascii="宋体" w:hAnsi="宋体" w:eastAsia="宋体" w:cs="宋体"/>
          <w:color w:val="000000" w:themeColor="text1"/>
          <w:sz w:val="24"/>
          <w:szCs w:val="24"/>
          <w:lang w:val="en-US" w:eastAsia="zh-CN"/>
          <w14:textFill>
            <w14:solidFill>
              <w14:schemeClr w14:val="tx1"/>
            </w14:solidFill>
          </w14:textFill>
        </w:rPr>
        <w:t>甲方购买的</w:t>
      </w:r>
      <w:r>
        <w:rPr>
          <w:rFonts w:hint="eastAsia" w:ascii="宋体" w:hAnsi="宋体" w:eastAsia="宋体" w:cs="宋体"/>
          <w:color w:val="000000" w:themeColor="text1"/>
          <w:sz w:val="24"/>
          <w:szCs w:val="24"/>
          <w14:textFill>
            <w14:solidFill>
              <w14:schemeClr w14:val="tx1"/>
            </w14:solidFill>
          </w14:textFill>
        </w:rPr>
        <w:t>乙方生产或销售的设备或耗材</w:t>
      </w:r>
      <w:r>
        <w:rPr>
          <w:rFonts w:hint="eastAsia" w:hAnsi="宋体" w:eastAsia="宋体" w:cs="宋体"/>
          <w:color w:val="000000" w:themeColor="text1"/>
          <w:sz w:val="24"/>
          <w:szCs w:val="24"/>
          <w:lang w:val="en-US" w:eastAsia="zh-CN"/>
          <w14:textFill>
            <w14:solidFill>
              <w14:schemeClr w14:val="tx1"/>
            </w14:solidFill>
          </w14:textFill>
        </w:rPr>
        <w:t>价格按照</w:t>
      </w:r>
      <w:r>
        <w:rPr>
          <w:rFonts w:hint="eastAsia" w:ascii="宋体" w:hAnsi="宋体" w:eastAsia="宋体" w:cs="宋体"/>
          <w:color w:val="000000" w:themeColor="text1"/>
          <w:sz w:val="24"/>
          <w:szCs w:val="24"/>
          <w:lang w:val="en-US"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磋商文件、乙</w:t>
      </w:r>
      <w:r>
        <w:rPr>
          <w:rFonts w:hint="eastAsia" w:hAnsi="宋体" w:eastAsia="宋体" w:cs="宋体"/>
          <w:color w:val="000000" w:themeColor="text1"/>
          <w:sz w:val="24"/>
          <w:szCs w:val="24"/>
          <w:lang w:val="en-US" w:eastAsia="zh-CN"/>
          <w14:textFill>
            <w14:solidFill>
              <w14:schemeClr w14:val="tx1"/>
            </w14:solidFill>
          </w14:textFill>
        </w:rPr>
        <w:t>方响应文件和成交通知书中规定执行。具体产品价格=乙方相关产品最终磋商报价×该产品价格折扣比例。合同期内，如乙方上架新产品，则新产品价格=乙方供应江苏区域该产品最新市场销售价格×该产品价格折扣比例（根据该产品类型对应相应标段价格折扣比例）；如遇市场价格下降超过20%，乙方应随行就市下调价格，按照下降后的价格×该产品价格折扣比例执行。</w:t>
      </w:r>
    </w:p>
    <w:p w14:paraId="544FE595">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三、交货</w:t>
      </w:r>
      <w:r>
        <w:rPr>
          <w:rFonts w:hint="eastAsia" w:hAnsi="宋体" w:eastAsia="宋体" w:cs="宋体"/>
          <w:b/>
          <w:bCs/>
          <w:color w:val="000000" w:themeColor="text1"/>
          <w:sz w:val="24"/>
          <w:szCs w:val="24"/>
          <w:lang w:val="en-US" w:eastAsia="zh-CN"/>
          <w14:textFill>
            <w14:solidFill>
              <w14:schemeClr w14:val="tx1"/>
            </w14:solidFill>
          </w14:textFill>
        </w:rPr>
        <w:t>时间</w:t>
      </w:r>
      <w:r>
        <w:rPr>
          <w:rFonts w:hint="eastAsia" w:ascii="宋体" w:hAnsi="宋体" w:eastAsia="宋体" w:cs="宋体"/>
          <w:b/>
          <w:bCs/>
          <w:color w:val="000000" w:themeColor="text1"/>
          <w:sz w:val="24"/>
          <w:szCs w:val="24"/>
          <w14:textFill>
            <w14:solidFill>
              <w14:schemeClr w14:val="tx1"/>
            </w14:solidFill>
          </w14:textFill>
        </w:rPr>
        <w:t>、交货地点及交货方式</w:t>
      </w:r>
    </w:p>
    <w:p w14:paraId="12ABC563">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1.交货</w:t>
      </w:r>
      <w:r>
        <w:rPr>
          <w:rFonts w:hint="eastAsia" w:hAnsi="宋体" w:eastAsia="宋体" w:cs="宋体"/>
          <w:color w:val="000000" w:themeColor="text1"/>
          <w:sz w:val="24"/>
          <w:szCs w:val="24"/>
          <w:lang w:val="en-US" w:eastAsia="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：接到甲方送货通知的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日内将</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送至指定地点。</w:t>
      </w:r>
    </w:p>
    <w:p w14:paraId="6534CD57">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.交货地点：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CF41F70">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.交货方式：现场成品交付。</w:t>
      </w:r>
    </w:p>
    <w:p w14:paraId="161B8409">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四、货物包装及运输</w:t>
      </w:r>
    </w:p>
    <w:p w14:paraId="754C7285">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w:t>
      </w:r>
      <w:r>
        <w:rPr>
          <w:rFonts w:hint="eastAsia" w:ascii="宋体" w:hAnsi="宋体" w:eastAsia="宋体" w:cs="宋体"/>
          <w:sz w:val="24"/>
          <w:szCs w:val="24"/>
        </w:rPr>
        <w:t>所供产品的包装，应满足运输距离、防潮、防震、防锈和防破损装卸等要求，以保证产品安全运达</w:t>
      </w:r>
      <w:r>
        <w:rPr>
          <w:rFonts w:hint="eastAsia" w:hAnsi="宋体" w:eastAsia="宋体" w:cs="宋体"/>
          <w:sz w:val="24"/>
          <w:szCs w:val="24"/>
          <w:lang w:val="en-US" w:eastAsia="zh-CN"/>
        </w:rPr>
        <w:t>甲方</w:t>
      </w:r>
      <w:r>
        <w:rPr>
          <w:rFonts w:hint="eastAsia" w:ascii="宋体" w:hAnsi="宋体" w:eastAsia="宋体" w:cs="宋体"/>
          <w:sz w:val="24"/>
          <w:szCs w:val="24"/>
        </w:rPr>
        <w:t>终端用户指定地点。</w:t>
      </w:r>
    </w:p>
    <w:p w14:paraId="1219BB9A">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2.使用说明书、质量检验证明书、随配附件和工具以及清单</w:t>
      </w:r>
      <w:r>
        <w:rPr>
          <w:rFonts w:hint="eastAsia"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14:textFill>
            <w14:solidFill>
              <w14:schemeClr w14:val="tx1"/>
            </w14:solidFill>
          </w14:textFill>
        </w:rPr>
        <w:t>一并提供。</w:t>
      </w:r>
    </w:p>
    <w:p w14:paraId="714D36CD">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3.乙方在</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发运手续办理完毕后24小时内或货到甲方48小时前通知甲方，以准备接货。</w:t>
      </w:r>
    </w:p>
    <w:p w14:paraId="7BD496A2">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在交付甲方前发生的风险均由乙方负责。</w:t>
      </w:r>
    </w:p>
    <w:p w14:paraId="17FC8D02">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在规定的交付期限内由乙方送达甲方指定的地点视为交付，乙方同时需通知甲方</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已送达。</w:t>
      </w:r>
    </w:p>
    <w:p w14:paraId="0206F431">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五、付款方式：</w:t>
      </w:r>
    </w:p>
    <w:p w14:paraId="18816259">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w:t>
      </w:r>
      <w:r>
        <w:rPr>
          <w:rFonts w:hint="eastAsia" w:ascii="宋体" w:hAnsi="宋体" w:eastAsia="宋体" w:cs="宋体"/>
          <w:sz w:val="24"/>
          <w:szCs w:val="24"/>
          <w:highlight w:val="none"/>
        </w:rPr>
        <w:t>为固定单价合同，</w:t>
      </w:r>
      <w:r>
        <w:rPr>
          <w:rFonts w:hint="eastAsia" w:ascii="宋体" w:hAnsi="宋体" w:eastAsia="宋体" w:cs="宋体"/>
          <w:color w:val="000000" w:themeColor="text1"/>
          <w:sz w:val="24"/>
          <w:szCs w:val="24"/>
          <w14:textFill>
            <w14:solidFill>
              <w14:schemeClr w14:val="tx1"/>
            </w14:solidFill>
          </w14:textFill>
        </w:rPr>
        <w:t>由甲方按实际需求量与乙方</w:t>
      </w:r>
      <w:r>
        <w:rPr>
          <w:rFonts w:hint="eastAsia" w:hAnsi="宋体" w:eastAsia="宋体" w:cs="宋体"/>
          <w:color w:val="000000" w:themeColor="text1"/>
          <w:sz w:val="24"/>
          <w:szCs w:val="24"/>
          <w:lang w:val="en-US" w:eastAsia="zh-CN"/>
          <w14:textFill>
            <w14:solidFill>
              <w14:schemeClr w14:val="tx1"/>
            </w14:solidFill>
          </w14:textFill>
        </w:rPr>
        <w:t>结算并付款</w:t>
      </w:r>
      <w:r>
        <w:rPr>
          <w:rFonts w:hint="eastAsia" w:hAnsi="宋体" w:eastAsia="宋体" w:cs="宋体"/>
          <w:color w:val="000000" w:themeColor="text1"/>
          <w:sz w:val="24"/>
          <w:szCs w:val="24"/>
          <w:lang w:eastAsia="zh-CN"/>
          <w14:textFill>
            <w14:solidFill>
              <w14:schemeClr w14:val="tx1"/>
            </w14:solidFill>
          </w14:textFill>
        </w:rPr>
        <w:t>。</w:t>
      </w:r>
    </w:p>
    <w:p w14:paraId="082A9851">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2.具体付款方式为：</w:t>
      </w:r>
      <w:r>
        <w:rPr>
          <w:rFonts w:hint="eastAsia" w:ascii="宋体" w:hAnsi="宋体" w:eastAsia="宋体" w:cs="宋体"/>
          <w:sz w:val="24"/>
          <w:szCs w:val="24"/>
        </w:rPr>
        <w:t>①标段一、标</w:t>
      </w:r>
      <w:r>
        <w:rPr>
          <w:rFonts w:hint="eastAsia" w:ascii="宋体" w:hAnsi="宋体" w:eastAsia="宋体" w:cs="宋体"/>
          <w:sz w:val="24"/>
          <w:szCs w:val="24"/>
          <w:highlight w:val="none"/>
        </w:rPr>
        <w:t>段二：</w:t>
      </w:r>
      <w:r>
        <w:rPr>
          <w:rFonts w:hint="eastAsia" w:ascii="宋体" w:hAnsi="宋体" w:eastAsia="宋体" w:cs="宋体"/>
          <w:color w:val="000000" w:themeColor="text1"/>
          <w:sz w:val="24"/>
          <w:szCs w:val="24"/>
          <w:highlight w:val="none"/>
          <w14:textFill>
            <w14:solidFill>
              <w14:schemeClr w14:val="tx1"/>
            </w14:solidFill>
          </w14:textFill>
        </w:rPr>
        <w:t>不预付货款；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收到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所供产品安装验收合格单和发票后，在第二个月（</w:t>
      </w:r>
      <w:r>
        <w:rPr>
          <w:rFonts w:hint="eastAsia" w:ascii="宋体" w:hAnsi="宋体" w:eastAsia="宋体" w:cs="宋体"/>
          <w:sz w:val="24"/>
          <w:szCs w:val="24"/>
          <w:highlight w:val="none"/>
        </w:rPr>
        <w:t>收到发票当月为第1月</w:t>
      </w:r>
      <w:r>
        <w:rPr>
          <w:rFonts w:hint="eastAsia" w:ascii="宋体" w:hAnsi="宋体" w:eastAsia="宋体" w:cs="宋体"/>
          <w:color w:val="000000" w:themeColor="text1"/>
          <w:sz w:val="24"/>
          <w:szCs w:val="24"/>
          <w:highlight w:val="none"/>
          <w14:textFill>
            <w14:solidFill>
              <w14:schemeClr w14:val="tx1"/>
            </w14:solidFill>
          </w14:textFill>
        </w:rPr>
        <w:t>）25日前支付应付款项的90%，余款（10%）于次年同月（发票开具月）25日前付清。②标段三、标段四：不预付货款；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收到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所供产品验收合格单和发票后，在第二个月（</w:t>
      </w:r>
      <w:r>
        <w:rPr>
          <w:rFonts w:hint="eastAsia" w:ascii="宋体" w:hAnsi="宋体" w:eastAsia="宋体" w:cs="宋体"/>
          <w:sz w:val="24"/>
          <w:szCs w:val="24"/>
          <w:highlight w:val="none"/>
        </w:rPr>
        <w:t>收到发票当月为第1月</w:t>
      </w:r>
      <w:r>
        <w:rPr>
          <w:rFonts w:hint="eastAsia" w:ascii="宋体" w:hAnsi="宋体" w:eastAsia="宋体" w:cs="宋体"/>
          <w:color w:val="000000" w:themeColor="text1"/>
          <w:sz w:val="24"/>
          <w:szCs w:val="24"/>
          <w:highlight w:val="none"/>
          <w14:textFill>
            <w14:solidFill>
              <w14:schemeClr w14:val="tx1"/>
            </w14:solidFill>
          </w14:textFill>
        </w:rPr>
        <w:t>）25日前支付应付款项的100%。</w:t>
      </w:r>
    </w:p>
    <w:p w14:paraId="12AB7495">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六、质量保证及售后服务</w:t>
      </w:r>
    </w:p>
    <w:p w14:paraId="23503AE4">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（一）通用条款</w:t>
      </w:r>
    </w:p>
    <w:p w14:paraId="5FC68CA2">
      <w:pPr>
        <w:snapToGrid w:val="0"/>
        <w:spacing w:beforeLines="0" w:afterLines="0"/>
        <w:ind w:firstLine="480" w:firstLineChars="200"/>
        <w:jc w:val="left"/>
        <w:outlineLvl w:val="9"/>
        <w:rPr>
          <w:rFonts w:hint="default" w:ascii="宋体" w:hAnsi="宋体" w:eastAsia="宋体" w:cs="宋体"/>
          <w:sz w:val="24"/>
          <w:szCs w:val="24"/>
          <w:lang w:val="en-US" w:eastAsia="zh-CN"/>
        </w:rPr>
      </w:pPr>
      <w:r>
        <w:rPr>
          <w:rFonts w:hint="eastAsia" w:hAnsi="宋体" w:eastAsia="宋体" w:cs="宋体"/>
          <w:sz w:val="24"/>
          <w:szCs w:val="24"/>
          <w:lang w:val="en-US" w:eastAsia="zh-CN"/>
        </w:rPr>
        <w:t>1.乙方</w:t>
      </w:r>
      <w:r>
        <w:rPr>
          <w:rFonts w:hint="eastAsia" w:ascii="宋体" w:hAnsi="宋体" w:eastAsia="宋体" w:cs="宋体"/>
          <w:sz w:val="24"/>
          <w:szCs w:val="24"/>
        </w:rPr>
        <w:t>所供产品</w:t>
      </w:r>
      <w:r>
        <w:rPr>
          <w:rFonts w:hint="eastAsia" w:ascii="宋体" w:hAnsi="宋体" w:eastAsia="宋体" w:cs="宋体"/>
          <w:sz w:val="24"/>
          <w:szCs w:val="24"/>
          <w:lang w:val="en-US" w:eastAsia="zh-CN"/>
        </w:rPr>
        <w:t>和</w:t>
      </w:r>
      <w:r>
        <w:rPr>
          <w:rFonts w:hint="eastAsia" w:ascii="宋体" w:hAnsi="宋体" w:eastAsia="宋体" w:cs="宋体"/>
          <w:sz w:val="24"/>
          <w:szCs w:val="24"/>
        </w:rPr>
        <w:t>生产制造所需要的所有主材和辅助材料的</w:t>
      </w:r>
      <w:r>
        <w:rPr>
          <w:rFonts w:hint="eastAsia" w:ascii="宋体" w:hAnsi="宋体" w:eastAsia="宋体" w:cs="宋体"/>
          <w:sz w:val="24"/>
          <w:szCs w:val="24"/>
          <w:lang w:val="en-US" w:eastAsia="zh-CN"/>
        </w:rPr>
        <w:t>质量以及</w:t>
      </w:r>
      <w:r>
        <w:rPr>
          <w:rFonts w:hint="eastAsia" w:ascii="宋体" w:hAnsi="宋体" w:eastAsia="宋体" w:cs="宋体"/>
          <w:sz w:val="24"/>
          <w:szCs w:val="24"/>
        </w:rPr>
        <w:t>生产、安</w:t>
      </w:r>
      <w:r>
        <w:rPr>
          <w:rFonts w:hint="eastAsia" w:hAnsi="宋体" w:eastAsia="宋体" w:cs="宋体"/>
          <w:sz w:val="24"/>
          <w:szCs w:val="24"/>
          <w:lang w:val="en-US" w:eastAsia="zh-CN"/>
        </w:rPr>
        <w:t>装、维修、检验、验收等，应严格按照相关国家标准、行业标准、地方标准执行。乙方应根据甲方要求，提供相关产品的质量检测报告。</w:t>
      </w:r>
    </w:p>
    <w:p w14:paraId="24CB4451">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乙方应保证所供产品是全新、未使用过的原装合格正品，并完全符合本</w:t>
      </w:r>
      <w:r>
        <w:rPr>
          <w:rFonts w:hint="eastAsia" w:hAnsi="宋体" w:eastAsia="宋体" w:cs="宋体"/>
          <w:sz w:val="24"/>
          <w:szCs w:val="24"/>
          <w:lang w:val="en-US" w:eastAsia="zh-CN"/>
        </w:rPr>
        <w:t>项目</w:t>
      </w:r>
      <w:r>
        <w:rPr>
          <w:rFonts w:hint="eastAsia" w:ascii="宋体" w:hAnsi="宋体" w:eastAsia="宋体" w:cs="宋体"/>
          <w:sz w:val="24"/>
          <w:szCs w:val="24"/>
        </w:rPr>
        <w:t>磋商文件规定的质量、规格和性能的要求。</w:t>
      </w:r>
      <w:r>
        <w:rPr>
          <w:rFonts w:hint="eastAsia" w:ascii="宋体" w:hAnsi="宋体" w:eastAsia="宋体" w:cs="宋体"/>
          <w:color w:val="000000" w:themeColor="text1"/>
          <w:sz w:val="24"/>
          <w:szCs w:val="24"/>
          <w14:textFill>
            <w14:solidFill>
              <w14:schemeClr w14:val="tx1"/>
            </w14:solidFill>
          </w14:textFill>
        </w:rPr>
        <w:t>如甲方在实际测试中或经第三方检测达不到标注性能要求的，甲方有权要求解除合同，因此所产生的损失由乙方承担。</w:t>
      </w:r>
    </w:p>
    <w:p w14:paraId="44CC4FA4">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.产品</w:t>
      </w:r>
      <w:r>
        <w:rPr>
          <w:rFonts w:hint="eastAsia" w:hAnsi="宋体" w:eastAsia="宋体" w:cs="宋体"/>
          <w:color w:val="000000" w:themeColor="text1"/>
          <w:sz w:val="24"/>
          <w:szCs w:val="24"/>
          <w:lang w:val="en-US" w:eastAsia="zh-CN"/>
          <w14:textFill>
            <w14:solidFill>
              <w14:schemeClr w14:val="tx1"/>
            </w14:solidFill>
          </w14:textFill>
        </w:rPr>
        <w:t>免费</w:t>
      </w:r>
      <w:r>
        <w:rPr>
          <w:rFonts w:hint="eastAsia" w:ascii="宋体" w:hAnsi="宋体" w:eastAsia="宋体" w:cs="宋体"/>
          <w:color w:val="000000" w:themeColor="text1"/>
          <w:sz w:val="24"/>
          <w:szCs w:val="24"/>
          <w14:textFill>
            <w14:solidFill>
              <w14:schemeClr w14:val="tx1"/>
            </w14:solidFill>
          </w14:textFill>
        </w:rPr>
        <w:t>质保期为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，质保期内由乙方提供免费保修服务，因</w:t>
      </w:r>
      <w:r>
        <w:rPr>
          <w:rFonts w:hint="eastAsia" w:ascii="宋体" w:hAnsi="宋体" w:eastAsia="宋体" w:cs="宋体"/>
          <w:sz w:val="24"/>
          <w:szCs w:val="24"/>
        </w:rPr>
        <w:t>甲方</w:t>
      </w:r>
      <w:r>
        <w:rPr>
          <w:rFonts w:hint="eastAsia" w:ascii="宋体" w:hAnsi="宋体" w:eastAsia="宋体" w:cs="宋体"/>
          <w:color w:val="000000" w:themeColor="text1"/>
          <w:sz w:val="24"/>
          <w:szCs w:val="24"/>
          <w14:textFill>
            <w14:solidFill>
              <w14:schemeClr w14:val="tx1"/>
            </w14:solidFill>
          </w14:textFill>
        </w:rPr>
        <w:t>人为</w:t>
      </w:r>
      <w:r>
        <w:rPr>
          <w:rFonts w:hint="eastAsia" w:hAnsi="宋体" w:eastAsia="宋体" w:cs="宋体"/>
          <w:color w:val="000000" w:themeColor="text1"/>
          <w:sz w:val="24"/>
          <w:szCs w:val="24"/>
          <w:lang w:val="en-US"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出现的故障不在免费保修范围内。</w:t>
      </w:r>
    </w:p>
    <w:p w14:paraId="4B9CA2A6">
      <w:pPr>
        <w:widowControl/>
        <w:snapToGrid w:val="0"/>
        <w:spacing w:beforeLines="0" w:afterLines="0"/>
        <w:ind w:firstLine="480" w:firstLineChars="200"/>
        <w:jc w:val="left"/>
        <w:outlineLvl w:val="9"/>
        <w:rPr>
          <w:rFonts w:hint="eastAsia" w:ascii="宋体" w:hAnsi="宋体" w:eastAsia="宋体" w:cs="宋体"/>
          <w:sz w:val="24"/>
          <w:szCs w:val="24"/>
        </w:rPr>
      </w:pPr>
      <w:r>
        <w:rPr>
          <w:rFonts w:hint="eastAsia"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质保期内，非甲方人为原因而出现产品质量问题的，由乙方负责包修、包退或包换，并承担因此而产生的一切费用。所有</w:t>
      </w:r>
      <w:r>
        <w:rPr>
          <w:rFonts w:hint="eastAsia" w:hAnsi="宋体" w:eastAsia="宋体" w:cs="宋体"/>
          <w:sz w:val="24"/>
          <w:szCs w:val="24"/>
          <w:lang w:val="en-US" w:eastAsia="zh-CN"/>
        </w:rPr>
        <w:t>产品</w:t>
      </w:r>
      <w:r>
        <w:rPr>
          <w:rFonts w:hint="eastAsia" w:ascii="宋体" w:hAnsi="宋体" w:eastAsia="宋体" w:cs="宋体"/>
          <w:sz w:val="24"/>
          <w:szCs w:val="24"/>
        </w:rPr>
        <w:t>质保维修服务方式均为上门服务，即由乙方派工作人员到</w:t>
      </w:r>
      <w:r>
        <w:rPr>
          <w:rFonts w:hint="eastAsia" w:hAnsi="宋体" w:eastAsia="宋体" w:cs="宋体"/>
          <w:sz w:val="24"/>
          <w:szCs w:val="24"/>
          <w:lang w:val="en-US" w:eastAsia="zh-CN"/>
        </w:rPr>
        <w:t>产品</w:t>
      </w:r>
      <w:r>
        <w:rPr>
          <w:rFonts w:hint="eastAsia" w:ascii="宋体" w:hAnsi="宋体" w:eastAsia="宋体" w:cs="宋体"/>
          <w:sz w:val="24"/>
          <w:szCs w:val="24"/>
        </w:rPr>
        <w:t>使用现场维修，由此产生的一切费用均由乙方承担。</w:t>
      </w:r>
    </w:p>
    <w:p w14:paraId="0F16C5C9">
      <w:pPr>
        <w:widowControl/>
        <w:snapToGrid w:val="0"/>
        <w:spacing w:beforeLines="0" w:afterLines="0"/>
        <w:ind w:firstLine="480" w:firstLineChars="200"/>
        <w:jc w:val="left"/>
        <w:outlineLvl w:val="9"/>
        <w:rPr>
          <w:rFonts w:hint="eastAsia" w:ascii="宋体" w:hAnsi="宋体" w:eastAsia="宋体" w:cs="宋体"/>
          <w:sz w:val="24"/>
          <w:szCs w:val="24"/>
        </w:rPr>
      </w:pPr>
      <w:r>
        <w:rPr>
          <w:rFonts w:hint="eastAsia"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sz w:val="24"/>
          <w:szCs w:val="24"/>
        </w:rPr>
        <w:t>须设有售后服务维修电话，</w:t>
      </w:r>
      <w:r>
        <w:rPr>
          <w:rFonts w:hint="eastAsia" w:ascii="宋体" w:hAnsi="宋体" w:eastAsia="宋体" w:cs="宋体"/>
          <w:color w:val="000000" w:themeColor="text1"/>
          <w:sz w:val="24"/>
          <w:szCs w:val="24"/>
          <w14:textFill>
            <w14:solidFill>
              <w14:schemeClr w14:val="tx1"/>
            </w14:solidFill>
          </w14:textFill>
        </w:rPr>
        <w:t>为甲方提供免费的电话咨询及技术服务</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负责解答甲方在使用过程中遇到的问题，及时提出解决问题的建议和操作方法。</w:t>
      </w:r>
    </w:p>
    <w:p w14:paraId="060C6077">
      <w:pPr>
        <w:spacing w:beforeLines="0" w:afterLines="0"/>
        <w:ind w:firstLine="480" w:firstLineChars="200"/>
        <w:outlineLvl w:val="9"/>
        <w:rPr>
          <w:rFonts w:hint="eastAsia" w:ascii="宋体" w:hAnsi="宋体" w:eastAsia="宋体" w:cs="宋体"/>
          <w:sz w:val="24"/>
          <w:szCs w:val="24"/>
        </w:rPr>
      </w:pPr>
      <w:r>
        <w:rPr>
          <w:rFonts w:hint="eastAsia" w:hAnsi="宋体" w:eastAsia="宋体" w:cs="宋体"/>
          <w:sz w:val="24"/>
          <w:szCs w:val="24"/>
          <w:lang w:val="en-US" w:eastAsia="zh-CN"/>
        </w:rPr>
        <w:t>6</w:t>
      </w:r>
      <w:r>
        <w:rPr>
          <w:rFonts w:hint="eastAsia" w:ascii="宋体" w:hAnsi="宋体" w:eastAsia="宋体" w:cs="宋体"/>
          <w:sz w:val="24"/>
          <w:szCs w:val="24"/>
        </w:rPr>
        <w:t>.售后服务响应时间：售后服务电话2小时响应，如设备（或货物）出现故障等问题且电话响应无法解决，</w:t>
      </w:r>
      <w:r>
        <w:rPr>
          <w:rFonts w:hint="eastAsia" w:hAnsi="宋体" w:eastAsia="宋体" w:cs="宋体"/>
          <w:sz w:val="24"/>
          <w:szCs w:val="24"/>
          <w:lang w:val="en-US" w:eastAsia="zh-CN"/>
        </w:rPr>
        <w:t>乙方</w:t>
      </w:r>
      <w:r>
        <w:rPr>
          <w:rFonts w:hint="eastAsia" w:ascii="宋体" w:hAnsi="宋体" w:eastAsia="宋体" w:cs="宋体"/>
          <w:sz w:val="24"/>
          <w:szCs w:val="24"/>
        </w:rPr>
        <w:t>须在24小时内到达现场并解决问题。</w:t>
      </w:r>
    </w:p>
    <w:p w14:paraId="12919D59">
      <w:pPr>
        <w:spacing w:beforeLines="0" w:afterLines="0"/>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（二）标段一、标段二供应商须另行遵守的售后服务条款</w:t>
      </w:r>
    </w:p>
    <w:p w14:paraId="78E676BA">
      <w:pPr>
        <w:pStyle w:val="24"/>
        <w:spacing w:beforeLines="0" w:afterLines="0"/>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1.乙方负责所供产品的安装调试服务并确保通过甲方的验收。如产品存在质量问题，实行1个月（自安装调试验收合格之日起)包换。</w:t>
      </w:r>
    </w:p>
    <w:p w14:paraId="66D8A576">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2.乙方根据甲方的需求，为甲方提供产品线规划方案并协助实施。</w:t>
      </w:r>
    </w:p>
    <w:p w14:paraId="1D6FA62C">
      <w:pPr>
        <w:widowControl/>
        <w:shd w:val="clear" w:color="auto" w:fill="FFFFFF"/>
        <w:snapToGrid w:val="0"/>
        <w:spacing w:beforeLines="0" w:afterLines="0"/>
        <w:ind w:firstLine="480" w:firstLineChars="200"/>
        <w:jc w:val="left"/>
        <w:outlineLvl w:val="9"/>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sz w:val="24"/>
          <w:szCs w:val="24"/>
        </w:rPr>
        <w:t>乙方提供设备</w:t>
      </w:r>
      <w:r>
        <w:rPr>
          <w:rFonts w:hint="eastAsia" w:ascii="宋体" w:hAnsi="宋体" w:eastAsia="宋体" w:cs="宋体"/>
          <w:color w:val="000000" w:themeColor="text1"/>
          <w:sz w:val="24"/>
          <w:szCs w:val="24"/>
          <w14:textFill>
            <w14:solidFill>
              <w14:schemeClr w14:val="tx1"/>
            </w14:solidFill>
          </w14:textFill>
        </w:rPr>
        <w:t>终身售后服务</w:t>
      </w:r>
      <w:r>
        <w:rPr>
          <w:rFonts w:hint="eastAsia" w:ascii="宋体" w:hAnsi="宋体" w:eastAsia="宋体" w:cs="宋体"/>
          <w:sz w:val="24"/>
          <w:szCs w:val="24"/>
        </w:rPr>
        <w:t>，在设备的设计使用寿命周期内，保证</w:t>
      </w:r>
      <w:r>
        <w:rPr>
          <w:rFonts w:hint="eastAsia" w:hAnsi="宋体" w:eastAsia="宋体" w:cs="宋体"/>
          <w:sz w:val="24"/>
          <w:szCs w:val="24"/>
          <w:lang w:val="en-US" w:eastAsia="zh-CN"/>
        </w:rPr>
        <w:t>甲方</w:t>
      </w:r>
      <w:r>
        <w:rPr>
          <w:rFonts w:hint="eastAsia" w:ascii="宋体" w:hAnsi="宋体" w:eastAsia="宋体" w:cs="宋体"/>
          <w:sz w:val="24"/>
          <w:szCs w:val="24"/>
        </w:rPr>
        <w:t>更换到原厂正宗的备件材料，以确保设备的正常使用。</w:t>
      </w:r>
      <w:r>
        <w:rPr>
          <w:rFonts w:hint="eastAsia" w:ascii="宋体" w:hAnsi="宋体" w:eastAsia="宋体" w:cs="宋体"/>
          <w:color w:val="000000" w:themeColor="text1"/>
          <w:sz w:val="24"/>
          <w:szCs w:val="24"/>
          <w14:textFill>
            <w14:solidFill>
              <w14:schemeClr w14:val="tx1"/>
            </w14:solidFill>
          </w14:textFill>
        </w:rPr>
        <w:t>保修范围外的零部件、配件损坏，如需更换零部件、配件，按不高于市场价</w:t>
      </w:r>
      <w:r>
        <w:rPr>
          <w:rFonts w:hint="eastAsia"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u w:val="single"/>
          <w:lang w:val="en-US" w:eastAsia="zh-CN"/>
          <w14:textFill>
            <w14:solidFill>
              <w14:schemeClr w14:val="tx1"/>
            </w14:solidFill>
          </w14:textFill>
        </w:rPr>
        <w:t xml:space="preserve">   </w:t>
      </w:r>
      <w:r>
        <w:rPr>
          <w:rFonts w:hint="eastAsia"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收取。</w:t>
      </w:r>
    </w:p>
    <w:p w14:paraId="78B69CA4">
      <w:pPr>
        <w:widowControl/>
        <w:shd w:val="clear" w:color="auto" w:fill="FFFFFF"/>
        <w:snapToGrid w:val="0"/>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乙方应免费对甲方指定人员（不少于2人）进行现场培训，并直至正常使用设备。根据甲方需要，乙方应提供详细的培训方案、计划、课程、人员及期限，培训的内容应包括但不限于：设备正常操作和使用方法、日常维护和保养方法、安全操作规程、安全注意事项等。</w:t>
      </w:r>
    </w:p>
    <w:p w14:paraId="152A6227">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5.乙方免费向甲方提供产品售后技术指导。甲方可根据自身需求，定期组织技术人员至乙方进行学习和培训，乙方有义务利用自身资源对甲方人员进行技术培训。</w:t>
      </w:r>
    </w:p>
    <w:p w14:paraId="0508F6CB">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七、违约责任</w:t>
      </w:r>
    </w:p>
    <w:p w14:paraId="1DA934D5">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1.甲方无故逾期验收和办理货款支付手续的，应按逾期付款总额每日万分之五向乙方支付违约金。</w:t>
      </w:r>
    </w:p>
    <w:p w14:paraId="514D2551">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.乙方逾期交付</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的，乙方应按逾期交货总额每日</w:t>
      </w:r>
      <w:r>
        <w:rPr>
          <w:rFonts w:hint="eastAsia" w:hAnsi="宋体" w:eastAsia="宋体" w:cs="宋体"/>
          <w:color w:val="000000" w:themeColor="text1"/>
          <w:sz w:val="24"/>
          <w:szCs w:val="24"/>
          <w:lang w:val="en-US" w:eastAsia="zh-CN"/>
          <w14:textFill>
            <w14:solidFill>
              <w14:schemeClr w14:val="tx1"/>
            </w14:solidFill>
          </w14:textFill>
        </w:rPr>
        <w:t>万</w:t>
      </w:r>
      <w:r>
        <w:rPr>
          <w:rFonts w:hint="eastAsia" w:ascii="宋体" w:hAnsi="宋体" w:eastAsia="宋体" w:cs="宋体"/>
          <w:color w:val="000000" w:themeColor="text1"/>
          <w:sz w:val="24"/>
          <w:szCs w:val="24"/>
          <w14:textFill>
            <w14:solidFill>
              <w14:schemeClr w14:val="tx1"/>
            </w14:solidFill>
          </w14:textFill>
        </w:rPr>
        <w:t>分之</w:t>
      </w:r>
      <w:r>
        <w:rPr>
          <w:rFonts w:hint="eastAsia"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向甲方支付违约金，由甲方从待付货款中扣除。逾期超过10个工作日不能交货的，甲方可解除本合同。乙方因逾期交货或因其他违约行为导致甲方解除合同的，乙方应向甲方支付合同</w:t>
      </w:r>
      <w:r>
        <w:rPr>
          <w:rFonts w:hint="eastAsia" w:hAnsi="宋体" w:eastAsia="宋体" w:cs="宋体"/>
          <w:color w:val="000000" w:themeColor="text1"/>
          <w:sz w:val="24"/>
          <w:szCs w:val="24"/>
          <w:lang w:val="en-US" w:eastAsia="zh-CN"/>
          <w14:textFill>
            <w14:solidFill>
              <w14:schemeClr w14:val="tx1"/>
            </w14:solidFill>
          </w14:textFill>
        </w:rPr>
        <w:t>总价</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%的违约金，如造成甲方损失超过违约金的，超出部分由乙方继续承担赔偿责任。</w:t>
      </w:r>
    </w:p>
    <w:p w14:paraId="2706ED17">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.乙方所交的</w:t>
      </w:r>
      <w:r>
        <w:rPr>
          <w:rFonts w:hint="eastAsia" w:ascii="宋体"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品种、型号、规格、技术参数、质量不符合合同</w:t>
      </w:r>
      <w:r>
        <w:rPr>
          <w:rFonts w:hint="eastAsia" w:hAnsi="宋体" w:eastAsia="宋体" w:cs="宋体"/>
          <w:color w:val="000000" w:themeColor="text1"/>
          <w:sz w:val="24"/>
          <w:szCs w:val="24"/>
          <w:lang w:val="en-US" w:eastAsia="zh-CN"/>
          <w14:textFill>
            <w14:solidFill>
              <w14:schemeClr w14:val="tx1"/>
            </w14:solidFill>
          </w14:textFill>
        </w:rPr>
        <w:t>约</w:t>
      </w:r>
      <w:r>
        <w:rPr>
          <w:rFonts w:hint="eastAsia" w:ascii="宋体" w:hAnsi="宋体" w:eastAsia="宋体" w:cs="宋体"/>
          <w:color w:val="000000" w:themeColor="text1"/>
          <w:sz w:val="24"/>
          <w:szCs w:val="24"/>
          <w14:textFill>
            <w14:solidFill>
              <w14:schemeClr w14:val="tx1"/>
            </w14:solidFill>
          </w14:textFill>
        </w:rPr>
        <w:t>定及</w:t>
      </w:r>
      <w:r>
        <w:rPr>
          <w:rFonts w:hint="eastAsia"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文件规定标准的，甲方有权拒收该</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，乙方愿意更换货物但逾期</w:t>
      </w:r>
      <w:r>
        <w:rPr>
          <w:rFonts w:hint="eastAsia" w:hAnsi="宋体" w:eastAsia="宋体" w:cs="宋体"/>
          <w:color w:val="000000" w:themeColor="text1"/>
          <w:sz w:val="24"/>
          <w:szCs w:val="24"/>
          <w:lang w:val="en-US" w:eastAsia="zh-CN"/>
          <w14:textFill>
            <w14:solidFill>
              <w14:schemeClr w14:val="tx1"/>
            </w14:solidFill>
          </w14:textFill>
        </w:rPr>
        <w:t>交付</w:t>
      </w:r>
      <w:r>
        <w:rPr>
          <w:rFonts w:hint="eastAsia" w:ascii="宋体" w:hAnsi="宋体" w:eastAsia="宋体" w:cs="宋体"/>
          <w:color w:val="000000" w:themeColor="text1"/>
          <w:sz w:val="24"/>
          <w:szCs w:val="24"/>
          <w14:textFill>
            <w14:solidFill>
              <w14:schemeClr w14:val="tx1"/>
            </w14:solidFill>
          </w14:textFill>
        </w:rPr>
        <w:t>的，按乙方逾期交货处理。乙方拒绝更换</w:t>
      </w:r>
      <w:r>
        <w:rPr>
          <w:rFonts w:hint="eastAsia"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的，甲方可单方面解除合同。</w:t>
      </w:r>
    </w:p>
    <w:p w14:paraId="3FA747D5">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未按约定</w:t>
      </w:r>
      <w:r>
        <w:rPr>
          <w:rFonts w:hint="eastAsia" w:ascii="宋体" w:hAnsi="宋体" w:eastAsia="宋体" w:cs="宋体"/>
          <w:color w:val="000000" w:themeColor="text1"/>
          <w:sz w:val="24"/>
          <w:szCs w:val="24"/>
          <w14:textFill>
            <w14:solidFill>
              <w14:schemeClr w14:val="tx1"/>
            </w14:solidFill>
          </w14:textFill>
        </w:rPr>
        <w:t>提供售后服务的，视为乙方违约，甲方将按乙方逾期交付的约定追究乙方的违约责任。</w:t>
      </w:r>
    </w:p>
    <w:p w14:paraId="77A2E8B7">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八、不可抗力</w:t>
      </w:r>
    </w:p>
    <w:p w14:paraId="6A0683F8">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14:paraId="30415AEB">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2.不可抗力事件发生后，应立即通知对方，并寄送有关权威机构出具的证明。</w:t>
      </w:r>
    </w:p>
    <w:p w14:paraId="5C64A8E0">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3.不可抗力事件延续120天以上，双方应通过友好协商，确定是否继续履行合同。</w:t>
      </w:r>
    </w:p>
    <w:p w14:paraId="6096C0F7">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九、解决争议的方法</w:t>
      </w:r>
    </w:p>
    <w:p w14:paraId="1CD02248">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双方在执行合同中所发生的一切争议，应通过协商解决。如协商不成，可向甲方所在地法院起诉。</w:t>
      </w:r>
    </w:p>
    <w:p w14:paraId="45BF2E68">
      <w:pPr>
        <w:widowControl/>
        <w:snapToGrid w:val="0"/>
        <w:spacing w:beforeLines="0" w:afterLines="0"/>
        <w:ind w:firstLine="482" w:firstLineChars="200"/>
        <w:jc w:val="left"/>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十、合同生效及其</w:t>
      </w:r>
      <w:r>
        <w:rPr>
          <w:rFonts w:hint="eastAsia" w:hAnsi="宋体" w:eastAsia="宋体" w:cs="宋体"/>
          <w:b/>
          <w:bCs/>
          <w:color w:val="000000" w:themeColor="text1"/>
          <w:sz w:val="24"/>
          <w:szCs w:val="24"/>
          <w:lang w:val="en-US" w:eastAsia="zh-CN"/>
          <w14:textFill>
            <w14:solidFill>
              <w14:schemeClr w14:val="tx1"/>
            </w14:solidFill>
          </w14:textFill>
        </w:rPr>
        <w:t>他</w:t>
      </w:r>
    </w:p>
    <w:p w14:paraId="5E75F714">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1.本合同经甲方、乙方法定代表人或其授权代表签字并加盖公章后生效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合同有效期限自2024年X月XX日始至2025年XX月XX日止。</w:t>
      </w:r>
    </w:p>
    <w:p w14:paraId="186FB9B5">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2.本合同未尽事宜，遵照《中华人民共和国民法典》有关条文执行。经甲乙双方协商一致并签署书面补充协议后，方可作为主合同不可分割的一部分。</w:t>
      </w:r>
    </w:p>
    <w:p w14:paraId="05BA0D76">
      <w:pPr>
        <w:widowControl/>
        <w:snapToGrid w:val="0"/>
        <w:spacing w:beforeLines="0" w:afterLines="0"/>
        <w:ind w:firstLine="480" w:firstLineChars="200"/>
        <w:jc w:val="left"/>
        <w:outlineLvl w:val="9"/>
        <w:rPr>
          <w:rFonts w:hint="eastAsia" w:hAnsi="宋体" w:eastAsia="宋体" w:cs="宋体"/>
        </w:rPr>
      </w:pPr>
      <w:r>
        <w:rPr>
          <w:rFonts w:hint="eastAsia" w:ascii="宋体" w:hAnsi="宋体" w:eastAsia="宋体" w:cs="宋体"/>
          <w:color w:val="000000" w:themeColor="text1"/>
          <w:sz w:val="24"/>
          <w:szCs w:val="24"/>
          <w14:textFill>
            <w14:solidFill>
              <w14:schemeClr w14:val="tx1"/>
            </w14:solidFill>
          </w14:textFill>
        </w:rPr>
        <w:t>3.合同一式肆份，甲、乙双方各执贰份。</w:t>
      </w:r>
    </w:p>
    <w:p w14:paraId="028A3F51">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4.下列文件均为本合同的组成部分：</w:t>
      </w:r>
    </w:p>
    <w:p w14:paraId="7A951177">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磋商文件；</w:t>
      </w:r>
    </w:p>
    <w:p w14:paraId="78E096EE">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响应文件；</w:t>
      </w:r>
    </w:p>
    <w:p w14:paraId="18823F7F">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成交通知书；</w:t>
      </w:r>
    </w:p>
    <w:p w14:paraId="2D8F0752">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 磋商过程中有关澄清、承诺文件。</w:t>
      </w:r>
    </w:p>
    <w:p w14:paraId="64E616D5">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p>
    <w:p w14:paraId="372D6C87">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公章</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乙方</w:t>
      </w:r>
      <w:r>
        <w:rPr>
          <w:rFonts w:hint="eastAsia"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公章</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14:paraId="74F876DC">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地址： </w:t>
      </w:r>
    </w:p>
    <w:p w14:paraId="7E76C692">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hAnsi="宋体" w:eastAsia="宋体" w:cs="宋体"/>
          <w:color w:val="000000" w:themeColor="text1"/>
          <w:sz w:val="24"/>
          <w:szCs w:val="24"/>
          <w:highlight w:val="none"/>
          <w:lang w:val="en-US" w:eastAsia="zh-CN"/>
          <w14:textFill>
            <w14:solidFill>
              <w14:schemeClr w14:val="tx1"/>
            </w14:solidFill>
          </w14:textFill>
        </w:rPr>
        <w:t>或授权代表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w:t>
      </w:r>
      <w:r>
        <w:rPr>
          <w:rFonts w:hint="eastAsia" w:ascii="宋体" w:hAnsi="宋体" w:eastAsia="宋体" w:cs="宋体"/>
          <w:color w:val="000000" w:themeColor="text1"/>
          <w:sz w:val="24"/>
          <w:szCs w:val="24"/>
          <w:highlight w:val="none"/>
          <w14:textFill>
            <w14:solidFill>
              <w14:schemeClr w14:val="tx1"/>
            </w14:solidFill>
          </w14:textFill>
        </w:rPr>
        <w:t>）：      法定代表人</w:t>
      </w:r>
      <w:r>
        <w:rPr>
          <w:rFonts w:hint="eastAsia" w:hAnsi="宋体" w:eastAsia="宋体" w:cs="宋体"/>
          <w:color w:val="000000" w:themeColor="text1"/>
          <w:sz w:val="24"/>
          <w:szCs w:val="24"/>
          <w:highlight w:val="none"/>
          <w:lang w:val="en-US" w:eastAsia="zh-CN"/>
          <w14:textFill>
            <w14:solidFill>
              <w14:schemeClr w14:val="tx1"/>
            </w14:solidFill>
          </w14:textFill>
        </w:rPr>
        <w:t>或授权代表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w:t>
      </w:r>
      <w:r>
        <w:rPr>
          <w:rFonts w:hint="eastAsia" w:ascii="宋体" w:hAnsi="宋体" w:eastAsia="宋体" w:cs="宋体"/>
          <w:color w:val="000000" w:themeColor="text1"/>
          <w:sz w:val="24"/>
          <w:szCs w:val="24"/>
          <w:highlight w:val="none"/>
          <w14:textFill>
            <w14:solidFill>
              <w14:schemeClr w14:val="tx1"/>
            </w14:solidFill>
          </w14:textFill>
        </w:rPr>
        <w:t>）：</w:t>
      </w:r>
    </w:p>
    <w:p w14:paraId="30A4641D">
      <w:pPr>
        <w:widowControl/>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                          联系电话：</w:t>
      </w:r>
    </w:p>
    <w:p w14:paraId="6F814C02">
      <w:pPr>
        <w:ind w:firstLine="480" w:firstLineChars="200"/>
      </w:pPr>
      <w:r>
        <w:rPr>
          <w:rFonts w:hint="eastAsia" w:ascii="宋体" w:hAnsi="宋体" w:eastAsia="宋体" w:cs="宋体"/>
          <w:color w:val="000000" w:themeColor="text1"/>
          <w:sz w:val="24"/>
          <w:szCs w:val="24"/>
          <w14:textFill>
            <w14:solidFill>
              <w14:schemeClr w14:val="tx1"/>
            </w14:solidFill>
          </w14:textFill>
        </w:rPr>
        <w:t xml:space="preserve">签字日期：    年   月   日         </w:t>
      </w:r>
      <w:r>
        <w:rPr>
          <w:rFonts w:hint="eastAsia"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签订地点：</w:t>
      </w:r>
    </w:p>
    <w:p w14:paraId="7BDEBB44">
      <w:pPr>
        <w:pStyle w:val="24"/>
        <w:spacing w:beforeLines="0" w:afterLines="0"/>
        <w:jc w:val="center"/>
        <w:outlineLvl w:val="9"/>
        <w:rPr>
          <w:rFonts w:hint="eastAsia" w:hAnsi="宋体" w:eastAsia="宋体" w:cs="宋体"/>
          <w:b/>
          <w:sz w:val="30"/>
        </w:rPr>
      </w:pPr>
    </w:p>
    <w:p w14:paraId="4B64B307">
      <w:pPr>
        <w:pStyle w:val="24"/>
        <w:spacing w:beforeLines="0" w:afterLines="0"/>
        <w:jc w:val="center"/>
        <w:outlineLvl w:val="9"/>
        <w:rPr>
          <w:rFonts w:hint="eastAsia" w:hAnsi="宋体" w:eastAsia="宋体" w:cs="宋体"/>
          <w:b/>
          <w:sz w:val="30"/>
        </w:rPr>
      </w:pPr>
    </w:p>
    <w:p w14:paraId="0BDFC3E3">
      <w:pPr>
        <w:pStyle w:val="24"/>
        <w:spacing w:beforeLines="0" w:afterLines="0"/>
        <w:jc w:val="center"/>
        <w:outlineLvl w:val="9"/>
        <w:rPr>
          <w:rFonts w:hint="eastAsia" w:hAnsi="宋体" w:eastAsia="宋体" w:cs="宋体"/>
          <w:b/>
          <w:sz w:val="30"/>
        </w:rPr>
      </w:pPr>
    </w:p>
    <w:p w14:paraId="0CBB50A7">
      <w:pPr>
        <w:pStyle w:val="24"/>
        <w:spacing w:beforeLines="0" w:afterLines="0"/>
        <w:jc w:val="center"/>
        <w:outlineLvl w:val="9"/>
        <w:rPr>
          <w:rFonts w:hint="eastAsia" w:hAnsi="宋体" w:eastAsia="宋体" w:cs="宋体"/>
          <w:b/>
          <w:sz w:val="30"/>
        </w:rPr>
      </w:pPr>
    </w:p>
    <w:p w14:paraId="60491A33">
      <w:pPr>
        <w:pStyle w:val="24"/>
        <w:spacing w:beforeLines="0" w:afterLines="0"/>
        <w:jc w:val="center"/>
        <w:outlineLvl w:val="9"/>
        <w:rPr>
          <w:rFonts w:hint="eastAsia" w:hAnsi="宋体" w:eastAsia="宋体" w:cs="宋体"/>
          <w:b/>
          <w:sz w:val="30"/>
        </w:rPr>
      </w:pPr>
    </w:p>
    <w:p w14:paraId="37BC6FC6">
      <w:pPr>
        <w:pStyle w:val="24"/>
        <w:spacing w:beforeLines="0" w:afterLines="0"/>
        <w:jc w:val="center"/>
        <w:outlineLvl w:val="9"/>
        <w:rPr>
          <w:rFonts w:hint="eastAsia" w:hAnsi="宋体" w:eastAsia="宋体" w:cs="宋体"/>
          <w:b/>
          <w:sz w:val="30"/>
          <w:lang w:val="en-US" w:eastAsia="zh-CN"/>
        </w:rPr>
        <w:sectPr>
          <w:pgSz w:w="11906" w:h="16838"/>
          <w:pgMar w:top="1440" w:right="1800" w:bottom="1440" w:left="1800" w:header="851" w:footer="992" w:gutter="0"/>
          <w:cols w:space="425" w:num="1"/>
          <w:docGrid w:type="lines" w:linePitch="312" w:charSpace="0"/>
        </w:sectPr>
      </w:pPr>
    </w:p>
    <w:p w14:paraId="23A87878">
      <w:pPr>
        <w:autoSpaceDE w:val="0"/>
        <w:autoSpaceDN w:val="0"/>
        <w:bidi w:val="0"/>
        <w:snapToGrid w:val="0"/>
        <w:spacing w:before="0" w:beforeLines="0" w:after="0" w:afterLines="0" w:line="360" w:lineRule="auto"/>
        <w:jc w:val="both"/>
        <w:outlineLvl w:val="9"/>
        <w:rPr>
          <w:rFonts w:hint="eastAsia" w:hAnsi="宋体" w:eastAsia="宋体" w:cs="Cambria Math"/>
          <w:b/>
          <w:bCs/>
          <w:color w:val="auto"/>
          <w:kern w:val="44"/>
          <w:sz w:val="36"/>
          <w:szCs w:val="36"/>
          <w:lang w:eastAsia="zh-CN"/>
        </w:rPr>
      </w:pPr>
      <w:r>
        <w:rPr>
          <w:rFonts w:hint="eastAsia" w:hAnsi="宋体" w:eastAsia="宋体" w:cs="Cambria Math"/>
          <w:b/>
          <w:bCs/>
          <w:color w:val="auto"/>
          <w:kern w:val="44"/>
          <w:sz w:val="36"/>
          <w:szCs w:val="36"/>
          <w:lang w:eastAsia="zh-CN"/>
        </w:rPr>
        <w:t xml:space="preserve">         </w:t>
      </w:r>
      <w:r>
        <w:rPr>
          <w:rFonts w:hint="eastAsia" w:hAnsi="宋体" w:eastAsia="宋体" w:cs="Cambria Math"/>
          <w:b/>
          <w:bCs/>
          <w:color w:val="auto"/>
          <w:kern w:val="44"/>
          <w:sz w:val="36"/>
          <w:szCs w:val="36"/>
          <w:lang w:val="en-US" w:eastAsia="zh-CN"/>
        </w:rPr>
        <w:t xml:space="preserve">     </w:t>
      </w:r>
      <w:r>
        <w:rPr>
          <w:rFonts w:hint="eastAsia" w:hAnsi="宋体" w:eastAsia="宋体" w:cs="Cambria Math"/>
          <w:b/>
          <w:bCs/>
          <w:color w:val="auto"/>
          <w:kern w:val="44"/>
          <w:sz w:val="36"/>
          <w:szCs w:val="36"/>
          <w:lang w:eastAsia="zh-CN"/>
        </w:rPr>
        <w:t>（</w:t>
      </w:r>
      <w:r>
        <w:rPr>
          <w:rFonts w:hint="eastAsia" w:hAnsi="宋体" w:eastAsia="宋体" w:cs="Cambria Math"/>
          <w:b/>
          <w:bCs/>
          <w:color w:val="auto"/>
          <w:kern w:val="44"/>
          <w:sz w:val="36"/>
          <w:szCs w:val="36"/>
          <w:lang w:val="en-US" w:eastAsia="zh-CN"/>
        </w:rPr>
        <w:t>三</w:t>
      </w:r>
      <w:r>
        <w:rPr>
          <w:rFonts w:hint="eastAsia" w:hAnsi="宋体" w:eastAsia="宋体" w:cs="Cambria Math"/>
          <w:b/>
          <w:bCs/>
          <w:color w:val="auto"/>
          <w:kern w:val="44"/>
          <w:sz w:val="36"/>
          <w:szCs w:val="36"/>
          <w:lang w:eastAsia="zh-CN"/>
        </w:rPr>
        <w:t>）廉洁合同</w:t>
      </w:r>
    </w:p>
    <w:p w14:paraId="38FD6196">
      <w:pPr>
        <w:autoSpaceDE/>
        <w:autoSpaceDN/>
        <w:bidi w:val="0"/>
        <w:snapToGrid/>
        <w:spacing w:before="0" w:beforeLines="0" w:after="0" w:afterLines="0" w:line="360" w:lineRule="auto"/>
        <w:jc w:val="left"/>
        <w:outlineLvl w:val="9"/>
        <w:rPr>
          <w:rFonts w:hint="eastAsia" w:ascii="宋体" w:hAnsi="宋体" w:eastAsia="宋体" w:cs="宋体"/>
          <w:color w:val="000000" w:themeColor="text1"/>
          <w:sz w:val="32"/>
          <w:szCs w:val="32"/>
          <w14:textFill>
            <w14:solidFill>
              <w14:schemeClr w14:val="tx1"/>
            </w14:solidFill>
          </w14:textFill>
        </w:rPr>
      </w:pPr>
    </w:p>
    <w:p w14:paraId="2236E2DF">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甲方：江苏丰之源有限公司</w:t>
      </w:r>
    </w:p>
    <w:p w14:paraId="105AC2FE">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乙方：（成交供应商） </w:t>
      </w:r>
    </w:p>
    <w:p w14:paraId="640D7988">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为防止国有资源交易活动中各种不正当行为发生，确保项目交易公开、公正、公平，根据廉政建设的相关规定，结合国有资源交易工作特点，特订立本合同如下：</w:t>
      </w:r>
    </w:p>
    <w:p w14:paraId="7F2D79F7">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一、甲乙双方应当自觉遵守国家和所在地区关于招投标相关规定和廉政建设的各项规定。</w:t>
      </w:r>
    </w:p>
    <w:p w14:paraId="4C114EF6">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二、甲方及相关工作人员不得以任何形式向乙方索要和收受回扣等好处费。</w:t>
      </w:r>
    </w:p>
    <w:p w14:paraId="7D92F880">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14:paraId="07203F90">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四、甲方相关工作人员不得要求或者接受乙方为其住房装修、婚丧嫁娶、家属和子女的工作安排以及出国提供方便或服务。</w:t>
      </w:r>
    </w:p>
    <w:p w14:paraId="5AC373DA">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五、甲方相关工作人员不得向乙方介绍家属或者亲友从事与甲方招标（采购）有关的服务、货物供应等经济活动。</w:t>
      </w:r>
    </w:p>
    <w:p w14:paraId="41521630">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六、乙方应当通过正常途径开展相</w:t>
      </w:r>
      <w:r>
        <w:rPr>
          <w:rFonts w:hint="eastAsia" w:hAnsi="宋体" w:eastAsia="宋体" w:cs="宋体"/>
          <w:sz w:val="24"/>
          <w:szCs w:val="24"/>
          <w:lang w:val="en-US" w:eastAsia="zh-CN"/>
        </w:rPr>
        <w:t>应</w:t>
      </w:r>
      <w:r>
        <w:rPr>
          <w:rFonts w:hint="eastAsia" w:ascii="宋体" w:hAnsi="宋体" w:eastAsia="宋体" w:cs="宋体"/>
          <w:sz w:val="24"/>
          <w:szCs w:val="24"/>
        </w:rPr>
        <w:t>业务工作，不得为获取某些不正当利益而向甲方相关工作人员赠送礼金、礼品、有价证券、贵重物品等; 不得为谋取私利与甲方相关工作人员就中标（成交）甲方招标（采购）项目等进行私下商谈或者达成默契; 不得以洽谈业务、签订经济合同为借口，邀请甲方相关工作人员外出旅游和进入营业性娱乐场所; 不得为甲方单位和个人购置或者提供通讯工具、交通工具、家电、高档办公用品等物品。</w:t>
      </w:r>
    </w:p>
    <w:p w14:paraId="6DFCA3EF">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七、乙方发现甲方相关工作人员有违反上述廉洁行为的，应及时向甲方纪检监察部门或者甲方上级单位反映，有义务积极支持配合甲方纪检监察部门调查处理工作。</w:t>
      </w:r>
    </w:p>
    <w:p w14:paraId="2FF440F5">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八、甲方发现乙方有违反本协议或者采取不正当的手段行贿甲方相关工作人员，甲方及时向有关部门汇报并做好相应记录，可以根据具体情节和造成的后果采取以下措施：</w:t>
      </w:r>
    </w:p>
    <w:p w14:paraId="20218361">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1.责令乙方限期整改；</w:t>
      </w:r>
    </w:p>
    <w:p w14:paraId="05B4CD36">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2.终止与乙方的合作；</w:t>
      </w:r>
    </w:p>
    <w:p w14:paraId="076770B8">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3.终止合同，将乙方列入本单位招标“黑名单”。</w:t>
      </w:r>
    </w:p>
    <w:p w14:paraId="118D0611">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九、本廉洁合同作为项目成交合同的附件，与成交合同具有同等法律效力。经协议双方签署后立即生效。</w:t>
      </w:r>
    </w:p>
    <w:p w14:paraId="15C2DF5E">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十、本合同一式二份，甲、乙双方各持一份。</w:t>
      </w:r>
    </w:p>
    <w:p w14:paraId="2889F27C">
      <w:pPr>
        <w:snapToGrid w:val="0"/>
        <w:spacing w:beforeLines="0" w:afterLines="0"/>
        <w:ind w:firstLine="480" w:firstLineChars="200"/>
        <w:textAlignment w:val="auto"/>
        <w:outlineLvl w:val="9"/>
        <w:rPr>
          <w:rFonts w:hint="eastAsia" w:ascii="宋体" w:hAnsi="宋体" w:eastAsia="宋体" w:cs="宋体"/>
          <w:sz w:val="24"/>
          <w:szCs w:val="24"/>
        </w:rPr>
      </w:pPr>
    </w:p>
    <w:p w14:paraId="67E48196">
      <w:pPr>
        <w:snapToGrid w:val="0"/>
        <w:spacing w:beforeLines="0" w:afterLines="0"/>
        <w:ind w:firstLine="480" w:firstLineChars="200"/>
        <w:textAlignment w:val="auto"/>
        <w:outlineLvl w:val="9"/>
        <w:rPr>
          <w:rFonts w:hint="eastAsia" w:ascii="宋体" w:hAnsi="宋体" w:eastAsia="宋体" w:cs="宋体"/>
          <w:sz w:val="24"/>
          <w:szCs w:val="24"/>
        </w:rPr>
      </w:pPr>
    </w:p>
    <w:p w14:paraId="4F728F23">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甲方(公章)： </w:t>
      </w:r>
    </w:p>
    <w:p w14:paraId="687A3E16">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法定代表人或授权代理人(签字)：</w:t>
      </w:r>
    </w:p>
    <w:p w14:paraId="5BC7AD40">
      <w:pPr>
        <w:snapToGrid w:val="0"/>
        <w:spacing w:beforeLines="0" w:afterLines="0"/>
        <w:ind w:firstLine="480" w:firstLineChars="200"/>
        <w:textAlignment w:val="auto"/>
        <w:outlineLvl w:val="9"/>
        <w:rPr>
          <w:rFonts w:hint="eastAsia" w:ascii="宋体" w:hAnsi="宋体" w:eastAsia="宋体" w:cs="宋体"/>
          <w:sz w:val="24"/>
          <w:szCs w:val="24"/>
        </w:rPr>
      </w:pPr>
    </w:p>
    <w:p w14:paraId="0CDB2EA2">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乙方(公章)：</w:t>
      </w:r>
    </w:p>
    <w:p w14:paraId="0CF99583">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法定代表人或授权代理人(签字)：</w:t>
      </w:r>
    </w:p>
    <w:p w14:paraId="231B4B37">
      <w:pPr>
        <w:snapToGrid w:val="0"/>
        <w:spacing w:beforeLines="0" w:afterLines="0"/>
        <w:ind w:firstLine="480" w:firstLineChars="200"/>
        <w:textAlignment w:val="auto"/>
        <w:outlineLvl w:val="9"/>
        <w:rPr>
          <w:rFonts w:hint="eastAsia" w:ascii="宋体" w:hAnsi="宋体" w:eastAsia="宋体" w:cs="宋体"/>
          <w:sz w:val="24"/>
          <w:szCs w:val="24"/>
        </w:rPr>
      </w:pPr>
    </w:p>
    <w:p w14:paraId="7E320AC2">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签订日期:    年 月  日</w:t>
      </w:r>
    </w:p>
    <w:p w14:paraId="66DEB8A7">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江苏丰之源有限公司纪委监察室举报电话：025-86109036 ，13851460069</w:t>
      </w:r>
    </w:p>
    <w:p w14:paraId="1AE63D0E">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江苏丰之源有限公司纪委监察室举报专用邮箱：jsfzyjw@163.com</w:t>
      </w:r>
    </w:p>
    <w:p w14:paraId="50DBA0E9">
      <w:pPr>
        <w:snapToGrid w:val="0"/>
        <w:spacing w:beforeLines="0" w:afterLines="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江苏丰之源有限公司通讯地址：南京市江宁区高湖路78号，邮编：211100</w:t>
      </w:r>
    </w:p>
    <w:p w14:paraId="566289B1">
      <w:pPr>
        <w:tabs>
          <w:tab w:val="left" w:pos="4235"/>
        </w:tabs>
        <w:spacing w:beforeLines="0" w:afterLines="0" w:line="360" w:lineRule="auto"/>
        <w:outlineLvl w:val="9"/>
        <w:rPr>
          <w:rFonts w:hint="eastAsia" w:ascii="宋体" w:hAnsi="宋体" w:eastAsia="宋体" w:cs="宋体"/>
          <w:sz w:val="32"/>
          <w:szCs w:val="32"/>
        </w:rPr>
      </w:pPr>
    </w:p>
    <w:p w14:paraId="7C03EB3A">
      <w:pPr>
        <w:spacing w:beforeLines="0" w:afterLines="0" w:line="360" w:lineRule="auto"/>
        <w:ind w:firstLine="204" w:firstLineChars="85"/>
        <w:outlineLvl w:val="9"/>
        <w:rPr>
          <w:rFonts w:hint="eastAsia" w:ascii="仿宋" w:hAnsi="仿宋"/>
          <w:color w:val="000000" w:themeColor="text1"/>
          <w:sz w:val="24"/>
          <w:szCs w:val="24"/>
          <w14:textFill>
            <w14:solidFill>
              <w14:schemeClr w14:val="tx1"/>
            </w14:solidFill>
          </w14:textFill>
        </w:rPr>
      </w:pPr>
    </w:p>
    <w:p w14:paraId="746E2EC6">
      <w:pPr>
        <w:spacing w:beforeLines="0" w:afterLines="0" w:line="360" w:lineRule="auto"/>
        <w:ind w:firstLine="204" w:firstLineChars="85"/>
        <w:rPr>
          <w:rFonts w:hint="eastAsia" w:ascii="仿宋" w:hAnsi="仿宋"/>
          <w:color w:val="000000" w:themeColor="text1"/>
          <w:sz w:val="24"/>
          <w:szCs w:val="24"/>
          <w14:textFill>
            <w14:solidFill>
              <w14:schemeClr w14:val="tx1"/>
            </w14:solidFill>
          </w14:textFill>
        </w:rPr>
      </w:pPr>
    </w:p>
    <w:p w14:paraId="36E7F6EE">
      <w:pPr>
        <w:adjustRightInd/>
        <w:spacing w:beforeLines="0" w:afterLines="0" w:line="360" w:lineRule="auto"/>
        <w:ind w:firstLine="480" w:firstLineChars="200"/>
        <w:textAlignment w:val="auto"/>
        <w:rPr>
          <w:rFonts w:hint="eastAsia" w:ascii="仿宋" w:hAnsi="仿宋" w:cs="仿宋"/>
          <w:sz w:val="24"/>
          <w:szCs w:val="24"/>
        </w:rPr>
      </w:pPr>
    </w:p>
    <w:p w14:paraId="74E769ED">
      <w:pPr>
        <w:spacing w:beforeLines="0" w:afterLines="0"/>
        <w:jc w:val="left"/>
        <w:outlineLvl w:val="9"/>
        <w:rPr>
          <w:rFonts w:hint="eastAsia" w:ascii="宋体" w:hAnsi="宋体" w:eastAsia="宋体" w:cs="宋体"/>
          <w:bCs/>
          <w:sz w:val="24"/>
        </w:rPr>
      </w:pPr>
      <w:r>
        <w:rPr>
          <w:rFonts w:ascii="仿宋" w:hAnsi="仿宋" w:cs="仿宋"/>
          <w:sz w:val="24"/>
          <w:szCs w:val="24"/>
        </w:rPr>
        <w:br w:type="page"/>
      </w:r>
    </w:p>
    <w:p w14:paraId="5857C3AC">
      <w:pPr>
        <w:autoSpaceDE w:val="0"/>
        <w:autoSpaceDN w:val="0"/>
        <w:bidi w:val="0"/>
        <w:snapToGrid w:val="0"/>
        <w:spacing w:before="0" w:beforeLines="0" w:after="0" w:afterLines="0" w:line="360" w:lineRule="auto"/>
        <w:jc w:val="center"/>
        <w:outlineLvl w:val="0"/>
        <w:rPr>
          <w:rFonts w:hint="default" w:ascii="宋体" w:hAnsi="宋体" w:eastAsia="宋体" w:cs="Cambria Math"/>
          <w:b/>
          <w:bCs/>
          <w:color w:val="auto"/>
          <w:kern w:val="44"/>
          <w:sz w:val="36"/>
          <w:szCs w:val="36"/>
        </w:rPr>
      </w:pPr>
      <w:bookmarkStart w:id="350" w:name="_Toc18649"/>
      <w:r>
        <w:rPr>
          <w:rFonts w:hint="default" w:ascii="宋体" w:hAnsi="宋体" w:eastAsia="宋体" w:cs="Cambria Math"/>
          <w:b/>
          <w:bCs/>
          <w:color w:val="auto"/>
          <w:kern w:val="44"/>
          <w:sz w:val="36"/>
          <w:szCs w:val="36"/>
        </w:rPr>
        <w:t>第</w:t>
      </w:r>
      <w:r>
        <w:rPr>
          <w:rFonts w:hint="eastAsia" w:hAnsi="宋体" w:eastAsia="宋体" w:cs="Cambria Math"/>
          <w:b/>
          <w:bCs/>
          <w:color w:val="auto"/>
          <w:kern w:val="44"/>
          <w:sz w:val="36"/>
          <w:szCs w:val="36"/>
          <w:lang w:val="en-US" w:eastAsia="zh-CN"/>
        </w:rPr>
        <w:t>六</w:t>
      </w:r>
      <w:r>
        <w:rPr>
          <w:rFonts w:hint="default" w:ascii="宋体" w:hAnsi="宋体" w:eastAsia="宋体" w:cs="Cambria Math"/>
          <w:b/>
          <w:bCs/>
          <w:color w:val="auto"/>
          <w:kern w:val="44"/>
          <w:sz w:val="36"/>
          <w:szCs w:val="36"/>
        </w:rPr>
        <w:t>章  响应文件</w:t>
      </w:r>
      <w:r>
        <w:rPr>
          <w:rFonts w:hint="eastAsia" w:hAnsi="宋体" w:eastAsia="宋体" w:cs="Cambria Math"/>
          <w:b/>
          <w:bCs/>
          <w:color w:val="auto"/>
          <w:kern w:val="44"/>
          <w:sz w:val="36"/>
          <w:szCs w:val="36"/>
          <w:lang w:val="en-US" w:eastAsia="zh-CN"/>
        </w:rPr>
        <w:t>主要内容及</w:t>
      </w:r>
      <w:r>
        <w:rPr>
          <w:rFonts w:hint="default" w:ascii="宋体" w:hAnsi="宋体" w:eastAsia="宋体" w:cs="Cambria Math"/>
          <w:b/>
          <w:bCs/>
          <w:color w:val="auto"/>
          <w:kern w:val="44"/>
          <w:sz w:val="36"/>
          <w:szCs w:val="36"/>
        </w:rPr>
        <w:t>格式</w:t>
      </w:r>
      <w:bookmarkEnd w:id="350"/>
      <w:bookmarkStart w:id="351" w:name="_Toc13552"/>
    </w:p>
    <w:p w14:paraId="0BB116AB">
      <w:pPr>
        <w:spacing w:beforeLines="0" w:afterLines="0" w:line="360" w:lineRule="auto"/>
        <w:ind w:firstLine="444" w:firstLineChars="185"/>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请供应商按照以下文件的要求格式、内容制作响应文件，并请编制目录及页码，否则可能将影响对响应文件的评价。</w:t>
      </w:r>
      <w:r>
        <w:rPr>
          <w:rFonts w:hint="eastAsia" w:ascii="宋体" w:hAnsi="宋体" w:eastAsia="宋体" w:cs="宋体"/>
          <w:b/>
          <w:bCs/>
          <w:color w:val="000000" w:themeColor="text1"/>
          <w:sz w:val="24"/>
          <w:szCs w:val="24"/>
          <w14:textFill>
            <w14:solidFill>
              <w14:schemeClr w14:val="tx1"/>
            </w14:solidFill>
          </w14:textFill>
        </w:rPr>
        <w:t>未明确规定格式的，由供应商自行编制</w:t>
      </w:r>
      <w:r>
        <w:rPr>
          <w:rFonts w:hint="eastAsia" w:ascii="宋体" w:hAnsi="宋体" w:eastAsia="宋体" w:cs="宋体"/>
          <w:color w:val="000000" w:themeColor="text1"/>
          <w:sz w:val="24"/>
          <w:szCs w:val="24"/>
          <w14:textFill>
            <w14:solidFill>
              <w14:schemeClr w14:val="tx1"/>
            </w14:solidFill>
          </w14:textFill>
        </w:rPr>
        <w:t>。</w:t>
      </w:r>
    </w:p>
    <w:p w14:paraId="4F0E3361">
      <w:pPr>
        <w:spacing w:before="0" w:beforeLines="0" w:after="0" w:afterLines="0" w:line="360" w:lineRule="auto"/>
        <w:outlineLvl w:val="9"/>
        <w:rPr>
          <w:rFonts w:hint="eastAsia" w:ascii="宋体" w:hAnsi="宋体" w:eastAsia="宋体" w:cs="宋体"/>
          <w:b/>
          <w:bCs/>
          <w:kern w:val="0"/>
          <w:sz w:val="28"/>
          <w:szCs w:val="32"/>
        </w:rPr>
      </w:pPr>
      <w:bookmarkStart w:id="352" w:name="_Toc17071"/>
      <w:bookmarkStart w:id="353" w:name="_Toc16078"/>
      <w:bookmarkStart w:id="354" w:name="_Toc15005"/>
      <w:r>
        <w:rPr>
          <w:rFonts w:hint="eastAsia" w:ascii="宋体" w:hAnsi="宋体" w:eastAsia="宋体" w:cs="宋体"/>
          <w:b/>
          <w:bCs/>
          <w:kern w:val="0"/>
          <w:sz w:val="28"/>
          <w:szCs w:val="32"/>
        </w:rPr>
        <w:t>一、响应文件封面：</w:t>
      </w:r>
      <w:bookmarkEnd w:id="352"/>
      <w:bookmarkEnd w:id="353"/>
      <w:bookmarkEnd w:id="354"/>
    </w:p>
    <w:p w14:paraId="5E6F417E">
      <w:pPr>
        <w:spacing w:beforeLines="0" w:afterLines="0"/>
        <w:jc w:val="center"/>
        <w:outlineLvl w:val="9"/>
        <w:rPr>
          <w:rFonts w:hint="eastAsia" w:ascii="宋体" w:hAnsi="宋体" w:eastAsia="宋体" w:cs="宋体"/>
          <w:b/>
          <w:sz w:val="72"/>
        </w:rPr>
      </w:pPr>
      <w:bookmarkStart w:id="355" w:name="_Toc14656"/>
      <w:bookmarkStart w:id="356" w:name="_Toc6518"/>
      <w:bookmarkStart w:id="357" w:name="_Toc26966"/>
      <w:bookmarkStart w:id="358" w:name="_Toc28987"/>
      <w:bookmarkStart w:id="359" w:name="_Toc9333"/>
      <w:r>
        <w:rPr>
          <w:rFonts w:hint="eastAsia" w:ascii="宋体" w:hAnsi="宋体" w:eastAsia="宋体" w:cs="宋体"/>
          <w:b/>
          <w:sz w:val="72"/>
        </w:rPr>
        <w:t>响应文件</w:t>
      </w:r>
      <w:bookmarkEnd w:id="355"/>
      <w:bookmarkEnd w:id="356"/>
      <w:bookmarkEnd w:id="357"/>
      <w:bookmarkEnd w:id="358"/>
      <w:bookmarkEnd w:id="359"/>
    </w:p>
    <w:p w14:paraId="2F7455D7">
      <w:pPr>
        <w:pStyle w:val="35"/>
        <w:spacing w:before="0" w:beforeLines="0" w:after="0" w:afterLines="0"/>
        <w:ind w:firstLine="0"/>
        <w:jc w:val="center"/>
        <w:outlineLvl w:val="9"/>
        <w:rPr>
          <w:rFonts w:hint="eastAsia" w:ascii="宋体" w:hAnsi="宋体" w:eastAsia="宋体" w:cs="宋体"/>
          <w:b/>
          <w:bCs/>
          <w:sz w:val="32"/>
        </w:rPr>
      </w:pPr>
    </w:p>
    <w:p w14:paraId="71403DA0">
      <w:pPr>
        <w:spacing w:beforeLines="0" w:afterLines="0"/>
        <w:jc w:val="center"/>
        <w:outlineLvl w:val="9"/>
        <w:rPr>
          <w:rFonts w:hint="eastAsia" w:ascii="宋体" w:hAnsi="宋体" w:eastAsia="宋体" w:cs="宋体"/>
          <w:b/>
          <w:sz w:val="36"/>
        </w:rPr>
      </w:pPr>
      <w:bookmarkStart w:id="360" w:name="_Toc10863"/>
      <w:bookmarkStart w:id="361" w:name="_Toc23214"/>
      <w:bookmarkStart w:id="362" w:name="_Toc29521"/>
      <w:bookmarkStart w:id="363" w:name="_Toc20754"/>
      <w:bookmarkStart w:id="364" w:name="_Toc21376"/>
      <w:r>
        <w:rPr>
          <w:rFonts w:hint="eastAsia" w:ascii="宋体" w:hAnsi="宋体" w:eastAsia="宋体" w:cs="宋体"/>
          <w:b/>
          <w:sz w:val="36"/>
        </w:rPr>
        <w:t>（正</w:t>
      </w:r>
      <w:r>
        <w:rPr>
          <w:rFonts w:hint="eastAsia" w:hAnsi="宋体" w:eastAsia="宋体" w:cs="宋体"/>
          <w:b/>
          <w:sz w:val="36"/>
          <w:lang w:val="en-US" w:eastAsia="zh-CN"/>
        </w:rPr>
        <w:t>本</w:t>
      </w:r>
      <w:r>
        <w:rPr>
          <w:rFonts w:hint="eastAsia" w:ascii="宋体" w:hAnsi="宋体" w:eastAsia="宋体" w:cs="宋体"/>
          <w:b/>
          <w:sz w:val="36"/>
        </w:rPr>
        <w:t>或副本）</w:t>
      </w:r>
      <w:bookmarkEnd w:id="360"/>
      <w:bookmarkEnd w:id="361"/>
      <w:bookmarkEnd w:id="362"/>
      <w:bookmarkEnd w:id="363"/>
      <w:bookmarkEnd w:id="364"/>
    </w:p>
    <w:p w14:paraId="32ADF33E">
      <w:pPr>
        <w:spacing w:beforeLines="0" w:afterLines="0"/>
        <w:ind w:firstLine="1084" w:firstLineChars="300"/>
        <w:outlineLvl w:val="9"/>
        <w:rPr>
          <w:rFonts w:hint="eastAsia" w:ascii="宋体" w:hAnsi="宋体" w:eastAsia="宋体" w:cs="宋体"/>
          <w:b/>
          <w:sz w:val="36"/>
        </w:rPr>
      </w:pPr>
    </w:p>
    <w:p w14:paraId="6D1B7DE7">
      <w:pPr>
        <w:spacing w:beforeLines="0" w:afterLines="0"/>
        <w:ind w:firstLine="1084" w:firstLineChars="300"/>
        <w:outlineLvl w:val="9"/>
        <w:rPr>
          <w:rFonts w:hint="eastAsia" w:ascii="宋体" w:hAnsi="宋体" w:eastAsia="宋体" w:cs="宋体"/>
          <w:b/>
          <w:sz w:val="36"/>
        </w:rPr>
      </w:pPr>
    </w:p>
    <w:p w14:paraId="1B4A7B09">
      <w:pPr>
        <w:spacing w:beforeLines="0" w:afterLines="0"/>
        <w:ind w:firstLine="1084" w:firstLineChars="300"/>
        <w:outlineLvl w:val="9"/>
        <w:rPr>
          <w:rFonts w:hint="eastAsia" w:ascii="宋体" w:hAnsi="宋体" w:eastAsia="宋体" w:cs="宋体"/>
          <w:b/>
          <w:sz w:val="36"/>
          <w:szCs w:val="24"/>
        </w:rPr>
      </w:pPr>
      <w:bookmarkStart w:id="365" w:name="_Toc29310"/>
      <w:bookmarkStart w:id="366" w:name="_Toc6188"/>
      <w:bookmarkStart w:id="367" w:name="_Toc7888"/>
      <w:bookmarkStart w:id="368" w:name="_Toc25348"/>
      <w:bookmarkStart w:id="369" w:name="_Toc4218"/>
      <w:r>
        <w:rPr>
          <w:rFonts w:hint="eastAsia" w:ascii="宋体" w:hAnsi="宋体" w:eastAsia="宋体" w:cs="宋体"/>
          <w:b/>
          <w:sz w:val="36"/>
          <w:szCs w:val="24"/>
        </w:rPr>
        <w:t>项 目 名 称：</w:t>
      </w:r>
      <w:bookmarkEnd w:id="365"/>
      <w:bookmarkEnd w:id="366"/>
      <w:bookmarkEnd w:id="367"/>
      <w:bookmarkEnd w:id="368"/>
      <w:bookmarkEnd w:id="369"/>
    </w:p>
    <w:p w14:paraId="4C58AEFC">
      <w:pPr>
        <w:spacing w:beforeLines="0" w:afterLines="0"/>
        <w:ind w:firstLine="1084" w:firstLineChars="300"/>
        <w:outlineLvl w:val="9"/>
        <w:rPr>
          <w:rFonts w:hint="eastAsia" w:ascii="宋体" w:hAnsi="宋体" w:eastAsia="宋体" w:cs="宋体"/>
          <w:b/>
          <w:sz w:val="36"/>
          <w:szCs w:val="24"/>
        </w:rPr>
      </w:pPr>
      <w:bookmarkStart w:id="370" w:name="_Toc13886"/>
      <w:bookmarkStart w:id="371" w:name="_Toc27434"/>
      <w:bookmarkStart w:id="372" w:name="_Toc19699"/>
      <w:bookmarkStart w:id="373" w:name="_Toc18755"/>
      <w:bookmarkStart w:id="374" w:name="_Toc21846"/>
      <w:r>
        <w:rPr>
          <w:rFonts w:hint="eastAsia" w:ascii="宋体" w:hAnsi="宋体" w:eastAsia="宋体" w:cs="宋体"/>
          <w:b/>
          <w:sz w:val="36"/>
          <w:szCs w:val="24"/>
        </w:rPr>
        <w:t>项 目 编 号：</w:t>
      </w:r>
      <w:bookmarkEnd w:id="370"/>
      <w:bookmarkEnd w:id="371"/>
      <w:bookmarkEnd w:id="372"/>
      <w:bookmarkEnd w:id="373"/>
      <w:bookmarkEnd w:id="374"/>
    </w:p>
    <w:p w14:paraId="49FB685F">
      <w:pPr>
        <w:spacing w:beforeLines="0" w:afterLines="0"/>
        <w:ind w:firstLine="1084" w:firstLineChars="300"/>
        <w:outlineLvl w:val="9"/>
        <w:rPr>
          <w:rFonts w:hint="eastAsia" w:ascii="宋体" w:hAnsi="宋体" w:eastAsia="宋体" w:cs="宋体"/>
          <w:b/>
          <w:sz w:val="36"/>
          <w:szCs w:val="24"/>
        </w:rPr>
      </w:pPr>
      <w:r>
        <w:rPr>
          <w:rFonts w:hint="eastAsia" w:ascii="宋体" w:hAnsi="宋体" w:eastAsia="宋体" w:cs="宋体"/>
          <w:b/>
          <w:sz w:val="36"/>
          <w:szCs w:val="24"/>
        </w:rPr>
        <w:t>标  段  号：</w:t>
      </w:r>
    </w:p>
    <w:p w14:paraId="19E98C86">
      <w:pPr>
        <w:spacing w:beforeLines="0" w:afterLines="0"/>
        <w:ind w:firstLine="1084" w:firstLineChars="300"/>
        <w:outlineLvl w:val="9"/>
        <w:rPr>
          <w:rFonts w:hint="eastAsia" w:ascii="宋体" w:hAnsi="宋体" w:eastAsia="宋体" w:cs="宋体"/>
          <w:b/>
          <w:sz w:val="36"/>
          <w:szCs w:val="24"/>
        </w:rPr>
      </w:pPr>
      <w:bookmarkStart w:id="375" w:name="_Toc5745"/>
      <w:bookmarkStart w:id="376" w:name="_Toc29381"/>
      <w:bookmarkStart w:id="377" w:name="_Toc21702"/>
      <w:bookmarkStart w:id="378" w:name="_Toc21668"/>
      <w:bookmarkStart w:id="379" w:name="_Toc15137"/>
      <w:r>
        <w:rPr>
          <w:rFonts w:hint="eastAsia" w:ascii="宋体" w:hAnsi="宋体" w:eastAsia="宋体" w:cs="宋体"/>
          <w:b/>
          <w:sz w:val="36"/>
          <w:szCs w:val="24"/>
        </w:rPr>
        <w:t>供应商名称：</w:t>
      </w:r>
      <w:bookmarkEnd w:id="375"/>
      <w:bookmarkEnd w:id="376"/>
      <w:bookmarkEnd w:id="377"/>
      <w:bookmarkEnd w:id="378"/>
      <w:bookmarkEnd w:id="379"/>
      <w:r>
        <w:rPr>
          <w:rFonts w:hint="eastAsia" w:ascii="宋体" w:hAnsi="宋体" w:eastAsia="宋体" w:cs="宋体"/>
          <w:b/>
          <w:sz w:val="36"/>
          <w:szCs w:val="24"/>
        </w:rPr>
        <w:t xml:space="preserve">               </w:t>
      </w:r>
    </w:p>
    <w:p w14:paraId="7373E5F4">
      <w:pPr>
        <w:spacing w:beforeLines="0" w:afterLines="0"/>
        <w:outlineLvl w:val="9"/>
        <w:rPr>
          <w:rFonts w:hint="eastAsia" w:ascii="宋体" w:hAnsi="宋体" w:eastAsia="宋体" w:cs="宋体"/>
          <w:b/>
          <w:sz w:val="36"/>
          <w:szCs w:val="24"/>
        </w:rPr>
      </w:pPr>
      <w:r>
        <w:rPr>
          <w:rFonts w:hint="eastAsia" w:ascii="宋体" w:hAnsi="宋体" w:eastAsia="宋体" w:cs="宋体"/>
          <w:b/>
          <w:sz w:val="36"/>
          <w:szCs w:val="24"/>
        </w:rPr>
        <w:t xml:space="preserve">      </w:t>
      </w:r>
      <w:bookmarkStart w:id="380" w:name="_Toc4097"/>
      <w:bookmarkStart w:id="381" w:name="_Toc16646"/>
      <w:bookmarkStart w:id="382" w:name="_Toc29707"/>
      <w:bookmarkStart w:id="383" w:name="_Toc24748"/>
      <w:bookmarkStart w:id="384" w:name="_Toc21003"/>
      <w:r>
        <w:rPr>
          <w:rFonts w:hint="eastAsia" w:ascii="宋体" w:hAnsi="宋体" w:eastAsia="宋体" w:cs="宋体"/>
          <w:b/>
          <w:sz w:val="36"/>
          <w:szCs w:val="24"/>
        </w:rPr>
        <w:t>日      期：</w:t>
      </w:r>
      <w:bookmarkEnd w:id="380"/>
      <w:bookmarkEnd w:id="381"/>
      <w:bookmarkEnd w:id="382"/>
      <w:bookmarkEnd w:id="383"/>
      <w:bookmarkEnd w:id="384"/>
    </w:p>
    <w:p w14:paraId="17FA5BA3">
      <w:pPr>
        <w:pStyle w:val="35"/>
        <w:spacing w:before="0" w:beforeLines="0" w:after="0" w:afterLines="0"/>
        <w:ind w:firstLine="2464" w:firstLineChars="770"/>
        <w:outlineLvl w:val="9"/>
        <w:rPr>
          <w:rFonts w:hint="eastAsia" w:ascii="宋体" w:hAnsi="宋体" w:cs="宋体"/>
          <w:bCs/>
          <w:kern w:val="2"/>
          <w:sz w:val="32"/>
          <w:szCs w:val="32"/>
        </w:rPr>
      </w:pPr>
    </w:p>
    <w:p w14:paraId="64CA0B61">
      <w:pPr>
        <w:snapToGrid w:val="0"/>
        <w:spacing w:beforeLines="0" w:afterLines="0" w:line="360" w:lineRule="auto"/>
        <w:ind w:firstLine="205" w:firstLineChars="85"/>
        <w:jc w:val="center"/>
        <w:outlineLvl w:val="9"/>
        <w:rPr>
          <w:rFonts w:hint="eastAsia" w:ascii="宋体" w:hAnsi="宋体" w:eastAsia="宋体" w:cs="宋体"/>
          <w:b/>
          <w:bCs/>
          <w:color w:val="000000" w:themeColor="text1"/>
          <w:sz w:val="24"/>
          <w:szCs w:val="24"/>
          <w14:textFill>
            <w14:solidFill>
              <w14:schemeClr w14:val="tx1"/>
            </w14:solidFill>
          </w14:textFill>
        </w:rPr>
      </w:pPr>
    </w:p>
    <w:p w14:paraId="4BC8A2BF">
      <w:pPr>
        <w:snapToGrid w:val="0"/>
        <w:spacing w:beforeLines="0" w:afterLines="0" w:line="360" w:lineRule="auto"/>
        <w:ind w:firstLine="205" w:firstLineChars="85"/>
        <w:jc w:val="center"/>
        <w:outlineLvl w:val="9"/>
        <w:rPr>
          <w:rFonts w:hint="eastAsia" w:ascii="宋体" w:hAnsi="宋体" w:eastAsia="宋体" w:cs="宋体"/>
          <w:b/>
          <w:bCs/>
          <w:color w:val="000000" w:themeColor="text1"/>
          <w:sz w:val="24"/>
          <w:szCs w:val="24"/>
          <w14:textFill>
            <w14:solidFill>
              <w14:schemeClr w14:val="tx1"/>
            </w14:solidFill>
          </w14:textFill>
        </w:rPr>
      </w:pPr>
    </w:p>
    <w:p w14:paraId="212B8035">
      <w:pPr>
        <w:spacing w:before="0" w:beforeLines="0" w:after="0" w:afterLines="0" w:line="360" w:lineRule="auto"/>
        <w:ind w:firstLine="204" w:firstLineChars="85"/>
        <w:jc w:val="left"/>
        <w:rPr>
          <w:rFonts w:hint="eastAsia" w:ascii="宋体" w:hAnsi="宋体" w:eastAsia="宋体" w:cs="宋体"/>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385" w:name="_Toc256147348"/>
      <w:bookmarkEnd w:id="385"/>
    </w:p>
    <w:p w14:paraId="165CEE34">
      <w:pPr>
        <w:spacing w:before="0" w:beforeLines="0" w:after="0" w:afterLines="0" w:line="360" w:lineRule="auto"/>
        <w:outlineLvl w:val="9"/>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bookmarkStart w:id="386" w:name="_Toc22503"/>
      <w:bookmarkStart w:id="387" w:name="_Toc14363"/>
      <w:bookmarkStart w:id="388" w:name="_Toc19086"/>
      <w:bookmarkStart w:id="389" w:name="_Toc20109"/>
      <w:bookmarkStart w:id="390" w:name="_Toc27644"/>
      <w:r>
        <w:rPr>
          <w:rFonts w:hint="eastAsia" w:ascii="宋体" w:hAnsi="宋体" w:eastAsia="宋体" w:cs="宋体"/>
          <w:b/>
          <w:bCs/>
          <w:kern w:val="0"/>
          <w:sz w:val="28"/>
          <w:szCs w:val="32"/>
          <w:lang w:val="en-US" w:eastAsia="zh-CN"/>
        </w:rPr>
        <w:t>二、资格证明</w:t>
      </w:r>
      <w:bookmarkEnd w:id="386"/>
      <w:bookmarkEnd w:id="387"/>
      <w:bookmarkEnd w:id="388"/>
    </w:p>
    <w:tbl>
      <w:tblPr>
        <w:tblStyle w:val="1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7033"/>
        <w:gridCol w:w="1702"/>
      </w:tblGrid>
      <w:tr w14:paraId="1371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44" w:type="dxa"/>
            <w:noWrap w:val="0"/>
            <w:vAlign w:val="center"/>
          </w:tcPr>
          <w:p w14:paraId="000D6653">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b/>
                <w:bCs/>
                <w:i w:val="0"/>
                <w:iCs w:val="0"/>
                <w:color w:val="000000"/>
                <w:kern w:val="0"/>
                <w:sz w:val="24"/>
                <w:szCs w:val="24"/>
                <w:u w:val="none"/>
                <w:lang w:val="en-US" w:eastAsia="zh-CN" w:bidi="ar"/>
              </w:rPr>
            </w:pPr>
            <w:bookmarkStart w:id="391" w:name="_Toc9464"/>
            <w:bookmarkStart w:id="392" w:name="_Toc29802"/>
            <w:bookmarkStart w:id="393" w:name="_Toc4521"/>
            <w:bookmarkStart w:id="394" w:name="_Toc5375"/>
            <w:bookmarkStart w:id="395" w:name="_Toc30586"/>
            <w:r>
              <w:rPr>
                <w:rFonts w:hint="eastAsia" w:ascii="宋体" w:hAnsi="宋体" w:eastAsia="宋体" w:cs="宋体"/>
                <w:b/>
                <w:bCs/>
                <w:i w:val="0"/>
                <w:iCs w:val="0"/>
                <w:color w:val="000000"/>
                <w:kern w:val="0"/>
                <w:sz w:val="24"/>
                <w:szCs w:val="24"/>
                <w:u w:val="none"/>
                <w:lang w:val="en-US" w:eastAsia="zh-CN" w:bidi="ar"/>
              </w:rPr>
              <w:t>序号</w:t>
            </w:r>
            <w:bookmarkEnd w:id="391"/>
            <w:bookmarkEnd w:id="392"/>
            <w:bookmarkEnd w:id="393"/>
            <w:bookmarkEnd w:id="394"/>
            <w:bookmarkEnd w:id="395"/>
          </w:p>
        </w:tc>
        <w:tc>
          <w:tcPr>
            <w:tcW w:w="7033" w:type="dxa"/>
            <w:noWrap w:val="0"/>
            <w:vAlign w:val="center"/>
          </w:tcPr>
          <w:p w14:paraId="2CB959E8">
            <w:pPr>
              <w:keepNext/>
              <w:keepLines/>
              <w:pageBreakBefore w:val="0"/>
              <w:widowControl w:val="0"/>
              <w:kinsoku/>
              <w:overflowPunct/>
              <w:topLinePunct w:val="0"/>
              <w:bidi w:val="0"/>
              <w:spacing w:line="500" w:lineRule="exact"/>
              <w:ind w:left="0" w:leftChars="0" w:right="0" w:firstLine="482" w:firstLineChars="200"/>
              <w:jc w:val="center"/>
              <w:outlineLvl w:val="1"/>
              <w:rPr>
                <w:rFonts w:hint="eastAsia" w:ascii="宋体" w:hAnsi="宋体" w:eastAsia="宋体" w:cs="宋体"/>
                <w:b/>
                <w:bCs/>
                <w:color w:val="auto"/>
                <w:kern w:val="2"/>
                <w:sz w:val="24"/>
                <w:szCs w:val="24"/>
                <w:highlight w:val="none"/>
                <w:lang w:val="en-US" w:eastAsia="zh-CN" w:bidi="ar-SA"/>
              </w:rPr>
            </w:pPr>
            <w:bookmarkStart w:id="396" w:name="_Toc5832"/>
            <w:bookmarkStart w:id="397" w:name="_Toc24826"/>
            <w:bookmarkStart w:id="398" w:name="_Toc14085"/>
            <w:bookmarkStart w:id="399" w:name="_Toc15324"/>
            <w:bookmarkStart w:id="400" w:name="_Toc2220"/>
            <w:r>
              <w:rPr>
                <w:rFonts w:hint="eastAsia" w:ascii="宋体" w:hAnsi="宋体" w:eastAsia="宋体" w:cs="宋体"/>
                <w:b/>
                <w:bCs/>
                <w:color w:val="auto"/>
                <w:kern w:val="2"/>
                <w:sz w:val="24"/>
                <w:szCs w:val="24"/>
                <w:highlight w:val="none"/>
                <w:lang w:val="en-US" w:eastAsia="zh-CN" w:bidi="ar-SA"/>
              </w:rPr>
              <w:t>资格证明材料</w:t>
            </w:r>
            <w:bookmarkEnd w:id="396"/>
            <w:bookmarkEnd w:id="397"/>
            <w:bookmarkEnd w:id="398"/>
            <w:bookmarkEnd w:id="399"/>
            <w:bookmarkEnd w:id="400"/>
          </w:p>
        </w:tc>
        <w:tc>
          <w:tcPr>
            <w:tcW w:w="1702" w:type="dxa"/>
            <w:noWrap w:val="0"/>
            <w:vAlign w:val="center"/>
          </w:tcPr>
          <w:p w14:paraId="7968DA63">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b/>
                <w:bCs/>
                <w:i w:val="0"/>
                <w:iCs w:val="0"/>
                <w:color w:val="000000"/>
                <w:kern w:val="0"/>
                <w:sz w:val="24"/>
                <w:szCs w:val="24"/>
                <w:u w:val="none"/>
                <w:lang w:val="en-US" w:eastAsia="zh-CN" w:bidi="ar"/>
              </w:rPr>
            </w:pPr>
            <w:bookmarkStart w:id="401" w:name="_Toc811"/>
            <w:bookmarkStart w:id="402" w:name="_Toc11344"/>
            <w:bookmarkStart w:id="403" w:name="_Toc251"/>
            <w:bookmarkStart w:id="404" w:name="_Toc25035"/>
            <w:bookmarkStart w:id="405" w:name="_Toc14206"/>
            <w:r>
              <w:rPr>
                <w:rFonts w:hint="eastAsia" w:ascii="宋体" w:hAnsi="宋体" w:eastAsia="宋体" w:cs="宋体"/>
                <w:b/>
                <w:bCs/>
                <w:i w:val="0"/>
                <w:iCs w:val="0"/>
                <w:color w:val="000000"/>
                <w:kern w:val="0"/>
                <w:sz w:val="24"/>
                <w:szCs w:val="24"/>
                <w:u w:val="none"/>
                <w:lang w:val="en-US" w:eastAsia="zh-CN" w:bidi="ar"/>
              </w:rPr>
              <w:t>对应响应文件所在页码</w:t>
            </w:r>
            <w:bookmarkEnd w:id="401"/>
            <w:bookmarkEnd w:id="402"/>
            <w:bookmarkEnd w:id="403"/>
            <w:bookmarkEnd w:id="404"/>
            <w:bookmarkEnd w:id="405"/>
          </w:p>
        </w:tc>
      </w:tr>
      <w:tr w14:paraId="25D2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44" w:type="dxa"/>
            <w:noWrap w:val="0"/>
            <w:vAlign w:val="center"/>
          </w:tcPr>
          <w:p w14:paraId="3167E064">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i w:val="0"/>
                <w:iCs w:val="0"/>
                <w:color w:val="000000"/>
                <w:kern w:val="0"/>
                <w:sz w:val="24"/>
                <w:szCs w:val="24"/>
                <w:u w:val="none"/>
                <w:lang w:val="en-US" w:eastAsia="zh-CN" w:bidi="ar"/>
              </w:rPr>
            </w:pPr>
            <w:bookmarkStart w:id="406" w:name="_Toc14316"/>
            <w:bookmarkStart w:id="407" w:name="_Toc21723"/>
            <w:bookmarkStart w:id="408" w:name="_Toc16994"/>
            <w:bookmarkStart w:id="409" w:name="_Toc27992"/>
            <w:bookmarkStart w:id="410" w:name="_Toc712"/>
            <w:r>
              <w:rPr>
                <w:rFonts w:hint="eastAsia" w:ascii="宋体" w:hAnsi="宋体" w:eastAsia="宋体" w:cs="宋体"/>
                <w:i w:val="0"/>
                <w:iCs w:val="0"/>
                <w:color w:val="000000"/>
                <w:kern w:val="0"/>
                <w:sz w:val="24"/>
                <w:szCs w:val="24"/>
                <w:u w:val="none"/>
                <w:lang w:val="en-US" w:eastAsia="zh-CN" w:bidi="ar"/>
              </w:rPr>
              <w:t>1</w:t>
            </w:r>
            <w:bookmarkEnd w:id="406"/>
            <w:bookmarkEnd w:id="407"/>
            <w:bookmarkEnd w:id="408"/>
            <w:bookmarkEnd w:id="409"/>
            <w:bookmarkEnd w:id="410"/>
          </w:p>
        </w:tc>
        <w:tc>
          <w:tcPr>
            <w:tcW w:w="7033" w:type="dxa"/>
            <w:noWrap w:val="0"/>
            <w:vAlign w:val="center"/>
          </w:tcPr>
          <w:p w14:paraId="15A8D7D2">
            <w:pPr>
              <w:pStyle w:val="15"/>
              <w:keepNext w:val="0"/>
              <w:keepLines w:val="0"/>
              <w:spacing w:after="0" w:line="500" w:lineRule="exact"/>
              <w:ind w:firstLine="480" w:firstLineChars="200"/>
              <w:rPr>
                <w:rFonts w:hint="eastAsia" w:ascii="宋体" w:hAnsi="宋体" w:eastAsia="宋体" w:cs="宋体"/>
                <w:b w:val="0"/>
                <w:bCs w:val="0"/>
                <w:color w:val="auto"/>
                <w:kern w:val="0"/>
                <w:sz w:val="24"/>
                <w:szCs w:val="22"/>
                <w:highlight w:val="none"/>
                <w:lang w:val="en-US" w:eastAsia="zh-CN" w:bidi="ar-SA"/>
              </w:rPr>
            </w:pPr>
            <w:r>
              <w:rPr>
                <w:rFonts w:hint="eastAsia" w:ascii="宋体" w:hAnsi="宋体" w:eastAsia="宋体" w:cs="宋体"/>
                <w:bCs/>
                <w:i w:val="0"/>
                <w:iCs w:val="0"/>
                <w:sz w:val="24"/>
                <w:szCs w:val="24"/>
                <w:u w:val="none"/>
              </w:rPr>
              <w:t>具有独立承担民事责任的能力；（提供法人或者其他组织的营业执照等证明材料）</w:t>
            </w:r>
          </w:p>
        </w:tc>
        <w:tc>
          <w:tcPr>
            <w:tcW w:w="1702" w:type="dxa"/>
            <w:noWrap w:val="0"/>
            <w:vAlign w:val="center"/>
          </w:tcPr>
          <w:p w14:paraId="02F1CD57">
            <w:pPr>
              <w:keepNext/>
              <w:keepLines/>
              <w:pageBreakBefore w:val="0"/>
              <w:widowControl w:val="0"/>
              <w:kinsoku/>
              <w:overflowPunct/>
              <w:topLinePunct w:val="0"/>
              <w:bidi w:val="0"/>
              <w:spacing w:line="500" w:lineRule="exact"/>
              <w:ind w:left="0" w:leftChars="0" w:right="0" w:firstLine="482" w:firstLineChars="200"/>
              <w:jc w:val="center"/>
              <w:outlineLvl w:val="1"/>
              <w:rPr>
                <w:rFonts w:hint="eastAsia" w:ascii="宋体" w:hAnsi="宋体" w:eastAsia="宋体" w:cs="宋体"/>
                <w:b/>
                <w:bCs/>
                <w:color w:val="auto"/>
                <w:kern w:val="10"/>
                <w:sz w:val="24"/>
                <w:szCs w:val="24"/>
                <w:highlight w:val="none"/>
                <w:lang w:val="en-US" w:eastAsia="zh-CN" w:bidi="ar-SA"/>
              </w:rPr>
            </w:pPr>
          </w:p>
        </w:tc>
      </w:tr>
      <w:tr w14:paraId="3035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44" w:type="dxa"/>
            <w:noWrap w:val="0"/>
            <w:vAlign w:val="center"/>
          </w:tcPr>
          <w:p w14:paraId="4CFF99A6">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i w:val="0"/>
                <w:iCs w:val="0"/>
                <w:color w:val="000000"/>
                <w:kern w:val="0"/>
                <w:sz w:val="24"/>
                <w:szCs w:val="24"/>
                <w:u w:val="none"/>
                <w:lang w:val="en-US" w:eastAsia="zh-CN" w:bidi="ar"/>
              </w:rPr>
            </w:pPr>
            <w:bookmarkStart w:id="411" w:name="_Toc2926"/>
            <w:bookmarkStart w:id="412" w:name="_Toc12733"/>
            <w:bookmarkStart w:id="413" w:name="_Toc26095"/>
            <w:bookmarkStart w:id="414" w:name="_Toc21490"/>
            <w:r>
              <w:rPr>
                <w:rFonts w:hint="eastAsia" w:ascii="宋体" w:hAnsi="宋体" w:eastAsia="宋体" w:cs="宋体"/>
                <w:i w:val="0"/>
                <w:iCs w:val="0"/>
                <w:color w:val="000000"/>
                <w:kern w:val="0"/>
                <w:sz w:val="24"/>
                <w:szCs w:val="24"/>
                <w:u w:val="none"/>
                <w:lang w:val="en-US" w:eastAsia="zh-CN" w:bidi="ar"/>
              </w:rPr>
              <w:t>2</w:t>
            </w:r>
            <w:bookmarkEnd w:id="411"/>
            <w:bookmarkEnd w:id="412"/>
            <w:bookmarkEnd w:id="413"/>
            <w:bookmarkEnd w:id="414"/>
          </w:p>
        </w:tc>
        <w:tc>
          <w:tcPr>
            <w:tcW w:w="7033" w:type="dxa"/>
            <w:noWrap w:val="0"/>
            <w:vAlign w:val="center"/>
          </w:tcPr>
          <w:p w14:paraId="1901FC3D">
            <w:pPr>
              <w:pStyle w:val="15"/>
              <w:keepNext w:val="0"/>
              <w:keepLines w:val="0"/>
              <w:spacing w:after="0" w:line="500" w:lineRule="exact"/>
              <w:ind w:firstLine="480" w:firstLineChars="200"/>
              <w:rPr>
                <w:rFonts w:hint="eastAsia" w:ascii="宋体" w:hAnsi="宋体" w:eastAsia="宋体" w:cs="宋体"/>
                <w:bCs/>
                <w:i w:val="0"/>
                <w:iCs w:val="0"/>
                <w:sz w:val="24"/>
                <w:szCs w:val="24"/>
                <w:u w:val="none"/>
                <w:lang w:val="en-US" w:eastAsia="zh-CN"/>
              </w:rPr>
            </w:pPr>
            <w:r>
              <w:rPr>
                <w:rFonts w:hint="eastAsia" w:ascii="宋体" w:hAnsi="宋体" w:eastAsia="宋体" w:cs="宋体"/>
                <w:bCs/>
                <w:i w:val="0"/>
                <w:iCs w:val="0"/>
                <w:sz w:val="24"/>
                <w:szCs w:val="24"/>
                <w:u w:val="none"/>
              </w:rPr>
              <w:t>具有良好的商业信誉和健全的财务会计制度；（提供上一年度的财务报表复印件并加盖公章，至少包括资产负债表、利润表；成立不满一年不需提供）</w:t>
            </w:r>
          </w:p>
        </w:tc>
        <w:tc>
          <w:tcPr>
            <w:tcW w:w="1702" w:type="dxa"/>
            <w:noWrap w:val="0"/>
            <w:vAlign w:val="center"/>
          </w:tcPr>
          <w:p w14:paraId="568ECF35">
            <w:pPr>
              <w:keepNext/>
              <w:keepLines/>
              <w:pageBreakBefore w:val="0"/>
              <w:widowControl w:val="0"/>
              <w:kinsoku/>
              <w:overflowPunct/>
              <w:topLinePunct w:val="0"/>
              <w:bidi w:val="0"/>
              <w:spacing w:line="500" w:lineRule="exact"/>
              <w:ind w:left="0" w:leftChars="0" w:right="0" w:firstLine="482" w:firstLineChars="200"/>
              <w:jc w:val="center"/>
              <w:outlineLvl w:val="1"/>
              <w:rPr>
                <w:rFonts w:hint="eastAsia" w:ascii="宋体" w:hAnsi="宋体" w:eastAsia="宋体" w:cs="宋体"/>
                <w:b/>
                <w:bCs/>
                <w:color w:val="auto"/>
                <w:kern w:val="10"/>
                <w:sz w:val="24"/>
                <w:szCs w:val="24"/>
                <w:highlight w:val="none"/>
                <w:lang w:val="en-US" w:eastAsia="zh-CN" w:bidi="ar-SA"/>
              </w:rPr>
            </w:pPr>
          </w:p>
        </w:tc>
      </w:tr>
      <w:tr w14:paraId="469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44" w:type="dxa"/>
            <w:noWrap w:val="0"/>
            <w:vAlign w:val="center"/>
          </w:tcPr>
          <w:p w14:paraId="64113C98">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i w:val="0"/>
                <w:iCs w:val="0"/>
                <w:color w:val="000000"/>
                <w:kern w:val="0"/>
                <w:sz w:val="24"/>
                <w:szCs w:val="24"/>
                <w:u w:val="none"/>
                <w:lang w:val="en-US" w:eastAsia="zh-CN" w:bidi="ar"/>
              </w:rPr>
            </w:pPr>
            <w:bookmarkStart w:id="415" w:name="_Toc4556"/>
            <w:bookmarkStart w:id="416" w:name="_Toc25032"/>
            <w:bookmarkStart w:id="417" w:name="_Toc1194"/>
            <w:bookmarkStart w:id="418" w:name="_Toc4301"/>
            <w:bookmarkStart w:id="419" w:name="_Toc76470188"/>
            <w:bookmarkStart w:id="420" w:name="_Toc13245"/>
            <w:bookmarkStart w:id="421" w:name="_Toc9227"/>
            <w:r>
              <w:rPr>
                <w:rFonts w:hint="eastAsia" w:ascii="宋体" w:hAnsi="宋体" w:eastAsia="宋体" w:cs="宋体"/>
                <w:i w:val="0"/>
                <w:iCs w:val="0"/>
                <w:color w:val="000000"/>
                <w:kern w:val="0"/>
                <w:sz w:val="24"/>
                <w:szCs w:val="24"/>
                <w:u w:val="none"/>
                <w:lang w:val="en-US" w:eastAsia="zh-CN" w:bidi="ar"/>
              </w:rPr>
              <w:t>3</w:t>
            </w:r>
            <w:bookmarkEnd w:id="415"/>
          </w:p>
        </w:tc>
        <w:tc>
          <w:tcPr>
            <w:tcW w:w="7033" w:type="dxa"/>
            <w:noWrap w:val="0"/>
            <w:vAlign w:val="center"/>
          </w:tcPr>
          <w:p w14:paraId="329D451A">
            <w:pPr>
              <w:pStyle w:val="15"/>
              <w:keepNext w:val="0"/>
              <w:keepLines w:val="0"/>
              <w:spacing w:after="0" w:line="500" w:lineRule="exact"/>
              <w:ind w:firstLine="480" w:firstLineChars="200"/>
              <w:rPr>
                <w:rFonts w:hint="eastAsia" w:ascii="宋体" w:hAnsi="宋体" w:eastAsia="宋体" w:cs="宋体"/>
                <w:bCs/>
                <w:i w:val="0"/>
                <w:iCs w:val="0"/>
                <w:sz w:val="24"/>
                <w:szCs w:val="24"/>
                <w:u w:val="none"/>
                <w:lang w:val="zh-CN" w:eastAsia="zh-CN"/>
              </w:rPr>
            </w:pPr>
            <w:r>
              <w:rPr>
                <w:rFonts w:hint="eastAsia" w:ascii="宋体" w:hAnsi="宋体" w:eastAsia="宋体" w:cs="宋体"/>
                <w:bCs/>
                <w:i w:val="0"/>
                <w:iCs w:val="0"/>
                <w:sz w:val="24"/>
                <w:szCs w:val="24"/>
                <w:u w:val="none"/>
              </w:rPr>
              <w:t>有依法缴纳税收和社会保障资金的良好记录；（提供提交响应文件时间一年内至少一个月的依法缴纳税收、社会保障资金的凭据复印件并加盖公章；供应商依法享受缓缴、免缴税收、社会保障资金的，提供证明材料）</w:t>
            </w:r>
          </w:p>
        </w:tc>
        <w:tc>
          <w:tcPr>
            <w:tcW w:w="1702" w:type="dxa"/>
            <w:noWrap w:val="0"/>
            <w:vAlign w:val="center"/>
          </w:tcPr>
          <w:p w14:paraId="24F58465">
            <w:pPr>
              <w:keepNext/>
              <w:keepLines/>
              <w:pageBreakBefore w:val="0"/>
              <w:widowControl w:val="0"/>
              <w:kinsoku/>
              <w:overflowPunct/>
              <w:topLinePunct w:val="0"/>
              <w:bidi w:val="0"/>
              <w:spacing w:line="500" w:lineRule="exact"/>
              <w:ind w:left="0" w:leftChars="0" w:right="0" w:firstLine="482" w:firstLineChars="200"/>
              <w:jc w:val="center"/>
              <w:outlineLvl w:val="1"/>
              <w:rPr>
                <w:rFonts w:hint="eastAsia" w:ascii="宋体" w:hAnsi="宋体" w:eastAsia="宋体" w:cs="宋体"/>
                <w:b/>
                <w:bCs/>
                <w:color w:val="auto"/>
                <w:kern w:val="10"/>
                <w:sz w:val="24"/>
                <w:szCs w:val="24"/>
                <w:highlight w:val="none"/>
                <w:lang w:val="en-US" w:eastAsia="zh-CN" w:bidi="ar-SA"/>
              </w:rPr>
            </w:pPr>
          </w:p>
        </w:tc>
      </w:tr>
      <w:bookmarkEnd w:id="416"/>
      <w:bookmarkEnd w:id="417"/>
      <w:bookmarkEnd w:id="418"/>
      <w:tr w14:paraId="742A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4" w:type="dxa"/>
            <w:noWrap w:val="0"/>
            <w:vAlign w:val="center"/>
          </w:tcPr>
          <w:p w14:paraId="76DC1505">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i w:val="0"/>
                <w:iCs w:val="0"/>
                <w:color w:val="000000"/>
                <w:kern w:val="0"/>
                <w:sz w:val="24"/>
                <w:szCs w:val="24"/>
                <w:u w:val="none"/>
                <w:lang w:val="en-US" w:eastAsia="zh-CN" w:bidi="ar"/>
              </w:rPr>
            </w:pPr>
            <w:bookmarkStart w:id="422" w:name="_Toc21224"/>
            <w:r>
              <w:rPr>
                <w:rFonts w:hint="eastAsia" w:ascii="宋体" w:hAnsi="宋体" w:eastAsia="宋体" w:cs="宋体"/>
                <w:i w:val="0"/>
                <w:iCs w:val="0"/>
                <w:color w:val="000000"/>
                <w:kern w:val="0"/>
                <w:sz w:val="24"/>
                <w:szCs w:val="24"/>
                <w:u w:val="none"/>
                <w:lang w:val="en-US" w:eastAsia="zh-CN" w:bidi="ar"/>
              </w:rPr>
              <w:t>4</w:t>
            </w:r>
            <w:bookmarkEnd w:id="422"/>
          </w:p>
        </w:tc>
        <w:tc>
          <w:tcPr>
            <w:tcW w:w="7033" w:type="dxa"/>
            <w:noWrap w:val="0"/>
            <w:vAlign w:val="center"/>
          </w:tcPr>
          <w:p w14:paraId="0CD0B7FC">
            <w:pPr>
              <w:pStyle w:val="15"/>
              <w:tabs>
                <w:tab w:val="left" w:pos="900"/>
              </w:tabs>
              <w:spacing w:after="0"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rPr>
              <w:t>参加本次采购活动前3年内在经营活动中没有重大违法记录</w:t>
            </w:r>
            <w:r>
              <w:rPr>
                <w:rFonts w:hint="eastAsia" w:ascii="宋体" w:hAnsi="宋体" w:eastAsia="宋体" w:cs="宋体"/>
                <w:sz w:val="24"/>
                <w:lang w:eastAsia="zh-CN"/>
              </w:rPr>
              <w:t>；</w:t>
            </w:r>
            <w:r>
              <w:rPr>
                <w:rFonts w:hint="eastAsia" w:ascii="宋体" w:hAnsi="宋体" w:eastAsia="宋体" w:cs="宋体"/>
                <w:sz w:val="24"/>
              </w:rPr>
              <w:t>（提供书面声明）</w:t>
            </w:r>
          </w:p>
        </w:tc>
        <w:tc>
          <w:tcPr>
            <w:tcW w:w="1702" w:type="dxa"/>
            <w:noWrap w:val="0"/>
            <w:vAlign w:val="center"/>
          </w:tcPr>
          <w:p w14:paraId="1261F786">
            <w:pPr>
              <w:keepNext/>
              <w:keepLines/>
              <w:pageBreakBefore w:val="0"/>
              <w:widowControl w:val="0"/>
              <w:kinsoku/>
              <w:overflowPunct/>
              <w:topLinePunct w:val="0"/>
              <w:bidi w:val="0"/>
              <w:spacing w:line="500" w:lineRule="exact"/>
              <w:ind w:left="0" w:leftChars="0" w:right="0" w:firstLine="482" w:firstLineChars="200"/>
              <w:jc w:val="center"/>
              <w:outlineLvl w:val="1"/>
              <w:rPr>
                <w:rFonts w:hint="eastAsia" w:ascii="宋体" w:hAnsi="宋体" w:eastAsia="宋体" w:cs="宋体"/>
                <w:b/>
                <w:bCs/>
                <w:color w:val="auto"/>
                <w:kern w:val="0"/>
                <w:sz w:val="24"/>
                <w:szCs w:val="24"/>
                <w:highlight w:val="none"/>
                <w:lang w:val="en-US" w:eastAsia="zh-CN" w:bidi="ar-SA"/>
              </w:rPr>
            </w:pPr>
          </w:p>
        </w:tc>
      </w:tr>
      <w:bookmarkEnd w:id="419"/>
      <w:bookmarkEnd w:id="420"/>
      <w:bookmarkEnd w:id="421"/>
      <w:tr w14:paraId="5694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4" w:type="dxa"/>
            <w:noWrap w:val="0"/>
            <w:vAlign w:val="center"/>
          </w:tcPr>
          <w:p w14:paraId="2B18CEE4">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i w:val="0"/>
                <w:iCs w:val="0"/>
                <w:color w:val="000000"/>
                <w:kern w:val="0"/>
                <w:sz w:val="24"/>
                <w:szCs w:val="24"/>
                <w:u w:val="none"/>
                <w:lang w:val="en-US" w:eastAsia="zh-CN" w:bidi="ar"/>
              </w:rPr>
            </w:pPr>
            <w:bookmarkStart w:id="423" w:name="_Toc15869"/>
            <w:r>
              <w:rPr>
                <w:rFonts w:hint="eastAsia" w:ascii="宋体" w:hAnsi="宋体" w:eastAsia="宋体" w:cs="宋体"/>
                <w:i w:val="0"/>
                <w:iCs w:val="0"/>
                <w:color w:val="000000"/>
                <w:kern w:val="0"/>
                <w:sz w:val="24"/>
                <w:szCs w:val="24"/>
                <w:u w:val="none"/>
                <w:lang w:val="en-US" w:eastAsia="zh-CN" w:bidi="ar"/>
              </w:rPr>
              <w:t>5</w:t>
            </w:r>
            <w:bookmarkEnd w:id="423"/>
          </w:p>
        </w:tc>
        <w:tc>
          <w:tcPr>
            <w:tcW w:w="7033" w:type="dxa"/>
            <w:noWrap w:val="0"/>
            <w:vAlign w:val="center"/>
          </w:tcPr>
          <w:p w14:paraId="235012DB">
            <w:pPr>
              <w:pStyle w:val="15"/>
              <w:pageBreakBefore w:val="0"/>
              <w:kinsoku/>
              <w:overflowPunct/>
              <w:topLinePunct w:val="0"/>
              <w:bidi w:val="0"/>
              <w:spacing w:before="0" w:after="0" w:line="500" w:lineRule="exact"/>
              <w:ind w:left="0" w:leftChars="0" w:right="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具备履行合同所必需的设备和专业技术能力；（提供承诺函）</w:t>
            </w:r>
          </w:p>
        </w:tc>
        <w:tc>
          <w:tcPr>
            <w:tcW w:w="1702" w:type="dxa"/>
            <w:noWrap w:val="0"/>
            <w:vAlign w:val="center"/>
          </w:tcPr>
          <w:p w14:paraId="4DD55348">
            <w:pPr>
              <w:keepNext/>
              <w:keepLines/>
              <w:pageBreakBefore w:val="0"/>
              <w:widowControl w:val="0"/>
              <w:kinsoku/>
              <w:overflowPunct/>
              <w:topLinePunct w:val="0"/>
              <w:bidi w:val="0"/>
              <w:spacing w:line="500" w:lineRule="exact"/>
              <w:ind w:left="0" w:leftChars="0" w:right="0" w:firstLine="482" w:firstLineChars="200"/>
              <w:jc w:val="center"/>
              <w:outlineLvl w:val="1"/>
              <w:rPr>
                <w:rFonts w:hint="eastAsia" w:ascii="宋体" w:hAnsi="宋体" w:eastAsia="宋体" w:cs="宋体"/>
                <w:b/>
                <w:bCs/>
                <w:color w:val="auto"/>
                <w:kern w:val="0"/>
                <w:sz w:val="24"/>
                <w:szCs w:val="24"/>
                <w:highlight w:val="none"/>
                <w:lang w:val="en-US" w:eastAsia="zh-CN" w:bidi="ar-SA"/>
              </w:rPr>
            </w:pPr>
          </w:p>
        </w:tc>
      </w:tr>
      <w:tr w14:paraId="661D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44" w:type="dxa"/>
            <w:noWrap w:val="0"/>
            <w:vAlign w:val="center"/>
          </w:tcPr>
          <w:p w14:paraId="4C59FDCD">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i w:val="0"/>
                <w:iCs w:val="0"/>
                <w:color w:val="000000"/>
                <w:kern w:val="0"/>
                <w:sz w:val="24"/>
                <w:szCs w:val="24"/>
                <w:u w:val="none"/>
                <w:lang w:val="en-US" w:eastAsia="zh-CN" w:bidi="ar"/>
              </w:rPr>
            </w:pPr>
            <w:bookmarkStart w:id="424" w:name="_Toc7691"/>
            <w:r>
              <w:rPr>
                <w:rFonts w:hint="eastAsia" w:ascii="宋体" w:hAnsi="宋体" w:eastAsia="宋体" w:cs="宋体"/>
                <w:i w:val="0"/>
                <w:iCs w:val="0"/>
                <w:color w:val="000000"/>
                <w:kern w:val="0"/>
                <w:sz w:val="24"/>
                <w:szCs w:val="24"/>
                <w:u w:val="none"/>
                <w:lang w:val="en-US" w:eastAsia="zh-CN" w:bidi="ar"/>
              </w:rPr>
              <w:t>6</w:t>
            </w:r>
            <w:bookmarkEnd w:id="424"/>
          </w:p>
        </w:tc>
        <w:tc>
          <w:tcPr>
            <w:tcW w:w="7033" w:type="dxa"/>
            <w:noWrap w:val="0"/>
            <w:vAlign w:val="center"/>
          </w:tcPr>
          <w:p w14:paraId="66D80C2C">
            <w:pPr>
              <w:pageBreakBefore w:val="0"/>
              <w:widowControl/>
              <w:tabs>
                <w:tab w:val="left" w:pos="7730"/>
              </w:tabs>
              <w:kinsoku/>
              <w:overflowPunct/>
              <w:topLinePunct w:val="0"/>
              <w:bidi w:val="0"/>
              <w:spacing w:line="500" w:lineRule="exact"/>
              <w:ind w:left="0" w:leftChars="0" w:right="0" w:rightChars="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rPr>
              <w:t>被“信用中国”网站（www.creditchina.gov.cn）列入“失信被执行人”、“</w:t>
            </w:r>
            <w:r>
              <w:rPr>
                <w:rFonts w:hint="eastAsia" w:ascii="宋体" w:hAnsi="宋体" w:eastAsia="宋体" w:cs="宋体"/>
                <w:sz w:val="24"/>
                <w:szCs w:val="24"/>
                <w:highlight w:val="none"/>
                <w:lang w:val="en-US" w:eastAsia="zh-CN"/>
              </w:rPr>
              <w:t>重大税收违法失信主体</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且未</w:t>
            </w:r>
            <w:r>
              <w:rPr>
                <w:rFonts w:hint="eastAsia" w:ascii="宋体" w:hAnsi="宋体" w:eastAsia="宋体" w:cs="宋体"/>
                <w:sz w:val="24"/>
                <w:szCs w:val="24"/>
                <w:highlight w:val="none"/>
              </w:rPr>
              <w:t>被“国家企业信用信息公示系统”网站（www.gsxt.gov.cn/index.html）列入“严重违法失信企业名单”。（</w:t>
            </w:r>
            <w:r>
              <w:rPr>
                <w:rFonts w:hint="eastAsia" w:ascii="宋体" w:hAnsi="宋体" w:eastAsia="宋体" w:cs="宋体"/>
                <w:sz w:val="24"/>
                <w:szCs w:val="24"/>
                <w:highlight w:val="none"/>
                <w:lang w:val="en-US" w:eastAsia="zh-CN"/>
              </w:rPr>
              <w:t>提供网站截图并加盖公章</w:t>
            </w:r>
            <w:r>
              <w:rPr>
                <w:rFonts w:hint="eastAsia" w:ascii="宋体" w:hAnsi="宋体" w:eastAsia="宋体" w:cs="宋体"/>
                <w:sz w:val="24"/>
                <w:szCs w:val="24"/>
                <w:highlight w:val="none"/>
              </w:rPr>
              <w:t>）</w:t>
            </w:r>
          </w:p>
        </w:tc>
        <w:tc>
          <w:tcPr>
            <w:tcW w:w="1702" w:type="dxa"/>
            <w:noWrap w:val="0"/>
            <w:vAlign w:val="center"/>
          </w:tcPr>
          <w:p w14:paraId="60015D9C">
            <w:pPr>
              <w:keepNext/>
              <w:keepLines/>
              <w:pageBreakBefore w:val="0"/>
              <w:widowControl w:val="0"/>
              <w:kinsoku/>
              <w:overflowPunct/>
              <w:topLinePunct w:val="0"/>
              <w:bidi w:val="0"/>
              <w:spacing w:line="500" w:lineRule="exact"/>
              <w:ind w:left="0" w:leftChars="0" w:right="0" w:firstLine="482" w:firstLineChars="200"/>
              <w:jc w:val="center"/>
              <w:outlineLvl w:val="1"/>
              <w:rPr>
                <w:rFonts w:hint="eastAsia" w:ascii="宋体" w:hAnsi="宋体" w:eastAsia="宋体" w:cs="宋体"/>
                <w:b/>
                <w:bCs/>
                <w:color w:val="auto"/>
                <w:kern w:val="0"/>
                <w:sz w:val="24"/>
                <w:szCs w:val="24"/>
                <w:highlight w:val="none"/>
                <w:lang w:val="en-US" w:eastAsia="zh-CN" w:bidi="ar-SA"/>
              </w:rPr>
            </w:pPr>
          </w:p>
        </w:tc>
      </w:tr>
      <w:tr w14:paraId="7BC5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44" w:type="dxa"/>
            <w:noWrap w:val="0"/>
            <w:vAlign w:val="center"/>
          </w:tcPr>
          <w:p w14:paraId="1A08AB02">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i w:val="0"/>
                <w:iCs w:val="0"/>
                <w:color w:val="000000"/>
                <w:kern w:val="0"/>
                <w:sz w:val="24"/>
                <w:szCs w:val="24"/>
                <w:u w:val="none"/>
                <w:lang w:val="en-US" w:eastAsia="zh-CN" w:bidi="ar"/>
              </w:rPr>
            </w:pPr>
            <w:bookmarkStart w:id="425" w:name="_Toc12876"/>
            <w:r>
              <w:rPr>
                <w:rFonts w:hint="eastAsia" w:ascii="宋体" w:hAnsi="宋体" w:eastAsia="宋体" w:cs="宋体"/>
                <w:i w:val="0"/>
                <w:iCs w:val="0"/>
                <w:color w:val="000000"/>
                <w:kern w:val="0"/>
                <w:sz w:val="24"/>
                <w:szCs w:val="24"/>
                <w:u w:val="none"/>
                <w:lang w:val="en-US" w:eastAsia="zh-CN" w:bidi="ar"/>
              </w:rPr>
              <w:t>7</w:t>
            </w:r>
            <w:bookmarkEnd w:id="425"/>
          </w:p>
        </w:tc>
        <w:tc>
          <w:tcPr>
            <w:tcW w:w="7033" w:type="dxa"/>
            <w:noWrap w:val="0"/>
            <w:vAlign w:val="center"/>
          </w:tcPr>
          <w:p w14:paraId="6CA182FC">
            <w:pPr>
              <w:pageBreakBefore w:val="0"/>
              <w:kinsoku/>
              <w:overflowPunct/>
              <w:topLinePunct w:val="0"/>
              <w:autoSpaceDE w:val="0"/>
              <w:autoSpaceDN w:val="0"/>
              <w:bidi w:val="0"/>
              <w:adjustRightInd w:val="0"/>
              <w:snapToGrid w:val="0"/>
              <w:spacing w:line="500" w:lineRule="exact"/>
              <w:ind w:left="0" w:leftChars="0" w:right="0" w:rightChars="0"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highlight w:val="none"/>
                <w:lang w:val="en-US" w:eastAsia="zh-CN" w:bidi="ar-SA"/>
              </w:rPr>
              <w:t>本项目不接受联合体参与磋商</w:t>
            </w:r>
          </w:p>
        </w:tc>
        <w:tc>
          <w:tcPr>
            <w:tcW w:w="1702" w:type="dxa"/>
            <w:noWrap w:val="0"/>
            <w:vAlign w:val="center"/>
          </w:tcPr>
          <w:p w14:paraId="07F23CAE">
            <w:pPr>
              <w:keepNext/>
              <w:keepLines/>
              <w:pageBreakBefore w:val="0"/>
              <w:widowControl w:val="0"/>
              <w:kinsoku/>
              <w:overflowPunct/>
              <w:topLinePunct w:val="0"/>
              <w:bidi w:val="0"/>
              <w:spacing w:line="500" w:lineRule="exact"/>
              <w:ind w:left="0" w:leftChars="0" w:right="0" w:firstLine="482" w:firstLineChars="200"/>
              <w:jc w:val="center"/>
              <w:outlineLvl w:val="1"/>
              <w:rPr>
                <w:rFonts w:hint="eastAsia" w:ascii="宋体" w:hAnsi="宋体" w:eastAsia="宋体" w:cs="宋体"/>
                <w:b/>
                <w:bCs/>
                <w:color w:val="auto"/>
                <w:kern w:val="0"/>
                <w:sz w:val="24"/>
                <w:szCs w:val="24"/>
                <w:highlight w:val="none"/>
                <w:lang w:val="en-US" w:eastAsia="zh-CN" w:bidi="ar-SA"/>
              </w:rPr>
            </w:pPr>
          </w:p>
        </w:tc>
      </w:tr>
      <w:tr w14:paraId="5D93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44" w:type="dxa"/>
            <w:noWrap w:val="0"/>
            <w:vAlign w:val="center"/>
          </w:tcPr>
          <w:p w14:paraId="4298CE9B">
            <w:pPr>
              <w:keepNext w:val="0"/>
              <w:keepLines w:val="0"/>
              <w:pageBreakBefore w:val="0"/>
              <w:widowControl/>
              <w:suppressLineNumbers w:val="0"/>
              <w:kinsoku/>
              <w:overflowPunct/>
              <w:topLinePunct w:val="0"/>
              <w:bidi w:val="0"/>
              <w:spacing w:line="500" w:lineRule="exact"/>
              <w:ind w:right="0"/>
              <w:jc w:val="center"/>
              <w:textAlignment w:val="center"/>
              <w:rPr>
                <w:rFonts w:hint="eastAsia" w:ascii="宋体" w:hAnsi="宋体" w:eastAsia="宋体" w:cs="宋体"/>
                <w:i w:val="0"/>
                <w:iCs w:val="0"/>
                <w:color w:val="000000"/>
                <w:kern w:val="0"/>
                <w:sz w:val="24"/>
                <w:szCs w:val="24"/>
                <w:u w:val="none"/>
                <w:lang w:val="en-US" w:eastAsia="zh-CN" w:bidi="ar"/>
              </w:rPr>
            </w:pPr>
            <w:bookmarkStart w:id="426" w:name="_Toc11451"/>
            <w:r>
              <w:rPr>
                <w:rFonts w:hint="eastAsia" w:ascii="宋体" w:hAnsi="宋体" w:eastAsia="宋体" w:cs="宋体"/>
                <w:i w:val="0"/>
                <w:iCs w:val="0"/>
                <w:color w:val="000000"/>
                <w:kern w:val="0"/>
                <w:sz w:val="24"/>
                <w:szCs w:val="24"/>
                <w:u w:val="none"/>
                <w:lang w:val="en-US" w:eastAsia="zh-CN" w:bidi="ar"/>
              </w:rPr>
              <w:t>8</w:t>
            </w:r>
            <w:bookmarkEnd w:id="426"/>
          </w:p>
        </w:tc>
        <w:tc>
          <w:tcPr>
            <w:tcW w:w="7033" w:type="dxa"/>
            <w:noWrap w:val="0"/>
            <w:vAlign w:val="center"/>
          </w:tcPr>
          <w:p w14:paraId="4DCBCB4C">
            <w:pPr>
              <w:spacing w:beforeLines="0" w:afterLines="0"/>
              <w:ind w:firstLine="480" w:firstLineChars="200"/>
              <w:jc w:val="left"/>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lang w:val="en-US" w:eastAsia="zh-CN"/>
              </w:rPr>
              <w:t>其</w:t>
            </w:r>
            <w:r>
              <w:rPr>
                <w:rFonts w:hint="eastAsia" w:hAnsi="宋体" w:eastAsia="宋体" w:cs="宋体"/>
                <w:sz w:val="24"/>
                <w:szCs w:val="24"/>
                <w:lang w:val="en-US" w:eastAsia="zh-CN"/>
              </w:rPr>
              <w:t>他</w:t>
            </w:r>
            <w:r>
              <w:rPr>
                <w:rFonts w:hint="eastAsia" w:ascii="宋体" w:hAnsi="宋体" w:eastAsia="宋体" w:cs="宋体"/>
                <w:sz w:val="24"/>
                <w:szCs w:val="24"/>
                <w:lang w:val="en-US" w:eastAsia="zh-CN"/>
              </w:rPr>
              <w:t>必要的资格证明文件（包括但不限于企业情况、质量控制、服务方案等）</w:t>
            </w:r>
          </w:p>
        </w:tc>
        <w:tc>
          <w:tcPr>
            <w:tcW w:w="1702" w:type="dxa"/>
            <w:noWrap w:val="0"/>
            <w:vAlign w:val="center"/>
          </w:tcPr>
          <w:p w14:paraId="2D0308B2">
            <w:pPr>
              <w:keepNext/>
              <w:keepLines/>
              <w:pageBreakBefore w:val="0"/>
              <w:widowControl w:val="0"/>
              <w:kinsoku/>
              <w:overflowPunct/>
              <w:topLinePunct w:val="0"/>
              <w:bidi w:val="0"/>
              <w:spacing w:line="500" w:lineRule="exact"/>
              <w:ind w:left="0" w:leftChars="0" w:right="0" w:firstLine="482" w:firstLineChars="200"/>
              <w:jc w:val="center"/>
              <w:outlineLvl w:val="1"/>
              <w:rPr>
                <w:rFonts w:hint="eastAsia" w:ascii="宋体" w:hAnsi="宋体" w:eastAsia="宋体" w:cs="宋体"/>
                <w:b/>
                <w:bCs/>
                <w:color w:val="auto"/>
                <w:kern w:val="0"/>
                <w:sz w:val="24"/>
                <w:szCs w:val="24"/>
                <w:highlight w:val="none"/>
                <w:lang w:val="en-US" w:eastAsia="zh-CN" w:bidi="ar-SA"/>
              </w:rPr>
            </w:pPr>
          </w:p>
        </w:tc>
      </w:tr>
    </w:tbl>
    <w:p w14:paraId="610BD785">
      <w:pPr>
        <w:spacing w:before="0" w:beforeLines="0" w:after="0" w:afterLines="0" w:line="360" w:lineRule="auto"/>
        <w:outlineLvl w:val="9"/>
        <w:rPr>
          <w:rFonts w:hint="eastAsia" w:ascii="宋体" w:hAnsi="宋体" w:eastAsia="宋体" w:cs="宋体"/>
          <w:b/>
          <w:bCs/>
          <w:sz w:val="28"/>
          <w:szCs w:val="28"/>
        </w:rPr>
      </w:pPr>
      <w:r>
        <w:rPr>
          <w:rFonts w:hint="eastAsia" w:ascii="宋体" w:hAnsi="宋体" w:eastAsia="宋体" w:cs="宋体"/>
          <w:b/>
          <w:bCs/>
          <w:color w:val="auto"/>
          <w:sz w:val="24"/>
          <w:szCs w:val="24"/>
          <w:highlight w:val="none"/>
        </w:rPr>
        <w:br w:type="page"/>
      </w:r>
      <w:r>
        <w:rPr>
          <w:rFonts w:hint="eastAsia" w:hAnsi="宋体" w:eastAsia="宋体" w:cs="宋体"/>
          <w:b/>
          <w:bCs/>
          <w:color w:val="000000" w:themeColor="text1"/>
          <w:sz w:val="28"/>
          <w:szCs w:val="28"/>
          <w:lang w:val="en-US" w:eastAsia="zh-CN"/>
          <w14:textFill>
            <w14:solidFill>
              <w14:schemeClr w14:val="tx1"/>
            </w14:solidFill>
          </w14:textFill>
        </w:rPr>
        <w:t>三</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kern w:val="0"/>
          <w:sz w:val="28"/>
          <w:szCs w:val="28"/>
        </w:rPr>
        <w:t>评审索引表（样表，</w:t>
      </w:r>
      <w:r>
        <w:rPr>
          <w:rFonts w:hint="eastAsia" w:ascii="宋体" w:hAnsi="宋体" w:eastAsia="宋体" w:cs="宋体"/>
          <w:b/>
          <w:bCs/>
          <w:sz w:val="28"/>
          <w:szCs w:val="28"/>
        </w:rPr>
        <w:t>由供应商按磋商文件要求自行逐项填写</w:t>
      </w:r>
      <w:r>
        <w:rPr>
          <w:rFonts w:hint="eastAsia" w:ascii="宋体" w:hAnsi="宋体" w:eastAsia="宋体" w:cs="宋体"/>
          <w:b/>
          <w:bCs/>
          <w:kern w:val="0"/>
          <w:sz w:val="28"/>
          <w:szCs w:val="28"/>
        </w:rPr>
        <w:t>）</w:t>
      </w:r>
      <w:bookmarkEnd w:id="389"/>
      <w:bookmarkEnd w:id="390"/>
    </w:p>
    <w:p w14:paraId="2A1034E3">
      <w:pPr>
        <w:spacing w:before="0" w:beforeLines="0" w:after="0" w:afterLines="0" w:line="360" w:lineRule="auto"/>
        <w:jc w:val="center"/>
        <w:outlineLvl w:val="9"/>
        <w:rPr>
          <w:rFonts w:hint="eastAsia" w:ascii="宋体" w:hAnsi="宋体" w:eastAsia="宋体" w:cs="宋体"/>
          <w:b/>
          <w:bCs/>
          <w:i w:val="0"/>
          <w:iCs w:val="0"/>
          <w:sz w:val="30"/>
          <w:szCs w:val="30"/>
          <w:u w:val="none"/>
        </w:rPr>
      </w:pPr>
      <w:bookmarkStart w:id="427" w:name="_Toc7253"/>
      <w:bookmarkStart w:id="428" w:name="_Toc28647"/>
      <w:bookmarkStart w:id="429" w:name="_Toc22229"/>
      <w:r>
        <w:rPr>
          <w:rFonts w:hint="eastAsia" w:ascii="宋体" w:hAnsi="宋体" w:eastAsia="宋体" w:cs="宋体"/>
          <w:b/>
          <w:bCs/>
          <w:i w:val="0"/>
          <w:iCs w:val="0"/>
          <w:sz w:val="30"/>
          <w:szCs w:val="30"/>
          <w:u w:val="none"/>
        </w:rPr>
        <w:t>评审索引表</w:t>
      </w:r>
      <w:bookmarkEnd w:id="427"/>
      <w:bookmarkEnd w:id="428"/>
      <w:bookmarkEnd w:id="42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9"/>
        <w:gridCol w:w="3792"/>
      </w:tblGrid>
      <w:tr w14:paraId="3DB5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4409" w:type="dxa"/>
            <w:vAlign w:val="center"/>
          </w:tcPr>
          <w:p w14:paraId="01A80913">
            <w:pPr>
              <w:pStyle w:val="37"/>
              <w:shd w:val="clear" w:color="auto" w:fill="FFFFFF"/>
              <w:spacing w:beforeLines="0" w:afterLines="0"/>
              <w:ind w:left="0" w:leftChars="0" w:firstLine="0" w:firstLineChars="0"/>
              <w:jc w:val="center"/>
              <w:outlineLvl w:val="9"/>
              <w:rPr>
                <w:rFonts w:hint="eastAsia" w:ascii="宋体" w:hAnsi="宋体" w:eastAsia="宋体" w:cs="宋体"/>
                <w:b/>
                <w:bCs/>
              </w:rPr>
            </w:pPr>
            <w:r>
              <w:rPr>
                <w:rFonts w:hint="eastAsia" w:ascii="宋体" w:hAnsi="宋体" w:eastAsia="宋体" w:cs="宋体"/>
                <w:b/>
                <w:sz w:val="24"/>
                <w:szCs w:val="22"/>
                <w:lang w:bidi="en-US"/>
              </w:rPr>
              <w:t>评分因素</w:t>
            </w:r>
          </w:p>
        </w:tc>
        <w:tc>
          <w:tcPr>
            <w:tcW w:w="3792" w:type="dxa"/>
            <w:vAlign w:val="center"/>
          </w:tcPr>
          <w:p w14:paraId="3BFB0B38">
            <w:pPr>
              <w:spacing w:beforeLines="0" w:afterLines="0"/>
              <w:jc w:val="center"/>
              <w:outlineLvl w:val="9"/>
              <w:rPr>
                <w:rFonts w:hint="eastAsia" w:ascii="宋体" w:hAnsi="宋体" w:eastAsia="宋体" w:cs="宋体"/>
                <w:b/>
              </w:rPr>
            </w:pPr>
            <w:r>
              <w:rPr>
                <w:rFonts w:hint="eastAsia" w:ascii="宋体" w:hAnsi="宋体" w:eastAsia="宋体" w:cs="宋体"/>
                <w:b/>
                <w:sz w:val="24"/>
                <w:lang w:bidi="en-US"/>
              </w:rPr>
              <w:t>在响应文件中的页码</w:t>
            </w:r>
          </w:p>
        </w:tc>
      </w:tr>
      <w:tr w14:paraId="0DFB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57DB374F">
            <w:pPr>
              <w:pStyle w:val="37"/>
              <w:shd w:val="clear" w:color="auto" w:fill="FFFFFF"/>
              <w:spacing w:beforeLines="0" w:afterLines="0"/>
              <w:ind w:left="0" w:firstLine="562"/>
              <w:jc w:val="center"/>
              <w:outlineLvl w:val="9"/>
              <w:rPr>
                <w:rFonts w:hint="eastAsia" w:ascii="宋体" w:hAnsi="宋体" w:eastAsia="宋体" w:cs="宋体"/>
                <w:b/>
              </w:rPr>
            </w:pPr>
          </w:p>
        </w:tc>
        <w:tc>
          <w:tcPr>
            <w:tcW w:w="3792" w:type="dxa"/>
            <w:vAlign w:val="center"/>
          </w:tcPr>
          <w:p w14:paraId="0EED4491">
            <w:pPr>
              <w:spacing w:beforeLines="0" w:afterLines="0"/>
              <w:ind w:firstLine="482"/>
              <w:jc w:val="center"/>
              <w:outlineLvl w:val="9"/>
              <w:rPr>
                <w:rFonts w:hint="eastAsia" w:ascii="宋体" w:hAnsi="宋体" w:eastAsia="宋体" w:cs="宋体"/>
                <w:b/>
                <w:sz w:val="24"/>
                <w:lang w:bidi="en-US"/>
              </w:rPr>
            </w:pPr>
          </w:p>
        </w:tc>
      </w:tr>
      <w:tr w14:paraId="1B57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4FD144FB">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42F3030F">
            <w:pPr>
              <w:spacing w:beforeLines="0" w:afterLines="0"/>
              <w:ind w:firstLine="480"/>
              <w:jc w:val="center"/>
              <w:outlineLvl w:val="9"/>
              <w:rPr>
                <w:rFonts w:hint="eastAsia" w:ascii="宋体" w:hAnsi="宋体" w:eastAsia="宋体" w:cs="宋体"/>
              </w:rPr>
            </w:pPr>
          </w:p>
        </w:tc>
      </w:tr>
      <w:tr w14:paraId="7743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4E894262">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6814B834">
            <w:pPr>
              <w:spacing w:beforeLines="0" w:afterLines="0"/>
              <w:ind w:firstLine="480"/>
              <w:jc w:val="center"/>
              <w:outlineLvl w:val="9"/>
              <w:rPr>
                <w:rFonts w:hint="eastAsia" w:ascii="宋体" w:hAnsi="宋体" w:eastAsia="宋体" w:cs="宋体"/>
              </w:rPr>
            </w:pPr>
          </w:p>
        </w:tc>
      </w:tr>
      <w:tr w14:paraId="2696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27C6B592">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33108D82">
            <w:pPr>
              <w:spacing w:beforeLines="0" w:afterLines="0"/>
              <w:ind w:firstLine="480"/>
              <w:jc w:val="center"/>
              <w:outlineLvl w:val="9"/>
              <w:rPr>
                <w:rFonts w:hint="eastAsia" w:ascii="宋体" w:hAnsi="宋体" w:eastAsia="宋体" w:cs="宋体"/>
              </w:rPr>
            </w:pPr>
          </w:p>
        </w:tc>
      </w:tr>
      <w:tr w14:paraId="7B00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5A8AFE91">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4C0BE765">
            <w:pPr>
              <w:spacing w:beforeLines="0" w:afterLines="0"/>
              <w:ind w:firstLine="480"/>
              <w:jc w:val="center"/>
              <w:outlineLvl w:val="9"/>
              <w:rPr>
                <w:rFonts w:hint="eastAsia" w:ascii="宋体" w:hAnsi="宋体" w:eastAsia="宋体" w:cs="宋体"/>
              </w:rPr>
            </w:pPr>
          </w:p>
        </w:tc>
      </w:tr>
      <w:tr w14:paraId="2431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4AE76B6B">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424AC73E">
            <w:pPr>
              <w:spacing w:beforeLines="0" w:afterLines="0"/>
              <w:ind w:firstLine="480"/>
              <w:jc w:val="center"/>
              <w:outlineLvl w:val="9"/>
              <w:rPr>
                <w:rFonts w:hint="eastAsia" w:ascii="宋体" w:hAnsi="宋体" w:eastAsia="宋体" w:cs="宋体"/>
              </w:rPr>
            </w:pPr>
          </w:p>
        </w:tc>
      </w:tr>
      <w:tr w14:paraId="47FB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758B6029">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4457D045">
            <w:pPr>
              <w:spacing w:beforeLines="0" w:afterLines="0"/>
              <w:ind w:firstLine="480"/>
              <w:jc w:val="center"/>
              <w:outlineLvl w:val="9"/>
              <w:rPr>
                <w:rFonts w:hint="eastAsia" w:ascii="宋体" w:hAnsi="宋体" w:eastAsia="宋体" w:cs="宋体"/>
              </w:rPr>
            </w:pPr>
          </w:p>
        </w:tc>
      </w:tr>
      <w:tr w14:paraId="2E91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756F2CB0">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43F2AE49">
            <w:pPr>
              <w:spacing w:beforeLines="0" w:afterLines="0"/>
              <w:ind w:firstLine="480"/>
              <w:jc w:val="center"/>
              <w:outlineLvl w:val="9"/>
              <w:rPr>
                <w:rFonts w:hint="eastAsia" w:ascii="宋体" w:hAnsi="宋体" w:eastAsia="宋体" w:cs="宋体"/>
              </w:rPr>
            </w:pPr>
          </w:p>
        </w:tc>
      </w:tr>
      <w:tr w14:paraId="5FF6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1CB5CB9B">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30EB0193">
            <w:pPr>
              <w:spacing w:beforeLines="0" w:afterLines="0"/>
              <w:ind w:firstLine="480"/>
              <w:jc w:val="center"/>
              <w:outlineLvl w:val="9"/>
              <w:rPr>
                <w:rFonts w:hint="eastAsia" w:ascii="宋体" w:hAnsi="宋体" w:eastAsia="宋体" w:cs="宋体"/>
              </w:rPr>
            </w:pPr>
          </w:p>
        </w:tc>
      </w:tr>
      <w:tr w14:paraId="3326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3BA57DB0">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360D48D1">
            <w:pPr>
              <w:spacing w:beforeLines="0" w:afterLines="0"/>
              <w:ind w:firstLine="480"/>
              <w:jc w:val="center"/>
              <w:outlineLvl w:val="9"/>
              <w:rPr>
                <w:rFonts w:hint="eastAsia" w:ascii="宋体" w:hAnsi="宋体" w:eastAsia="宋体" w:cs="宋体"/>
              </w:rPr>
            </w:pPr>
          </w:p>
        </w:tc>
      </w:tr>
      <w:tr w14:paraId="69C4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49D1CB6A">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65343158">
            <w:pPr>
              <w:spacing w:beforeLines="0" w:afterLines="0"/>
              <w:ind w:firstLine="480"/>
              <w:jc w:val="center"/>
              <w:outlineLvl w:val="9"/>
              <w:rPr>
                <w:rFonts w:hint="eastAsia" w:ascii="宋体" w:hAnsi="宋体" w:eastAsia="宋体" w:cs="宋体"/>
              </w:rPr>
            </w:pPr>
          </w:p>
        </w:tc>
      </w:tr>
      <w:tr w14:paraId="05F4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6B208E29">
            <w:pPr>
              <w:pStyle w:val="37"/>
              <w:shd w:val="clear" w:color="auto" w:fill="FFFFFF"/>
              <w:spacing w:beforeLines="0" w:afterLines="0"/>
              <w:ind w:left="0" w:firstLine="562"/>
              <w:jc w:val="center"/>
              <w:outlineLvl w:val="9"/>
              <w:rPr>
                <w:rFonts w:hint="eastAsia" w:ascii="宋体" w:hAnsi="宋体" w:eastAsia="宋体" w:cs="宋体"/>
                <w:b/>
                <w:bCs/>
              </w:rPr>
            </w:pPr>
          </w:p>
        </w:tc>
        <w:tc>
          <w:tcPr>
            <w:tcW w:w="3792" w:type="dxa"/>
            <w:vAlign w:val="center"/>
          </w:tcPr>
          <w:p w14:paraId="25E5DF41">
            <w:pPr>
              <w:spacing w:beforeLines="0" w:afterLines="0"/>
              <w:ind w:firstLine="480"/>
              <w:jc w:val="center"/>
              <w:outlineLvl w:val="9"/>
              <w:rPr>
                <w:rFonts w:hint="eastAsia" w:ascii="宋体" w:hAnsi="宋体" w:eastAsia="宋体" w:cs="宋体"/>
              </w:rPr>
            </w:pPr>
          </w:p>
        </w:tc>
      </w:tr>
      <w:tr w14:paraId="6F37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48EEDAD3">
            <w:pPr>
              <w:pStyle w:val="37"/>
              <w:shd w:val="clear" w:color="auto" w:fill="FFFFFF"/>
              <w:spacing w:beforeLines="0" w:afterLines="0"/>
              <w:ind w:left="0" w:firstLine="560"/>
              <w:jc w:val="center"/>
              <w:outlineLvl w:val="9"/>
              <w:rPr>
                <w:rFonts w:hint="eastAsia" w:ascii="宋体" w:hAnsi="宋体" w:eastAsia="宋体" w:cs="宋体"/>
              </w:rPr>
            </w:pPr>
          </w:p>
        </w:tc>
        <w:tc>
          <w:tcPr>
            <w:tcW w:w="3792" w:type="dxa"/>
            <w:vAlign w:val="center"/>
          </w:tcPr>
          <w:p w14:paraId="229947F7">
            <w:pPr>
              <w:spacing w:beforeLines="0" w:afterLines="0"/>
              <w:ind w:firstLine="480"/>
              <w:jc w:val="center"/>
              <w:outlineLvl w:val="9"/>
              <w:rPr>
                <w:rFonts w:hint="eastAsia" w:ascii="宋体" w:hAnsi="宋体" w:eastAsia="宋体" w:cs="宋体"/>
              </w:rPr>
            </w:pPr>
          </w:p>
        </w:tc>
      </w:tr>
      <w:tr w14:paraId="42F6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3E989AC9">
            <w:pPr>
              <w:pStyle w:val="37"/>
              <w:shd w:val="clear" w:color="auto" w:fill="FFFFFF"/>
              <w:spacing w:beforeLines="0" w:afterLines="0"/>
              <w:ind w:left="0" w:firstLine="562"/>
              <w:jc w:val="center"/>
              <w:outlineLvl w:val="9"/>
              <w:rPr>
                <w:rFonts w:hint="eastAsia" w:ascii="宋体" w:hAnsi="宋体" w:eastAsia="宋体" w:cs="宋体"/>
                <w:b/>
                <w:bCs/>
              </w:rPr>
            </w:pPr>
          </w:p>
        </w:tc>
        <w:tc>
          <w:tcPr>
            <w:tcW w:w="3792" w:type="dxa"/>
            <w:vAlign w:val="center"/>
          </w:tcPr>
          <w:p w14:paraId="031981F1">
            <w:pPr>
              <w:spacing w:beforeLines="0" w:afterLines="0"/>
              <w:ind w:firstLine="480"/>
              <w:jc w:val="center"/>
              <w:outlineLvl w:val="9"/>
              <w:rPr>
                <w:rFonts w:hint="eastAsia" w:ascii="宋体" w:hAnsi="宋体" w:eastAsia="宋体" w:cs="宋体"/>
              </w:rPr>
            </w:pPr>
          </w:p>
        </w:tc>
      </w:tr>
      <w:tr w14:paraId="1BCB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5A5D0A80">
            <w:pPr>
              <w:pStyle w:val="37"/>
              <w:shd w:val="clear" w:color="auto" w:fill="FFFFFF"/>
              <w:spacing w:beforeLines="0" w:afterLines="0"/>
              <w:ind w:firstLine="560"/>
              <w:jc w:val="center"/>
              <w:outlineLvl w:val="9"/>
              <w:rPr>
                <w:rFonts w:hint="eastAsia" w:ascii="宋体" w:hAnsi="宋体" w:eastAsia="宋体" w:cs="宋体"/>
                <w:szCs w:val="21"/>
              </w:rPr>
            </w:pPr>
          </w:p>
        </w:tc>
        <w:tc>
          <w:tcPr>
            <w:tcW w:w="3792" w:type="dxa"/>
            <w:vAlign w:val="center"/>
          </w:tcPr>
          <w:p w14:paraId="5E3CE2F0">
            <w:pPr>
              <w:spacing w:beforeLines="0" w:afterLines="0"/>
              <w:ind w:firstLine="480"/>
              <w:jc w:val="center"/>
              <w:outlineLvl w:val="9"/>
              <w:rPr>
                <w:rFonts w:hint="eastAsia" w:ascii="宋体" w:hAnsi="宋体" w:eastAsia="宋体" w:cs="宋体"/>
              </w:rPr>
            </w:pPr>
          </w:p>
        </w:tc>
      </w:tr>
      <w:tr w14:paraId="606A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23BCDA66">
            <w:pPr>
              <w:pStyle w:val="37"/>
              <w:shd w:val="clear" w:color="auto" w:fill="FFFFFF"/>
              <w:spacing w:beforeLines="0" w:afterLines="0"/>
              <w:ind w:firstLine="560"/>
              <w:jc w:val="center"/>
              <w:outlineLvl w:val="9"/>
              <w:rPr>
                <w:rFonts w:hint="eastAsia" w:ascii="宋体" w:hAnsi="宋体" w:eastAsia="宋体" w:cs="宋体"/>
              </w:rPr>
            </w:pPr>
          </w:p>
        </w:tc>
        <w:tc>
          <w:tcPr>
            <w:tcW w:w="3792" w:type="dxa"/>
            <w:vAlign w:val="center"/>
          </w:tcPr>
          <w:p w14:paraId="5E4C2052">
            <w:pPr>
              <w:spacing w:beforeLines="0" w:afterLines="0"/>
              <w:ind w:firstLine="480"/>
              <w:jc w:val="center"/>
              <w:outlineLvl w:val="9"/>
              <w:rPr>
                <w:rFonts w:hint="eastAsia" w:ascii="宋体" w:hAnsi="宋体" w:eastAsia="宋体" w:cs="宋体"/>
              </w:rPr>
            </w:pPr>
          </w:p>
        </w:tc>
      </w:tr>
      <w:tr w14:paraId="073A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4F26A9A3">
            <w:pPr>
              <w:pStyle w:val="37"/>
              <w:shd w:val="clear" w:color="auto" w:fill="FFFFFF"/>
              <w:spacing w:beforeLines="0" w:afterLines="0"/>
              <w:ind w:firstLine="560"/>
              <w:outlineLvl w:val="9"/>
              <w:rPr>
                <w:rFonts w:hint="eastAsia" w:ascii="宋体" w:hAnsi="宋体" w:eastAsia="宋体" w:cs="宋体"/>
              </w:rPr>
            </w:pPr>
          </w:p>
        </w:tc>
        <w:tc>
          <w:tcPr>
            <w:tcW w:w="3792" w:type="dxa"/>
            <w:vAlign w:val="center"/>
          </w:tcPr>
          <w:p w14:paraId="51F4872D">
            <w:pPr>
              <w:spacing w:beforeLines="0" w:afterLines="0"/>
              <w:ind w:firstLine="480"/>
              <w:jc w:val="center"/>
              <w:outlineLvl w:val="9"/>
              <w:rPr>
                <w:rFonts w:hint="eastAsia" w:ascii="宋体" w:hAnsi="宋体" w:eastAsia="宋体" w:cs="宋体"/>
              </w:rPr>
            </w:pPr>
          </w:p>
        </w:tc>
      </w:tr>
      <w:tr w14:paraId="3167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09" w:type="dxa"/>
            <w:vAlign w:val="center"/>
          </w:tcPr>
          <w:p w14:paraId="4FEF073F">
            <w:pPr>
              <w:pStyle w:val="37"/>
              <w:shd w:val="clear" w:color="auto" w:fill="FFFFFF"/>
              <w:spacing w:beforeLines="0" w:afterLines="0"/>
              <w:ind w:firstLine="560"/>
              <w:outlineLvl w:val="9"/>
              <w:rPr>
                <w:rFonts w:hint="eastAsia" w:ascii="宋体" w:hAnsi="宋体" w:eastAsia="宋体" w:cs="宋体"/>
              </w:rPr>
            </w:pPr>
          </w:p>
        </w:tc>
        <w:tc>
          <w:tcPr>
            <w:tcW w:w="3792" w:type="dxa"/>
            <w:vAlign w:val="center"/>
          </w:tcPr>
          <w:p w14:paraId="45027D30">
            <w:pPr>
              <w:spacing w:beforeLines="0" w:afterLines="0"/>
              <w:ind w:firstLine="480"/>
              <w:jc w:val="center"/>
              <w:outlineLvl w:val="9"/>
              <w:rPr>
                <w:rFonts w:hint="eastAsia" w:ascii="宋体" w:hAnsi="宋体" w:eastAsia="宋体" w:cs="宋体"/>
              </w:rPr>
            </w:pPr>
          </w:p>
        </w:tc>
      </w:tr>
    </w:tbl>
    <w:p w14:paraId="014C5314">
      <w:pPr>
        <w:widowControl/>
        <w:spacing w:beforeLines="0" w:afterLines="0" w:line="360" w:lineRule="auto"/>
        <w:jc w:val="left"/>
        <w:outlineLvl w:val="9"/>
        <w:rPr>
          <w:rFonts w:hint="eastAsia" w:ascii="宋体" w:hAnsi="宋体" w:eastAsia="宋体" w:cs="宋体"/>
          <w:b/>
          <w:color w:val="000000" w:themeColor="text1"/>
          <w:sz w:val="24"/>
          <w:szCs w:val="24"/>
          <w:lang w:val="zh-CN"/>
          <w14:textFill>
            <w14:solidFill>
              <w14:schemeClr w14:val="tx1"/>
            </w14:solidFill>
          </w14:textFill>
        </w:rPr>
      </w:pPr>
    </w:p>
    <w:p w14:paraId="58C5EEBB">
      <w:pPr>
        <w:widowControl/>
        <w:adjustRightInd/>
        <w:spacing w:beforeLines="0" w:afterLines="0" w:line="360" w:lineRule="auto"/>
        <w:ind w:firstLine="360" w:firstLineChars="150"/>
        <w:jc w:val="left"/>
        <w:textAlignment w:val="auto"/>
        <w:outlineLvl w:val="9"/>
        <w:rPr>
          <w:rFonts w:hint="eastAsia" w:ascii="宋体" w:hAnsi="宋体" w:eastAsia="宋体" w:cs="宋体"/>
          <w:b/>
          <w:bCs/>
          <w:sz w:val="24"/>
          <w:szCs w:val="24"/>
        </w:rPr>
      </w:pPr>
      <w:r>
        <w:rPr>
          <w:rFonts w:hint="eastAsia" w:ascii="宋体" w:hAnsi="宋体" w:eastAsia="宋体" w:cs="宋体"/>
          <w:sz w:val="24"/>
          <w:szCs w:val="24"/>
        </w:rPr>
        <w:br w:type="page"/>
      </w:r>
    </w:p>
    <w:p w14:paraId="0FDC9BBE">
      <w:pPr>
        <w:spacing w:before="0" w:beforeLines="0" w:after="0" w:afterLines="0" w:line="360" w:lineRule="auto"/>
        <w:outlineLvl w:val="9"/>
        <w:rPr>
          <w:rFonts w:hint="eastAsia" w:ascii="宋体" w:hAnsi="宋体" w:eastAsia="宋体" w:cs="宋体"/>
          <w:b/>
          <w:bCs/>
        </w:rPr>
      </w:pPr>
      <w:r>
        <w:rPr>
          <w:rFonts w:hint="eastAsia" w:hAnsi="宋体" w:eastAsia="宋体" w:cs="宋体"/>
          <w:b/>
          <w:bCs/>
          <w:lang w:val="en-US" w:eastAsia="zh-CN"/>
        </w:rPr>
        <w:t>四</w:t>
      </w:r>
      <w:r>
        <w:rPr>
          <w:rFonts w:hint="eastAsia" w:ascii="宋体" w:hAnsi="宋体" w:eastAsia="宋体" w:cs="宋体"/>
          <w:b/>
          <w:bCs/>
        </w:rPr>
        <w:t>、商务、技术响应</w:t>
      </w:r>
    </w:p>
    <w:bookmarkEnd w:id="351"/>
    <w:p w14:paraId="418E60D3">
      <w:pPr>
        <w:widowControl/>
        <w:spacing w:beforeLines="0" w:afterLines="0" w:line="360" w:lineRule="auto"/>
        <w:jc w:val="left"/>
        <w:outlineLvl w:val="9"/>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zh-CN"/>
          <w14:textFill>
            <w14:solidFill>
              <w14:schemeClr w14:val="tx1"/>
            </w14:solidFill>
          </w14:textFill>
        </w:rPr>
        <w:t>商务条款偏离表（样表）</w:t>
      </w:r>
    </w:p>
    <w:p w14:paraId="3BFC605C">
      <w:pPr>
        <w:widowControl/>
        <w:spacing w:beforeLines="0" w:afterLines="0" w:line="360" w:lineRule="auto"/>
        <w:ind w:firstLine="205" w:firstLineChars="85"/>
        <w:outlineLvl w:val="9"/>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项目名称：</w:t>
      </w:r>
    </w:p>
    <w:p w14:paraId="4043F9AC">
      <w:pPr>
        <w:widowControl/>
        <w:spacing w:beforeLines="0" w:afterLines="0" w:line="360" w:lineRule="auto"/>
        <w:ind w:firstLine="205" w:firstLineChars="85"/>
        <w:outlineLvl w:val="9"/>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项目编号：</w:t>
      </w:r>
    </w:p>
    <w:p w14:paraId="5A593E8C">
      <w:pPr>
        <w:widowControl/>
        <w:spacing w:beforeLines="0" w:afterLines="0" w:line="360" w:lineRule="auto"/>
        <w:ind w:firstLine="205" w:firstLineChars="85"/>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标段：</w:t>
      </w:r>
    </w:p>
    <w:tbl>
      <w:tblPr>
        <w:tblStyle w:val="16"/>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1620"/>
        <w:gridCol w:w="2700"/>
        <w:gridCol w:w="2448"/>
        <w:gridCol w:w="1185"/>
        <w:gridCol w:w="1185"/>
      </w:tblGrid>
      <w:tr w14:paraId="0054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314D6B3E">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1620" w:type="dxa"/>
            <w:vAlign w:val="center"/>
          </w:tcPr>
          <w:p w14:paraId="2DE20E62">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磋商文件</w:t>
            </w:r>
          </w:p>
          <w:p w14:paraId="702EF832">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条目号</w:t>
            </w:r>
          </w:p>
        </w:tc>
        <w:tc>
          <w:tcPr>
            <w:tcW w:w="2700" w:type="dxa"/>
            <w:vAlign w:val="center"/>
          </w:tcPr>
          <w:p w14:paraId="4E8B7222">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磋商文件要求的商务条款</w:t>
            </w:r>
          </w:p>
        </w:tc>
        <w:tc>
          <w:tcPr>
            <w:tcW w:w="2448" w:type="dxa"/>
            <w:vAlign w:val="center"/>
          </w:tcPr>
          <w:p w14:paraId="25B2927E">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响应</w:t>
            </w:r>
          </w:p>
        </w:tc>
        <w:tc>
          <w:tcPr>
            <w:tcW w:w="1185" w:type="dxa"/>
            <w:vAlign w:val="center"/>
          </w:tcPr>
          <w:p w14:paraId="7FF3A2A0">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偏离（</w:t>
            </w:r>
            <w:r>
              <w:rPr>
                <w:rFonts w:hint="eastAsia" w:ascii="宋体" w:hAnsi="宋体" w:eastAsia="宋体" w:cs="宋体"/>
                <w:color w:val="000000" w:themeColor="text1"/>
                <w:sz w:val="24"/>
                <w:szCs w:val="24"/>
                <w14:textFill>
                  <w14:solidFill>
                    <w14:schemeClr w14:val="tx1"/>
                  </w14:solidFill>
                </w14:textFill>
              </w:rPr>
              <w:t>+/-)</w:t>
            </w:r>
          </w:p>
        </w:tc>
        <w:tc>
          <w:tcPr>
            <w:tcW w:w="1185" w:type="dxa"/>
            <w:vAlign w:val="center"/>
          </w:tcPr>
          <w:p w14:paraId="2A14E78F">
            <w:pPr>
              <w:widowControl/>
              <w:spacing w:beforeLines="0" w:afterLines="0" w:line="360" w:lineRule="auto"/>
              <w:ind w:firstLine="204" w:firstLineChars="85"/>
              <w:jc w:val="center"/>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偏离说明</w:t>
            </w:r>
          </w:p>
        </w:tc>
      </w:tr>
      <w:tr w14:paraId="442D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0E09AE3D">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620" w:type="dxa"/>
            <w:vAlign w:val="center"/>
          </w:tcPr>
          <w:p w14:paraId="4B763A04">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700" w:type="dxa"/>
            <w:vAlign w:val="center"/>
          </w:tcPr>
          <w:p w14:paraId="7346B861">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448" w:type="dxa"/>
            <w:vAlign w:val="center"/>
          </w:tcPr>
          <w:p w14:paraId="4005964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7418EB29">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43C75533">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5D10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24AF18A8">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620" w:type="dxa"/>
            <w:vAlign w:val="center"/>
          </w:tcPr>
          <w:p w14:paraId="52832075">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700" w:type="dxa"/>
            <w:vAlign w:val="center"/>
          </w:tcPr>
          <w:p w14:paraId="07BCBB17">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448" w:type="dxa"/>
            <w:vAlign w:val="center"/>
          </w:tcPr>
          <w:p w14:paraId="4ECC039B">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5C91FCE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29BE8010">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7F1E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4B6AE03A">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620" w:type="dxa"/>
            <w:vAlign w:val="center"/>
          </w:tcPr>
          <w:p w14:paraId="4ECFD69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700" w:type="dxa"/>
            <w:vAlign w:val="center"/>
          </w:tcPr>
          <w:p w14:paraId="0403EC51">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448" w:type="dxa"/>
            <w:vAlign w:val="center"/>
          </w:tcPr>
          <w:p w14:paraId="740BFAA6">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14644FA4">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2841B3B7">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242B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2015BF51">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620" w:type="dxa"/>
            <w:vAlign w:val="center"/>
          </w:tcPr>
          <w:p w14:paraId="4C40ABD0">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700" w:type="dxa"/>
            <w:vAlign w:val="center"/>
          </w:tcPr>
          <w:p w14:paraId="0B691D1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448" w:type="dxa"/>
            <w:vAlign w:val="center"/>
          </w:tcPr>
          <w:p w14:paraId="5CE52AC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1EF41F49">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4873488E">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4481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7F82C16D">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620" w:type="dxa"/>
            <w:vAlign w:val="center"/>
          </w:tcPr>
          <w:p w14:paraId="13B2FC64">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700" w:type="dxa"/>
            <w:vAlign w:val="center"/>
          </w:tcPr>
          <w:p w14:paraId="2F68DFC5">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448" w:type="dxa"/>
            <w:vAlign w:val="center"/>
          </w:tcPr>
          <w:p w14:paraId="3EB87C5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1B3B6047">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11245AA3">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47EF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3FA9BEDB">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620" w:type="dxa"/>
            <w:vAlign w:val="center"/>
          </w:tcPr>
          <w:p w14:paraId="5D805D7B">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700" w:type="dxa"/>
            <w:vAlign w:val="center"/>
          </w:tcPr>
          <w:p w14:paraId="54EF5630">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448" w:type="dxa"/>
            <w:vAlign w:val="center"/>
          </w:tcPr>
          <w:p w14:paraId="3387064B">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0C77D074">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057015C8">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0A3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3C63A369">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620" w:type="dxa"/>
            <w:vAlign w:val="center"/>
          </w:tcPr>
          <w:p w14:paraId="24C65FF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700" w:type="dxa"/>
            <w:vAlign w:val="center"/>
          </w:tcPr>
          <w:p w14:paraId="72E0AE50">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448" w:type="dxa"/>
            <w:vAlign w:val="center"/>
          </w:tcPr>
          <w:p w14:paraId="61B109E1">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4C9001C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213BD435">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578C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14C468CE">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620" w:type="dxa"/>
            <w:vAlign w:val="center"/>
          </w:tcPr>
          <w:p w14:paraId="36A858F5">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700" w:type="dxa"/>
            <w:vAlign w:val="center"/>
          </w:tcPr>
          <w:p w14:paraId="09BA0F9E">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448" w:type="dxa"/>
            <w:vAlign w:val="center"/>
          </w:tcPr>
          <w:p w14:paraId="45167746">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1AEEB775">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297A517D">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2B28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36AD4EF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620" w:type="dxa"/>
            <w:vAlign w:val="center"/>
          </w:tcPr>
          <w:p w14:paraId="254BC171">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700" w:type="dxa"/>
            <w:vAlign w:val="center"/>
          </w:tcPr>
          <w:p w14:paraId="6A9A26E2">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448" w:type="dxa"/>
            <w:vAlign w:val="center"/>
          </w:tcPr>
          <w:p w14:paraId="7BA02EC2">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1BC5B46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185" w:type="dxa"/>
            <w:vAlign w:val="center"/>
          </w:tcPr>
          <w:p w14:paraId="4B9C0D9A">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4C16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5" w:type="dxa"/>
            <w:vAlign w:val="center"/>
          </w:tcPr>
          <w:p w14:paraId="7815A082">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620" w:type="dxa"/>
            <w:vAlign w:val="center"/>
          </w:tcPr>
          <w:p w14:paraId="5F60B15A">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700" w:type="dxa"/>
            <w:vAlign w:val="center"/>
          </w:tcPr>
          <w:p w14:paraId="37B7702A">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448" w:type="dxa"/>
            <w:vAlign w:val="center"/>
          </w:tcPr>
          <w:p w14:paraId="759E54B3">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185" w:type="dxa"/>
            <w:vAlign w:val="center"/>
          </w:tcPr>
          <w:p w14:paraId="285B83C2">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185" w:type="dxa"/>
            <w:vAlign w:val="center"/>
          </w:tcPr>
          <w:p w14:paraId="3C9A0178">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r>
      <w:tr w14:paraId="57F0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5" w:type="dxa"/>
            <w:vAlign w:val="center"/>
          </w:tcPr>
          <w:p w14:paraId="14B73A65">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620" w:type="dxa"/>
            <w:vAlign w:val="center"/>
          </w:tcPr>
          <w:p w14:paraId="260418A6">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700" w:type="dxa"/>
            <w:vAlign w:val="center"/>
          </w:tcPr>
          <w:p w14:paraId="7506413A">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448" w:type="dxa"/>
            <w:vAlign w:val="center"/>
          </w:tcPr>
          <w:p w14:paraId="44C676C6">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185" w:type="dxa"/>
            <w:vAlign w:val="center"/>
          </w:tcPr>
          <w:p w14:paraId="4E88FABB">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185" w:type="dxa"/>
            <w:vAlign w:val="center"/>
          </w:tcPr>
          <w:p w14:paraId="766298B7">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r>
      <w:tr w14:paraId="13B3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5" w:type="dxa"/>
            <w:vAlign w:val="center"/>
          </w:tcPr>
          <w:p w14:paraId="789D0698">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620" w:type="dxa"/>
            <w:vAlign w:val="center"/>
          </w:tcPr>
          <w:p w14:paraId="260DEB67">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700" w:type="dxa"/>
            <w:vAlign w:val="center"/>
          </w:tcPr>
          <w:p w14:paraId="6B28C75C">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448" w:type="dxa"/>
            <w:vAlign w:val="center"/>
          </w:tcPr>
          <w:p w14:paraId="43F8AB26">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185" w:type="dxa"/>
            <w:vAlign w:val="center"/>
          </w:tcPr>
          <w:p w14:paraId="46CF5250">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185" w:type="dxa"/>
            <w:vAlign w:val="center"/>
          </w:tcPr>
          <w:p w14:paraId="7C6D06B0">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r>
      <w:tr w14:paraId="6CFD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5" w:type="dxa"/>
            <w:vAlign w:val="center"/>
          </w:tcPr>
          <w:p w14:paraId="3D683C32">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620" w:type="dxa"/>
            <w:vAlign w:val="center"/>
          </w:tcPr>
          <w:p w14:paraId="7F203003">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700" w:type="dxa"/>
            <w:vAlign w:val="center"/>
          </w:tcPr>
          <w:p w14:paraId="74EAFE70">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448" w:type="dxa"/>
            <w:vAlign w:val="center"/>
          </w:tcPr>
          <w:p w14:paraId="5938F254">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185" w:type="dxa"/>
            <w:vAlign w:val="center"/>
          </w:tcPr>
          <w:p w14:paraId="7B18EA72">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185" w:type="dxa"/>
            <w:vAlign w:val="center"/>
          </w:tcPr>
          <w:p w14:paraId="10AC73C3">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r>
    </w:tbl>
    <w:p w14:paraId="7E94698E">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lang w:val="zh-CN"/>
          <w14:textFill>
            <w14:solidFill>
              <w14:schemeClr w14:val="tx1"/>
            </w14:solidFill>
          </w14:textFill>
        </w:rPr>
      </w:pPr>
    </w:p>
    <w:p w14:paraId="141F64F5">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供应商名称：（盖章）</w:t>
      </w:r>
    </w:p>
    <w:p w14:paraId="76E95B32">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lang w:val="zh-CN"/>
          <w14:textFill>
            <w14:solidFill>
              <w14:schemeClr w14:val="tx1"/>
            </w14:solidFill>
          </w14:textFill>
        </w:rPr>
      </w:pPr>
    </w:p>
    <w:p w14:paraId="129C58AF">
      <w:pPr>
        <w:widowControl/>
        <w:spacing w:beforeLines="0" w:afterLines="0" w:line="360" w:lineRule="auto"/>
        <w:ind w:firstLine="204" w:firstLineChars="85"/>
        <w:jc w:val="left"/>
        <w:rPr>
          <w:rFonts w:hint="eastAsia" w:ascii="宋体" w:hAnsi="宋体" w:eastAsia="宋体" w:cs="宋体"/>
          <w:b/>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4"/>
          <w:szCs w:val="24"/>
          <w:lang w:val="zh-CN"/>
          <w14:textFill>
            <w14:solidFill>
              <w14:schemeClr w14:val="tx1"/>
            </w14:solidFill>
          </w14:textFill>
        </w:rPr>
        <w:t>说明：如果行数不够，请自行增加。</w:t>
      </w:r>
    </w:p>
    <w:p w14:paraId="3A5BA188">
      <w:pPr>
        <w:widowControl/>
        <w:spacing w:beforeLines="0" w:afterLines="0" w:line="360" w:lineRule="auto"/>
        <w:jc w:val="lef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lang w:val="zh-CN"/>
          <w14:textFill>
            <w14:solidFill>
              <w14:schemeClr w14:val="tx1"/>
            </w14:solidFill>
          </w14:textFill>
        </w:rPr>
        <w:t>技术条款偏离表</w:t>
      </w:r>
      <w:r>
        <w:rPr>
          <w:rFonts w:hint="eastAsia" w:ascii="宋体" w:hAnsi="宋体" w:eastAsia="宋体" w:cs="宋体"/>
          <w:b/>
          <w:color w:val="000000" w:themeColor="text1"/>
          <w:sz w:val="24"/>
          <w:szCs w:val="24"/>
          <w14:textFill>
            <w14:solidFill>
              <w14:schemeClr w14:val="tx1"/>
            </w14:solidFill>
          </w14:textFill>
        </w:rPr>
        <w:t>(样表）</w:t>
      </w:r>
    </w:p>
    <w:p w14:paraId="29933FB2">
      <w:pPr>
        <w:widowControl/>
        <w:spacing w:beforeLines="0" w:afterLines="0" w:line="360" w:lineRule="auto"/>
        <w:ind w:firstLine="205" w:firstLineChars="85"/>
        <w:outlineLvl w:val="9"/>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项目名称：</w:t>
      </w:r>
    </w:p>
    <w:p w14:paraId="03A0DDBD">
      <w:pPr>
        <w:widowControl/>
        <w:spacing w:beforeLines="0" w:afterLines="0" w:line="360" w:lineRule="auto"/>
        <w:ind w:firstLine="205" w:firstLineChars="85"/>
        <w:outlineLvl w:val="9"/>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项目编号：</w:t>
      </w:r>
    </w:p>
    <w:p w14:paraId="74A1D2C5">
      <w:pPr>
        <w:widowControl/>
        <w:spacing w:beforeLines="0" w:afterLines="0" w:line="360" w:lineRule="auto"/>
        <w:ind w:firstLine="205" w:firstLineChars="85"/>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标段：</w:t>
      </w:r>
    </w:p>
    <w:tbl>
      <w:tblPr>
        <w:tblStyle w:val="16"/>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1422"/>
        <w:gridCol w:w="2898"/>
        <w:gridCol w:w="2352"/>
        <w:gridCol w:w="1275"/>
        <w:gridCol w:w="1275"/>
      </w:tblGrid>
      <w:tr w14:paraId="6AE4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38CB5AE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1422" w:type="dxa"/>
            <w:vAlign w:val="center"/>
          </w:tcPr>
          <w:p w14:paraId="400461C6">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磋商文件</w:t>
            </w:r>
          </w:p>
          <w:p w14:paraId="35693B7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条目号</w:t>
            </w:r>
          </w:p>
        </w:tc>
        <w:tc>
          <w:tcPr>
            <w:tcW w:w="2898" w:type="dxa"/>
            <w:vAlign w:val="center"/>
          </w:tcPr>
          <w:p w14:paraId="747988E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磋商文件要求的技术条款</w:t>
            </w:r>
          </w:p>
        </w:tc>
        <w:tc>
          <w:tcPr>
            <w:tcW w:w="2352" w:type="dxa"/>
            <w:vAlign w:val="center"/>
          </w:tcPr>
          <w:p w14:paraId="60CF5AC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响应</w:t>
            </w:r>
          </w:p>
        </w:tc>
        <w:tc>
          <w:tcPr>
            <w:tcW w:w="1275" w:type="dxa"/>
            <w:vAlign w:val="center"/>
          </w:tcPr>
          <w:p w14:paraId="17343FF8">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偏离（</w:t>
            </w:r>
            <w:r>
              <w:rPr>
                <w:rFonts w:hint="eastAsia" w:ascii="宋体" w:hAnsi="宋体" w:eastAsia="宋体" w:cs="宋体"/>
                <w:color w:val="000000" w:themeColor="text1"/>
                <w:sz w:val="24"/>
                <w:szCs w:val="24"/>
                <w14:textFill>
                  <w14:solidFill>
                    <w14:schemeClr w14:val="tx1"/>
                  </w14:solidFill>
                </w14:textFill>
              </w:rPr>
              <w:t>+/-)</w:t>
            </w:r>
          </w:p>
        </w:tc>
        <w:tc>
          <w:tcPr>
            <w:tcW w:w="1275" w:type="dxa"/>
            <w:vAlign w:val="center"/>
          </w:tcPr>
          <w:p w14:paraId="152A95D3">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偏离说明</w:t>
            </w:r>
          </w:p>
        </w:tc>
      </w:tr>
      <w:tr w14:paraId="2C95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34895B60">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422" w:type="dxa"/>
            <w:vAlign w:val="center"/>
          </w:tcPr>
          <w:p w14:paraId="19A86E27">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898" w:type="dxa"/>
            <w:vAlign w:val="center"/>
          </w:tcPr>
          <w:p w14:paraId="4BD89C98">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352" w:type="dxa"/>
            <w:vAlign w:val="center"/>
          </w:tcPr>
          <w:p w14:paraId="2DC025E3">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5DFA01C0">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697766F6">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1253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5D592CDD">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422" w:type="dxa"/>
            <w:vAlign w:val="center"/>
          </w:tcPr>
          <w:p w14:paraId="1DC1E74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898" w:type="dxa"/>
            <w:vAlign w:val="center"/>
          </w:tcPr>
          <w:p w14:paraId="185F9464">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352" w:type="dxa"/>
            <w:vAlign w:val="center"/>
          </w:tcPr>
          <w:p w14:paraId="382D8962">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691D2008">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29577ACA">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3704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14AC1B8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422" w:type="dxa"/>
            <w:vAlign w:val="center"/>
          </w:tcPr>
          <w:p w14:paraId="3E9301FE">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898" w:type="dxa"/>
            <w:vAlign w:val="center"/>
          </w:tcPr>
          <w:p w14:paraId="6FF17DE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352" w:type="dxa"/>
            <w:vAlign w:val="center"/>
          </w:tcPr>
          <w:p w14:paraId="450F0BD7">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46F7EEE4">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3FD2DA5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5CA2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772BCA99">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422" w:type="dxa"/>
            <w:vAlign w:val="center"/>
          </w:tcPr>
          <w:p w14:paraId="25C21EA2">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898" w:type="dxa"/>
            <w:vAlign w:val="center"/>
          </w:tcPr>
          <w:p w14:paraId="03445177">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352" w:type="dxa"/>
            <w:vAlign w:val="center"/>
          </w:tcPr>
          <w:p w14:paraId="5D868515">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1DA7D21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2D63D3EE">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58C6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46B17DCA">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422" w:type="dxa"/>
            <w:vAlign w:val="center"/>
          </w:tcPr>
          <w:p w14:paraId="59B93EB1">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898" w:type="dxa"/>
            <w:vAlign w:val="center"/>
          </w:tcPr>
          <w:p w14:paraId="3D0AB71C">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352" w:type="dxa"/>
            <w:vAlign w:val="center"/>
          </w:tcPr>
          <w:p w14:paraId="66737E17">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3843CDBA">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3C90A75E">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07D4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45" w:type="dxa"/>
            <w:vAlign w:val="center"/>
          </w:tcPr>
          <w:p w14:paraId="151010BF">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422" w:type="dxa"/>
            <w:vAlign w:val="center"/>
          </w:tcPr>
          <w:p w14:paraId="7897139B">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898" w:type="dxa"/>
            <w:vAlign w:val="center"/>
          </w:tcPr>
          <w:p w14:paraId="2528960E">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2352" w:type="dxa"/>
            <w:vAlign w:val="center"/>
          </w:tcPr>
          <w:p w14:paraId="629B82A2">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7F3EF6DD">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c>
          <w:tcPr>
            <w:tcW w:w="1275" w:type="dxa"/>
            <w:vAlign w:val="center"/>
          </w:tcPr>
          <w:p w14:paraId="043C11B9">
            <w:pPr>
              <w:widowControl/>
              <w:spacing w:beforeLines="0" w:afterLines="0" w:line="360" w:lineRule="auto"/>
              <w:ind w:firstLine="204" w:firstLineChars="85"/>
              <w:jc w:val="center"/>
              <w:outlineLvl w:val="9"/>
              <w:rPr>
                <w:rFonts w:hint="eastAsia" w:ascii="宋体" w:hAnsi="宋体" w:eastAsia="宋体" w:cs="宋体"/>
                <w:color w:val="000000" w:themeColor="text1"/>
                <w:sz w:val="24"/>
                <w:szCs w:val="24"/>
                <w:lang w:val="zh-CN"/>
                <w14:textFill>
                  <w14:solidFill>
                    <w14:schemeClr w14:val="tx1"/>
                  </w14:solidFill>
                </w14:textFill>
              </w:rPr>
            </w:pPr>
          </w:p>
        </w:tc>
      </w:tr>
      <w:tr w14:paraId="4867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5" w:type="dxa"/>
            <w:vAlign w:val="center"/>
          </w:tcPr>
          <w:p w14:paraId="555B37BD">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422" w:type="dxa"/>
            <w:vAlign w:val="center"/>
          </w:tcPr>
          <w:p w14:paraId="3B29E86F">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898" w:type="dxa"/>
            <w:vAlign w:val="center"/>
          </w:tcPr>
          <w:p w14:paraId="3E932108">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2352" w:type="dxa"/>
            <w:vAlign w:val="center"/>
          </w:tcPr>
          <w:p w14:paraId="04157EF2">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275" w:type="dxa"/>
            <w:vAlign w:val="center"/>
          </w:tcPr>
          <w:p w14:paraId="29891EF9">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c>
          <w:tcPr>
            <w:tcW w:w="1275" w:type="dxa"/>
            <w:vAlign w:val="center"/>
          </w:tcPr>
          <w:p w14:paraId="78BBD79B">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tc>
      </w:tr>
    </w:tbl>
    <w:p w14:paraId="5B81720F">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lang w:val="zh-CN"/>
          <w14:textFill>
            <w14:solidFill>
              <w14:schemeClr w14:val="tx1"/>
            </w14:solidFill>
          </w14:textFill>
        </w:rPr>
      </w:pPr>
    </w:p>
    <w:p w14:paraId="6EECB6B9">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供应商名称：（</w:t>
      </w:r>
      <w:r>
        <w:rPr>
          <w:rFonts w:hint="eastAsia" w:ascii="宋体" w:hAnsi="宋体" w:eastAsia="宋体" w:cs="宋体"/>
          <w:color w:val="000000" w:themeColor="text1"/>
          <w:sz w:val="24"/>
          <w:szCs w:val="24"/>
          <w14:textFill>
            <w14:solidFill>
              <w14:schemeClr w14:val="tx1"/>
            </w14:solidFill>
          </w14:textFill>
        </w:rPr>
        <w:t>公章</w:t>
      </w:r>
      <w:r>
        <w:rPr>
          <w:rFonts w:hint="eastAsia" w:ascii="宋体" w:hAnsi="宋体" w:eastAsia="宋体" w:cs="宋体"/>
          <w:color w:val="000000" w:themeColor="text1"/>
          <w:sz w:val="24"/>
          <w:szCs w:val="24"/>
          <w:lang w:val="zh-CN"/>
          <w14:textFill>
            <w14:solidFill>
              <w14:schemeClr w14:val="tx1"/>
            </w14:solidFill>
          </w14:textFill>
        </w:rPr>
        <w:t>）</w:t>
      </w:r>
    </w:p>
    <w:p w14:paraId="306E804B">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lang w:val="zh-CN"/>
          <w14:textFill>
            <w14:solidFill>
              <w14:schemeClr w14:val="tx1"/>
            </w14:solidFill>
          </w14:textFill>
        </w:rPr>
      </w:pPr>
    </w:p>
    <w:p w14:paraId="25330E58">
      <w:pPr>
        <w:widowControl/>
        <w:spacing w:beforeLines="0" w:afterLines="0" w:line="360" w:lineRule="auto"/>
        <w:ind w:firstLine="204" w:firstLineChars="85"/>
        <w:jc w:val="left"/>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说明：如果行数不够，请自行增加。</w:t>
      </w:r>
    </w:p>
    <w:p w14:paraId="2DC78341">
      <w:pPr>
        <w:spacing w:beforeLines="0" w:afterLines="0"/>
        <w:ind w:firstLine="240" w:firstLineChars="100"/>
        <w:outlineLvl w:val="9"/>
        <w:rPr>
          <w:rFonts w:hint="eastAsia" w:ascii="宋体" w:hAnsi="宋体" w:eastAsia="宋体" w:cs="宋体"/>
          <w:sz w:val="24"/>
          <w:szCs w:val="24"/>
        </w:rPr>
      </w:pPr>
    </w:p>
    <w:p w14:paraId="25038056">
      <w:pPr>
        <w:spacing w:beforeLines="0" w:afterLines="0"/>
        <w:ind w:firstLine="240" w:firstLineChars="100"/>
        <w:outlineLvl w:val="9"/>
        <w:rPr>
          <w:rFonts w:hint="eastAsia" w:ascii="宋体" w:hAnsi="宋体" w:eastAsia="宋体" w:cs="宋体"/>
          <w:sz w:val="24"/>
          <w:szCs w:val="24"/>
        </w:rPr>
      </w:pPr>
    </w:p>
    <w:p w14:paraId="37312013">
      <w:pPr>
        <w:spacing w:beforeLines="0" w:afterLines="0"/>
        <w:ind w:firstLine="240" w:firstLineChars="100"/>
        <w:outlineLvl w:val="9"/>
        <w:rPr>
          <w:rFonts w:hint="eastAsia" w:ascii="宋体" w:hAnsi="宋体" w:eastAsia="宋体" w:cs="宋体"/>
          <w:sz w:val="24"/>
          <w:szCs w:val="24"/>
        </w:rPr>
      </w:pPr>
      <w:r>
        <w:rPr>
          <w:rFonts w:hint="eastAsia" w:ascii="宋体" w:hAnsi="宋体" w:eastAsia="宋体" w:cs="宋体"/>
          <w:sz w:val="24"/>
          <w:szCs w:val="24"/>
        </w:rPr>
        <w:t>注：</w:t>
      </w:r>
    </w:p>
    <w:p w14:paraId="7C007944">
      <w:pPr>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hAnsi="宋体" w:eastAsia="宋体" w:cs="宋体"/>
          <w:sz w:val="24"/>
          <w:szCs w:val="24"/>
          <w:lang w:val="en-US" w:eastAsia="zh-CN"/>
        </w:rPr>
        <w:t>上述商务条款、技术条款偏离表，</w:t>
      </w:r>
      <w:r>
        <w:rPr>
          <w:rFonts w:hint="eastAsia" w:ascii="宋体" w:hAnsi="宋体" w:eastAsia="宋体" w:cs="宋体"/>
          <w:sz w:val="24"/>
          <w:szCs w:val="24"/>
        </w:rPr>
        <w:t>如供应商无任何偏离，可以不提供此表，或者在上表中注明“无任何偏离”并在响应文件中递交此表。如不提供此表，视同无任何偏离。</w:t>
      </w:r>
    </w:p>
    <w:p w14:paraId="63CB3A2E">
      <w:pPr>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(2)偏离包括正、负偏离，正偏离指供应商的响应高于磋商文件要求，负偏离指响应供应商的响应低于磋商文件要求。</w:t>
      </w:r>
    </w:p>
    <w:p w14:paraId="0163C684">
      <w:pPr>
        <w:spacing w:beforeLines="0" w:afterLines="0"/>
        <w:outlineLvl w:val="9"/>
        <w:rPr>
          <w:rFonts w:hint="eastAsia" w:ascii="宋体" w:hAnsi="宋体" w:eastAsia="宋体" w:cs="宋体"/>
          <w:b/>
        </w:rPr>
      </w:pPr>
    </w:p>
    <w:p w14:paraId="68E78767">
      <w:pPr>
        <w:spacing w:beforeLines="0" w:afterLines="0"/>
        <w:ind w:firstLine="480" w:firstLineChars="200"/>
        <w:outlineLvl w:val="9"/>
        <w:rPr>
          <w:rFonts w:hint="eastAsia" w:ascii="宋体" w:hAnsi="宋体" w:eastAsia="宋体" w:cs="宋体"/>
          <w:color w:val="000000" w:themeColor="text1"/>
          <w:sz w:val="24"/>
          <w:szCs w:val="24"/>
          <w14:textFill>
            <w14:solidFill>
              <w14:schemeClr w14:val="tx1"/>
            </w14:solidFill>
          </w14:textFill>
        </w:rPr>
      </w:pPr>
    </w:p>
    <w:p w14:paraId="612447DF">
      <w:pPr>
        <w:widowControl/>
        <w:adjustRightInd/>
        <w:spacing w:beforeLines="0" w:afterLines="0" w:line="360" w:lineRule="auto"/>
        <w:jc w:val="left"/>
        <w:textAlignment w:val="auto"/>
        <w:outlineLvl w:val="9"/>
        <w:rPr>
          <w:rFonts w:hint="eastAsia" w:hAnsi="宋体" w:eastAsia="宋体" w:cs="宋体"/>
          <w:b/>
          <w:bCs/>
          <w:sz w:val="32"/>
          <w:szCs w:val="32"/>
        </w:rPr>
      </w:pPr>
      <w:r>
        <w:rPr>
          <w:rFonts w:hint="eastAsia" w:hAnsi="宋体" w:eastAsia="宋体" w:cs="宋体"/>
          <w:b/>
          <w:bCs/>
          <w:sz w:val="32"/>
          <w:szCs w:val="32"/>
        </w:rPr>
        <w:br w:type="page"/>
      </w:r>
    </w:p>
    <w:p w14:paraId="60DBEB99">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w:t>
      </w:r>
    </w:p>
    <w:p w14:paraId="005A36A9">
      <w:pPr>
        <w:spacing w:before="0" w:beforeLines="0" w:after="0" w:afterLines="0" w:line="360" w:lineRule="auto"/>
        <w:jc w:val="center"/>
        <w:outlineLvl w:val="9"/>
        <w:rPr>
          <w:rFonts w:hint="eastAsia" w:ascii="宋体" w:hAnsi="宋体" w:eastAsia="宋体" w:cs="宋体"/>
          <w:b/>
          <w:bCs/>
          <w:i w:val="0"/>
          <w:iCs w:val="0"/>
          <w:sz w:val="30"/>
          <w:szCs w:val="30"/>
          <w:u w:val="none"/>
        </w:rPr>
      </w:pPr>
      <w:r>
        <w:rPr>
          <w:rFonts w:hint="eastAsia" w:ascii="宋体" w:hAnsi="宋体" w:eastAsia="宋体" w:cs="宋体"/>
          <w:b/>
          <w:bCs/>
          <w:i w:val="0"/>
          <w:iCs w:val="0"/>
          <w:sz w:val="30"/>
          <w:szCs w:val="30"/>
          <w:u w:val="none"/>
        </w:rPr>
        <w:t>磋商响应函</w:t>
      </w:r>
    </w:p>
    <w:p w14:paraId="07EA8AAA">
      <w:pPr>
        <w:spacing w:beforeLines="0" w:afterLine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江苏丰之源有限公司：</w:t>
      </w:r>
    </w:p>
    <w:p w14:paraId="23B4622F">
      <w:pPr>
        <w:pStyle w:val="51"/>
        <w:spacing w:beforeLines="0" w:afterLines="0"/>
        <w:outlineLvl w:val="9"/>
        <w:rPr>
          <w:rFonts w:hint="eastAsia" w:hAnsi="宋体" w:eastAsia="宋体" w:cs="宋体"/>
        </w:rPr>
      </w:pPr>
      <w:r>
        <w:rPr>
          <w:rFonts w:hint="eastAsia" w:hAnsi="宋体" w:eastAsia="宋体" w:cs="宋体"/>
        </w:rPr>
        <w:t>根据贵方组织的</w:t>
      </w:r>
      <w:r>
        <w:rPr>
          <w:rFonts w:hint="eastAsia" w:hAnsi="宋体" w:eastAsia="宋体" w:cs="宋体"/>
          <w:u w:val="single"/>
        </w:rPr>
        <w:t>江苏方源集团有限公司遴选电子加工设备及耗材供应商项目</w:t>
      </w:r>
      <w:r>
        <w:rPr>
          <w:rFonts w:hint="eastAsia" w:ascii="宋体" w:hAnsi="宋体" w:eastAsia="宋体" w:cs="宋体"/>
          <w:bCs w:val="0"/>
          <w:sz w:val="24"/>
          <w:szCs w:val="24"/>
          <w:shd w:val="clear" w:color="auto" w:fill="FFFFFF"/>
          <w:lang w:val="en-US" w:eastAsia="zh-CN"/>
        </w:rPr>
        <w:t>（</w:t>
      </w:r>
      <w:r>
        <w:rPr>
          <w:rFonts w:hint="eastAsia" w:ascii="宋体" w:hAnsi="宋体" w:eastAsia="宋体" w:cs="宋体"/>
          <w:b w:val="0"/>
          <w:bCs w:val="0"/>
          <w:kern w:val="0"/>
          <w:sz w:val="24"/>
          <w:szCs w:val="24"/>
          <w:shd w:val="clear" w:color="auto" w:fill="FFFFFF"/>
          <w:lang w:val="en-US" w:eastAsia="zh-CN"/>
        </w:rPr>
        <w:t>光纤和变压器加工设备及耗材</w:t>
      </w:r>
      <w:r>
        <w:rPr>
          <w:rFonts w:hint="eastAsia" w:ascii="宋体" w:hAnsi="宋体" w:eastAsia="宋体" w:cs="宋体"/>
          <w:bCs/>
          <w:sz w:val="24"/>
          <w:szCs w:val="24"/>
          <w:lang w:val="en-US" w:eastAsia="zh-CN"/>
        </w:rPr>
        <w:t>）</w:t>
      </w:r>
      <w:r>
        <w:rPr>
          <w:rFonts w:hint="eastAsia" w:hAnsi="宋体" w:eastAsia="宋体" w:cs="宋体"/>
        </w:rPr>
        <w:t>（编号：</w:t>
      </w:r>
      <w:r>
        <w:rPr>
          <w:rFonts w:hint="eastAsia" w:hAnsi="宋体" w:eastAsia="宋体" w:cs="宋体"/>
          <w:u w:val="single"/>
        </w:rPr>
        <w:t xml:space="preserve">               </w:t>
      </w:r>
      <w:r>
        <w:rPr>
          <w:rFonts w:hint="eastAsia" w:hAnsi="宋体" w:eastAsia="宋体" w:cs="宋体"/>
        </w:rPr>
        <w:t>）磋商文件，正式授权下述签字人_________ (姓名和职务)代表我方______________（供应商的名称），全权处理参加本次项目采购的有关事宜。</w:t>
      </w:r>
    </w:p>
    <w:p w14:paraId="5E710E47">
      <w:pPr>
        <w:pStyle w:val="51"/>
        <w:spacing w:beforeLines="0" w:afterLines="0"/>
        <w:outlineLvl w:val="9"/>
        <w:rPr>
          <w:rFonts w:hint="eastAsia" w:hAnsi="宋体" w:eastAsia="宋体" w:cs="宋体"/>
        </w:rPr>
      </w:pPr>
      <w:r>
        <w:rPr>
          <w:rFonts w:hint="eastAsia" w:hAnsi="宋体" w:eastAsia="宋体" w:cs="宋体"/>
        </w:rPr>
        <w:t>据此函，__________（签字人）兹宣布同意如下：</w:t>
      </w:r>
    </w:p>
    <w:p w14:paraId="2EED654F">
      <w:pPr>
        <w:pStyle w:val="51"/>
        <w:spacing w:beforeLines="0" w:afterLines="0"/>
        <w:outlineLvl w:val="9"/>
        <w:rPr>
          <w:rFonts w:hint="eastAsia" w:hAnsi="宋体" w:eastAsia="宋体" w:cs="宋体"/>
        </w:rPr>
      </w:pPr>
      <w:r>
        <w:rPr>
          <w:rFonts w:hint="eastAsia" w:hAnsi="宋体" w:eastAsia="宋体" w:cs="宋体"/>
        </w:rPr>
        <w:t>1.按磋商文件规定的各项要求，向采购人提供所需货物和服务。</w:t>
      </w:r>
    </w:p>
    <w:p w14:paraId="64BCD007">
      <w:pPr>
        <w:pStyle w:val="51"/>
        <w:spacing w:beforeLines="0" w:afterLines="0"/>
        <w:outlineLvl w:val="9"/>
        <w:rPr>
          <w:rFonts w:hint="eastAsia" w:hAnsi="宋体" w:eastAsia="宋体" w:cs="宋体"/>
        </w:rPr>
      </w:pPr>
      <w:r>
        <w:rPr>
          <w:rFonts w:hint="eastAsia" w:hAnsi="宋体" w:eastAsia="宋体" w:cs="宋体"/>
        </w:rPr>
        <w:t>2.我们已详细审核全部磋商文件及有效补充文件，我们知道必须放弃提出含糊不清或误解问题的权利。</w:t>
      </w:r>
    </w:p>
    <w:p w14:paraId="08AFBE08">
      <w:pPr>
        <w:pStyle w:val="51"/>
        <w:spacing w:beforeLines="0" w:afterLines="0"/>
        <w:outlineLvl w:val="9"/>
        <w:rPr>
          <w:rFonts w:hint="eastAsia" w:hAnsi="宋体" w:eastAsia="宋体" w:cs="宋体"/>
        </w:rPr>
      </w:pPr>
      <w:r>
        <w:rPr>
          <w:rFonts w:hint="eastAsia" w:hAnsi="宋体" w:eastAsia="宋体" w:cs="宋体"/>
        </w:rPr>
        <w:t>3.我们同意从规定的响应文件接收截止时间起遵循本响应文件，并在规定的响应有效期期满之前均具有约束力。</w:t>
      </w:r>
    </w:p>
    <w:p w14:paraId="3F8EB720">
      <w:pPr>
        <w:pStyle w:val="51"/>
        <w:spacing w:beforeLines="0" w:afterLines="0"/>
        <w:outlineLvl w:val="9"/>
        <w:rPr>
          <w:rFonts w:hint="eastAsia" w:hAnsi="宋体" w:eastAsia="宋体" w:cs="宋体"/>
        </w:rPr>
      </w:pPr>
      <w:r>
        <w:rPr>
          <w:rFonts w:hint="eastAsia" w:hAnsi="宋体" w:eastAsia="宋体" w:cs="宋体"/>
        </w:rPr>
        <w:t>4.同意向贵方提供贵方可能另外要求的与采购有关的任何证据或资料，并保证我方已提供和将要提供的文件是真实的、准确的。</w:t>
      </w:r>
    </w:p>
    <w:p w14:paraId="0D4BB1DD">
      <w:pPr>
        <w:pStyle w:val="51"/>
        <w:spacing w:beforeLines="0" w:afterLines="0"/>
        <w:outlineLvl w:val="9"/>
        <w:rPr>
          <w:rFonts w:hint="eastAsia" w:hAnsi="宋体" w:eastAsia="宋体" w:cs="宋体"/>
        </w:rPr>
      </w:pPr>
      <w:r>
        <w:rPr>
          <w:rFonts w:hint="eastAsia" w:hAnsi="宋体" w:eastAsia="宋体" w:cs="宋体"/>
        </w:rPr>
        <w:t>5.一旦我方成交，我方将根据磋商文件的规定，严格履行合同的责任和义务。</w:t>
      </w:r>
    </w:p>
    <w:p w14:paraId="1E808CC6">
      <w:pPr>
        <w:pStyle w:val="51"/>
        <w:spacing w:beforeLines="0" w:afterLines="0"/>
        <w:outlineLvl w:val="9"/>
        <w:rPr>
          <w:rFonts w:hint="eastAsia" w:hAnsi="宋体" w:eastAsia="宋体" w:cs="宋体"/>
        </w:rPr>
      </w:pPr>
      <w:r>
        <w:rPr>
          <w:rFonts w:hint="eastAsia" w:hAnsi="宋体" w:eastAsia="宋体" w:cs="宋体"/>
        </w:rPr>
        <w:t>6.遵守磋商文件中要求的收费项目和标准。</w:t>
      </w:r>
    </w:p>
    <w:p w14:paraId="2F20293F">
      <w:pPr>
        <w:pStyle w:val="51"/>
        <w:spacing w:beforeLines="0" w:afterLines="0"/>
        <w:outlineLvl w:val="9"/>
        <w:rPr>
          <w:rFonts w:hint="eastAsia" w:hAnsi="宋体" w:eastAsia="宋体" w:cs="宋体"/>
        </w:rPr>
      </w:pPr>
      <w:r>
        <w:rPr>
          <w:rFonts w:hint="eastAsia" w:hAnsi="宋体" w:eastAsia="宋体" w:cs="宋体"/>
        </w:rPr>
        <w:t>7.与本次采购有关的正式通讯地址为：</w:t>
      </w:r>
    </w:p>
    <w:p w14:paraId="0FA59D8B">
      <w:pPr>
        <w:pStyle w:val="51"/>
        <w:spacing w:beforeLines="0" w:afterLines="0"/>
        <w:outlineLvl w:val="9"/>
        <w:rPr>
          <w:rFonts w:hint="eastAsia" w:hAnsi="宋体" w:eastAsia="宋体" w:cs="宋体"/>
        </w:rPr>
      </w:pPr>
      <w:r>
        <w:rPr>
          <w:rFonts w:hint="eastAsia" w:hAnsi="宋体" w:eastAsia="宋体" w:cs="宋体"/>
        </w:rPr>
        <w:t>地 址：                         邮 编：</w:t>
      </w:r>
    </w:p>
    <w:p w14:paraId="2E2221B5">
      <w:pPr>
        <w:pStyle w:val="51"/>
        <w:spacing w:beforeLines="0" w:afterLines="0"/>
        <w:outlineLvl w:val="9"/>
        <w:rPr>
          <w:rFonts w:hint="eastAsia" w:hAnsi="宋体" w:eastAsia="宋体" w:cs="宋体"/>
          <w:lang w:eastAsia="zh-CN"/>
        </w:rPr>
      </w:pPr>
      <w:r>
        <w:rPr>
          <w:rFonts w:hint="eastAsia" w:hAnsi="宋体" w:eastAsia="宋体" w:cs="宋体"/>
        </w:rPr>
        <w:t>项目负责人(姓名及手机号码)</w:t>
      </w:r>
      <w:r>
        <w:rPr>
          <w:rFonts w:hint="eastAsia" w:hAnsi="宋体" w:eastAsia="宋体" w:cs="宋体"/>
          <w:lang w:eastAsia="zh-CN"/>
        </w:rPr>
        <w:t>：</w:t>
      </w:r>
    </w:p>
    <w:p w14:paraId="11FF9346">
      <w:pPr>
        <w:pStyle w:val="51"/>
        <w:spacing w:beforeLines="0" w:afterLines="0"/>
        <w:outlineLvl w:val="9"/>
        <w:rPr>
          <w:rFonts w:hint="eastAsia" w:hAnsi="宋体" w:eastAsia="宋体" w:cs="宋体"/>
        </w:rPr>
      </w:pPr>
      <w:r>
        <w:rPr>
          <w:rFonts w:hint="eastAsia" w:hAnsi="宋体" w:eastAsia="宋体" w:cs="宋体"/>
        </w:rPr>
        <w:t>电 话：                         传 真：</w:t>
      </w:r>
    </w:p>
    <w:p w14:paraId="63A766E1">
      <w:pPr>
        <w:pStyle w:val="51"/>
        <w:spacing w:beforeLines="0" w:afterLines="0"/>
        <w:outlineLvl w:val="9"/>
        <w:rPr>
          <w:rFonts w:hint="eastAsia" w:hAnsi="宋体" w:eastAsia="宋体" w:cs="宋体"/>
        </w:rPr>
      </w:pPr>
      <w:r>
        <w:rPr>
          <w:rFonts w:hint="eastAsia" w:hAnsi="宋体" w:eastAsia="宋体" w:cs="宋体"/>
        </w:rPr>
        <w:t xml:space="preserve">供应商开户行：                  账 户： </w:t>
      </w:r>
    </w:p>
    <w:p w14:paraId="4109BD83">
      <w:pPr>
        <w:pStyle w:val="51"/>
        <w:spacing w:beforeLines="0" w:afterLines="0"/>
        <w:outlineLvl w:val="9"/>
        <w:rPr>
          <w:rFonts w:hint="eastAsia" w:hAnsi="宋体" w:eastAsia="宋体" w:cs="宋体"/>
        </w:rPr>
      </w:pPr>
    </w:p>
    <w:p w14:paraId="65BD6B5E">
      <w:pPr>
        <w:pStyle w:val="51"/>
        <w:spacing w:beforeLines="0" w:afterLines="0"/>
        <w:outlineLvl w:val="9"/>
        <w:rPr>
          <w:rFonts w:hint="eastAsia" w:hAnsi="宋体" w:eastAsia="宋体" w:cs="宋体"/>
        </w:rPr>
      </w:pPr>
      <w:r>
        <w:rPr>
          <w:rFonts w:hint="eastAsia" w:hAnsi="宋体" w:eastAsia="宋体" w:cs="宋体"/>
        </w:rPr>
        <w:t xml:space="preserve">供应商名称（公章）：            </w:t>
      </w:r>
    </w:p>
    <w:p w14:paraId="1E04EBD9">
      <w:pPr>
        <w:pStyle w:val="51"/>
        <w:spacing w:beforeLines="0" w:afterLines="0"/>
        <w:outlineLvl w:val="9"/>
        <w:rPr>
          <w:rFonts w:hint="eastAsia" w:hAnsi="宋体" w:eastAsia="宋体" w:cs="宋体"/>
        </w:rPr>
      </w:pPr>
      <w:r>
        <w:rPr>
          <w:rFonts w:hint="eastAsia" w:hAnsi="宋体" w:eastAsia="宋体" w:cs="宋体"/>
        </w:rPr>
        <w:t>日 期：________年____月____日</w:t>
      </w:r>
    </w:p>
    <w:p w14:paraId="216FCF4E">
      <w:pPr>
        <w:spacing w:beforeLines="0" w:afterLines="0"/>
        <w:ind w:firstLine="204" w:firstLineChars="85"/>
        <w:jc w:val="left"/>
        <w:outlineLvl w:val="9"/>
        <w:rPr>
          <w:rFonts w:hint="eastAsia" w:ascii="宋体" w:hAnsi="宋体" w:eastAsia="宋体" w:cs="宋体"/>
          <w:color w:val="000000" w:themeColor="text1"/>
          <w:sz w:val="24"/>
          <w:szCs w:val="24"/>
          <w14:textFill>
            <w14:solidFill>
              <w14:schemeClr w14:val="tx1"/>
            </w14:solidFill>
          </w14:textFill>
        </w:rPr>
      </w:pPr>
    </w:p>
    <w:p w14:paraId="0DA69817">
      <w:pPr>
        <w:spacing w:before="0" w:beforeLines="0" w:after="0" w:afterLines="0"/>
        <w:jc w:val="left"/>
        <w:outlineLvl w:val="9"/>
        <w:rPr>
          <w:rFonts w:hint="default"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格式2</w:t>
      </w:r>
      <w:r>
        <w:rPr>
          <w:rFonts w:hint="eastAsia" w:hAnsi="宋体" w:eastAsia="宋体" w:cs="宋体"/>
          <w:b/>
          <w:bCs/>
          <w:color w:val="000000" w:themeColor="text1"/>
          <w:sz w:val="24"/>
          <w:szCs w:val="24"/>
          <w:lang w:val="en-US" w:eastAsia="zh-CN"/>
          <w14:textFill>
            <w14:solidFill>
              <w14:schemeClr w14:val="tx1"/>
            </w14:solidFill>
          </w14:textFill>
        </w:rPr>
        <w:t xml:space="preserve">                          </w:t>
      </w:r>
    </w:p>
    <w:p w14:paraId="2D835C06">
      <w:pPr>
        <w:spacing w:before="0" w:beforeLines="0" w:after="0" w:afterLines="0" w:line="360" w:lineRule="auto"/>
        <w:jc w:val="center"/>
        <w:outlineLvl w:val="9"/>
        <w:rPr>
          <w:rFonts w:hint="eastAsia" w:ascii="宋体" w:hAnsi="宋体" w:eastAsia="宋体" w:cs="宋体"/>
          <w:b/>
          <w:bCs/>
          <w:i w:val="0"/>
          <w:iCs w:val="0"/>
          <w:sz w:val="30"/>
          <w:szCs w:val="30"/>
          <w:u w:val="none"/>
        </w:rPr>
      </w:pPr>
      <w:r>
        <w:rPr>
          <w:rFonts w:hint="eastAsia" w:ascii="宋体" w:hAnsi="宋体" w:eastAsia="宋体" w:cs="宋体"/>
          <w:i/>
          <w:iCs/>
          <w:sz w:val="30"/>
          <w:szCs w:val="30"/>
        </w:rPr>
        <w:t xml:space="preserve"> </w:t>
      </w:r>
      <w:r>
        <w:rPr>
          <w:rFonts w:hint="eastAsia" w:ascii="宋体" w:hAnsi="宋体" w:eastAsia="宋体" w:cs="宋体"/>
          <w:b/>
          <w:bCs/>
          <w:i w:val="0"/>
          <w:iCs w:val="0"/>
          <w:sz w:val="30"/>
          <w:szCs w:val="30"/>
          <w:u w:val="none"/>
        </w:rPr>
        <w:t xml:space="preserve">  标段一响应报价表</w:t>
      </w:r>
    </w:p>
    <w:tbl>
      <w:tblPr>
        <w:tblStyle w:val="16"/>
        <w:tblW w:w="8865" w:type="dxa"/>
        <w:tblInd w:w="93" w:type="dxa"/>
        <w:tblLayout w:type="fixed"/>
        <w:tblCellMar>
          <w:top w:w="0" w:type="dxa"/>
          <w:left w:w="108" w:type="dxa"/>
          <w:bottom w:w="0" w:type="dxa"/>
          <w:right w:w="108" w:type="dxa"/>
        </w:tblCellMar>
      </w:tblPr>
      <w:tblGrid>
        <w:gridCol w:w="793"/>
        <w:gridCol w:w="1186"/>
        <w:gridCol w:w="749"/>
        <w:gridCol w:w="860"/>
        <w:gridCol w:w="886"/>
        <w:gridCol w:w="806"/>
        <w:gridCol w:w="795"/>
        <w:gridCol w:w="1215"/>
        <w:gridCol w:w="810"/>
        <w:gridCol w:w="765"/>
      </w:tblGrid>
      <w:tr w14:paraId="31A37625">
        <w:tblPrEx>
          <w:tblCellMar>
            <w:top w:w="0" w:type="dxa"/>
            <w:left w:w="108" w:type="dxa"/>
            <w:bottom w:w="0" w:type="dxa"/>
            <w:right w:w="108" w:type="dxa"/>
          </w:tblCellMar>
        </w:tblPrEx>
        <w:trPr>
          <w:trHeight w:val="191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50B5">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标段</w:t>
            </w:r>
          </w:p>
        </w:tc>
        <w:tc>
          <w:tcPr>
            <w:tcW w:w="1186" w:type="dxa"/>
            <w:tcBorders>
              <w:top w:val="single" w:color="000000" w:sz="4" w:space="0"/>
              <w:left w:val="single" w:color="000000" w:sz="4" w:space="0"/>
              <w:bottom w:val="nil"/>
              <w:right w:val="single" w:color="000000" w:sz="4" w:space="0"/>
            </w:tcBorders>
            <w:shd w:val="clear" w:color="auto" w:fill="auto"/>
            <w:vAlign w:val="center"/>
          </w:tcPr>
          <w:p w14:paraId="344FBF6A">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大类名称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3C7A">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序号</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400E">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产品名称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6FF3">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生产厂家</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94C3">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CD45">
            <w:pPr>
              <w:widowControl/>
              <w:spacing w:beforeLines="0" w:afterLines="0" w:line="240" w:lineRule="auto"/>
              <w:jc w:val="center"/>
              <w:textAlignment w:val="center"/>
              <w:outlineLvl w:val="9"/>
              <w:rPr>
                <w:rFonts w:hint="eastAsia" w:hAnsi="宋体" w:eastAsia="宋体" w:cs="宋体"/>
                <w:color w:val="000000"/>
                <w:sz w:val="24"/>
                <w:szCs w:val="24"/>
                <w:lang w:bidi="ar"/>
              </w:rPr>
            </w:pPr>
            <w:r>
              <w:rPr>
                <w:rFonts w:hint="eastAsia" w:hAnsi="宋体" w:eastAsia="宋体" w:cs="宋体"/>
                <w:color w:val="000000"/>
                <w:sz w:val="24"/>
                <w:szCs w:val="24"/>
                <w:lang w:bidi="ar"/>
              </w:rPr>
              <w:t>计量</w:t>
            </w:r>
          </w:p>
          <w:p w14:paraId="3432494B">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7253">
            <w:pPr>
              <w:widowControl/>
              <w:spacing w:beforeLines="0" w:afterLines="0" w:line="240" w:lineRule="auto"/>
              <w:jc w:val="center"/>
              <w:textAlignment w:val="center"/>
              <w:outlineLvl w:val="9"/>
              <w:rPr>
                <w:rFonts w:hint="eastAsia" w:hAnsi="宋体" w:eastAsia="宋体" w:cs="宋体"/>
                <w:sz w:val="24"/>
                <w:szCs w:val="24"/>
              </w:rPr>
            </w:pPr>
            <w:r>
              <w:rPr>
                <w:rFonts w:hint="eastAsia" w:ascii="宋体" w:hAnsi="宋体" w:eastAsia="宋体" w:cs="宋体"/>
                <w:sz w:val="24"/>
                <w:szCs w:val="24"/>
              </w:rPr>
              <w:t>磋商</w:t>
            </w:r>
            <w:r>
              <w:rPr>
                <w:rFonts w:hint="eastAsia" w:ascii="宋体" w:hAnsi="宋体" w:eastAsia="宋体" w:cs="宋体"/>
                <w:sz w:val="24"/>
                <w:szCs w:val="24"/>
                <w:lang w:val="en-US" w:eastAsia="zh-CN"/>
              </w:rPr>
              <w:t>开启日</w:t>
            </w:r>
            <w:r>
              <w:rPr>
                <w:rFonts w:hint="eastAsia" w:ascii="宋体" w:hAnsi="宋体" w:eastAsia="宋体" w:cs="宋体"/>
                <w:sz w:val="24"/>
                <w:szCs w:val="24"/>
              </w:rPr>
              <w:t>前2年</w:t>
            </w:r>
            <w:r>
              <w:rPr>
                <w:rFonts w:hint="eastAsia" w:ascii="宋体" w:hAnsi="宋体" w:eastAsia="宋体" w:cs="宋体"/>
                <w:sz w:val="24"/>
                <w:szCs w:val="24"/>
                <w:lang w:val="en-US" w:eastAsia="zh-CN"/>
              </w:rPr>
              <w:t>内</w:t>
            </w:r>
            <w:r>
              <w:rPr>
                <w:rFonts w:hint="eastAsia" w:ascii="宋体" w:hAnsi="宋体" w:eastAsia="宋体" w:cs="宋体"/>
                <w:sz w:val="24"/>
                <w:szCs w:val="24"/>
              </w:rPr>
              <w:t>供应江苏区域最新市场销售价格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C892">
            <w:pPr>
              <w:widowControl/>
              <w:spacing w:beforeLines="0" w:afterLines="0" w:line="240" w:lineRule="auto"/>
              <w:jc w:val="center"/>
              <w:textAlignment w:val="center"/>
              <w:outlineLvl w:val="9"/>
              <w:rPr>
                <w:rFonts w:hint="eastAsia" w:hAnsi="宋体" w:eastAsia="宋体" w:cs="宋体"/>
                <w:sz w:val="24"/>
                <w:szCs w:val="24"/>
              </w:rPr>
            </w:pPr>
            <w:r>
              <w:rPr>
                <w:rFonts w:hint="eastAsia" w:hAnsi="宋体" w:eastAsia="宋体" w:cs="宋体"/>
                <w:sz w:val="24"/>
                <w:szCs w:val="24"/>
                <w:lang w:bidi="ar"/>
              </w:rPr>
              <w:t>价格折扣比例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D73A">
            <w:pPr>
              <w:widowControl/>
              <w:spacing w:beforeLines="0" w:afterLines="0" w:line="240" w:lineRule="auto"/>
              <w:jc w:val="center"/>
              <w:textAlignment w:val="center"/>
              <w:outlineLvl w:val="9"/>
              <w:rPr>
                <w:rFonts w:hint="eastAsia" w:hAnsi="宋体" w:eastAsia="宋体" w:cs="宋体"/>
                <w:sz w:val="24"/>
                <w:szCs w:val="24"/>
                <w:lang w:val="en-US" w:eastAsia="zh-CN" w:bidi="ar"/>
              </w:rPr>
            </w:pPr>
            <w:r>
              <w:rPr>
                <w:rFonts w:hint="eastAsia" w:hAnsi="宋体" w:eastAsia="宋体" w:cs="宋体"/>
                <w:sz w:val="24"/>
                <w:szCs w:val="24"/>
                <w:lang w:val="en-US" w:eastAsia="zh-CN" w:bidi="ar"/>
              </w:rPr>
              <w:t>产品</w:t>
            </w:r>
            <w:r>
              <w:rPr>
                <w:rFonts w:hint="eastAsia" w:ascii="宋体" w:hAnsi="宋体" w:eastAsia="宋体" w:cs="宋体"/>
                <w:sz w:val="24"/>
                <w:szCs w:val="24"/>
                <w:lang w:val="en-US" w:eastAsia="zh-CN" w:bidi="ar"/>
              </w:rPr>
              <w:t>报价</w:t>
            </w:r>
          </w:p>
        </w:tc>
      </w:tr>
      <w:tr w14:paraId="23C7EDA8">
        <w:tblPrEx>
          <w:tblCellMar>
            <w:top w:w="0" w:type="dxa"/>
            <w:left w:w="108" w:type="dxa"/>
            <w:bottom w:w="0" w:type="dxa"/>
            <w:right w:w="108" w:type="dxa"/>
          </w:tblCellMar>
        </w:tblPrEx>
        <w:trPr>
          <w:trHeight w:val="380"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541B">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标段一</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0C4A4">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bidi="ar"/>
              </w:rPr>
              <w:t>裁缆绕扎线设备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7C23">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935E">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7EC5">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8AAB">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AAA1">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1979">
            <w:pPr>
              <w:spacing w:beforeLines="0" w:afterLines="0" w:line="240" w:lineRule="auto"/>
              <w:jc w:val="center"/>
              <w:outlineLvl w:val="9"/>
              <w:rPr>
                <w:rFonts w:hint="eastAsia" w:ascii="宋体" w:hAnsi="宋体" w:eastAsia="宋体" w:cs="宋体"/>
                <w:color w:val="000000"/>
                <w:sz w:val="22"/>
                <w:szCs w:val="22"/>
              </w:rPr>
            </w:pPr>
          </w:p>
        </w:tc>
        <w:tc>
          <w:tcPr>
            <w:tcW w:w="810" w:type="dxa"/>
            <w:vMerge w:val="restart"/>
            <w:tcBorders>
              <w:top w:val="single" w:color="000000" w:sz="4" w:space="0"/>
              <w:left w:val="single" w:color="000000" w:sz="4" w:space="0"/>
              <w:right w:val="single" w:color="000000" w:sz="4" w:space="0"/>
            </w:tcBorders>
            <w:shd w:val="clear" w:color="auto" w:fill="auto"/>
            <w:noWrap/>
            <w:vAlign w:val="center"/>
          </w:tcPr>
          <w:p w14:paraId="529CA46E">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E571">
            <w:pPr>
              <w:spacing w:beforeLines="0" w:afterLines="0" w:line="240" w:lineRule="auto"/>
              <w:jc w:val="center"/>
              <w:outlineLvl w:val="9"/>
              <w:rPr>
                <w:rFonts w:hint="eastAsia" w:ascii="宋体" w:hAnsi="宋体" w:eastAsia="宋体" w:cs="宋体"/>
                <w:color w:val="000000"/>
                <w:sz w:val="22"/>
                <w:szCs w:val="22"/>
              </w:rPr>
            </w:pPr>
          </w:p>
        </w:tc>
      </w:tr>
      <w:tr w14:paraId="4CF7A410">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91D4">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0A18">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8443">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93D2">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7657">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B05E">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51F8">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6ECD">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51696BB">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3FD0">
            <w:pPr>
              <w:spacing w:beforeLines="0" w:afterLines="0" w:line="240" w:lineRule="auto"/>
              <w:jc w:val="center"/>
              <w:outlineLvl w:val="9"/>
              <w:rPr>
                <w:rFonts w:hint="eastAsia" w:ascii="宋体" w:hAnsi="宋体" w:eastAsia="宋体" w:cs="宋体"/>
                <w:color w:val="000000"/>
                <w:sz w:val="22"/>
                <w:szCs w:val="22"/>
              </w:rPr>
            </w:pPr>
          </w:p>
        </w:tc>
      </w:tr>
      <w:tr w14:paraId="799ACA7D">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8D16">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11F9">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8266">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61D2">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780D">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8423">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6AA2">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BD5D">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3EED3F2">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101C">
            <w:pPr>
              <w:spacing w:beforeLines="0" w:afterLines="0" w:line="240" w:lineRule="auto"/>
              <w:jc w:val="center"/>
              <w:outlineLvl w:val="9"/>
              <w:rPr>
                <w:rFonts w:hint="eastAsia" w:ascii="宋体" w:hAnsi="宋体" w:eastAsia="宋体" w:cs="宋体"/>
                <w:color w:val="000000"/>
                <w:sz w:val="22"/>
                <w:szCs w:val="22"/>
              </w:rPr>
            </w:pPr>
          </w:p>
        </w:tc>
      </w:tr>
      <w:tr w14:paraId="5275D59E">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FC47">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85C5">
            <w:pPr>
              <w:widowControl/>
              <w:spacing w:beforeLines="0" w:afterLines="0" w:line="240" w:lineRule="auto"/>
              <w:jc w:val="left"/>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4"/>
                <w:szCs w:val="24"/>
                <w:lang w:bidi="ar"/>
              </w:rPr>
              <w:t>穿散设备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65E9">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CF4F">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DCB8">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AC73">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9CD1">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791A">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108044A7">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72C5">
            <w:pPr>
              <w:spacing w:beforeLines="0" w:afterLines="0" w:line="240" w:lineRule="auto"/>
              <w:jc w:val="center"/>
              <w:outlineLvl w:val="9"/>
              <w:rPr>
                <w:rFonts w:hint="eastAsia" w:ascii="宋体" w:hAnsi="宋体" w:eastAsia="宋体" w:cs="宋体"/>
                <w:color w:val="000000"/>
                <w:sz w:val="22"/>
                <w:szCs w:val="22"/>
              </w:rPr>
            </w:pPr>
          </w:p>
        </w:tc>
      </w:tr>
      <w:tr w14:paraId="470E603F">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5080">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5970">
            <w:pPr>
              <w:spacing w:beforeLines="0" w:afterLines="0" w:line="240" w:lineRule="auto"/>
              <w:jc w:val="left"/>
              <w:outlineLvl w:val="9"/>
              <w:rPr>
                <w:rFonts w:hint="eastAsia" w:ascii="宋体" w:hAnsi="宋体" w:eastAsia="宋体" w:cs="宋体"/>
                <w:color w:val="000000"/>
                <w:sz w:val="22"/>
                <w:szCs w:val="22"/>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720D">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9D94">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1DFC">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3843">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175D">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DA66">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5BE910F8">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D2EF">
            <w:pPr>
              <w:spacing w:beforeLines="0" w:afterLines="0" w:line="240" w:lineRule="auto"/>
              <w:jc w:val="center"/>
              <w:outlineLvl w:val="9"/>
              <w:rPr>
                <w:rFonts w:hint="eastAsia" w:ascii="宋体" w:hAnsi="宋体" w:eastAsia="宋体" w:cs="宋体"/>
                <w:color w:val="000000"/>
                <w:sz w:val="22"/>
                <w:szCs w:val="22"/>
              </w:rPr>
            </w:pPr>
          </w:p>
        </w:tc>
      </w:tr>
      <w:tr w14:paraId="21E84AA5">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17CA">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8978">
            <w:pPr>
              <w:spacing w:beforeLines="0" w:afterLines="0" w:line="240" w:lineRule="auto"/>
              <w:jc w:val="left"/>
              <w:outlineLvl w:val="9"/>
              <w:rPr>
                <w:rFonts w:hint="eastAsia" w:ascii="宋体" w:hAnsi="宋体" w:eastAsia="宋体" w:cs="宋体"/>
                <w:color w:val="000000"/>
                <w:sz w:val="22"/>
                <w:szCs w:val="22"/>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0333">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E11D">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00E9">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5D54">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B69E">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27C4">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77D082C">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EBAC">
            <w:pPr>
              <w:spacing w:beforeLines="0" w:afterLines="0" w:line="240" w:lineRule="auto"/>
              <w:jc w:val="center"/>
              <w:outlineLvl w:val="9"/>
              <w:rPr>
                <w:rFonts w:hint="eastAsia" w:ascii="宋体" w:hAnsi="宋体" w:eastAsia="宋体" w:cs="宋体"/>
                <w:color w:val="000000"/>
                <w:sz w:val="22"/>
                <w:szCs w:val="22"/>
              </w:rPr>
            </w:pPr>
          </w:p>
        </w:tc>
      </w:tr>
      <w:tr w14:paraId="112D0F7A">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BC09">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347A6">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bidi="ar"/>
              </w:rPr>
              <w:t>固化压接设备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6059">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5E89">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7788">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E2DC">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72DF">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ECD6">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198ECE43">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EC90">
            <w:pPr>
              <w:spacing w:beforeLines="0" w:afterLines="0" w:line="240" w:lineRule="auto"/>
              <w:jc w:val="center"/>
              <w:outlineLvl w:val="9"/>
              <w:rPr>
                <w:rFonts w:hint="eastAsia" w:ascii="宋体" w:hAnsi="宋体" w:eastAsia="宋体" w:cs="宋体"/>
                <w:color w:val="000000"/>
                <w:sz w:val="22"/>
                <w:szCs w:val="22"/>
              </w:rPr>
            </w:pPr>
          </w:p>
        </w:tc>
      </w:tr>
      <w:tr w14:paraId="2D6F2195">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1121">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23086">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BF1">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EF36">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A25C">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F60A">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D57A">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793B">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DCC921D">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89D3">
            <w:pPr>
              <w:spacing w:beforeLines="0" w:afterLines="0" w:line="240" w:lineRule="auto"/>
              <w:jc w:val="center"/>
              <w:outlineLvl w:val="9"/>
              <w:rPr>
                <w:rFonts w:hint="eastAsia" w:ascii="宋体" w:hAnsi="宋体" w:eastAsia="宋体" w:cs="宋体"/>
                <w:color w:val="000000"/>
                <w:sz w:val="22"/>
                <w:szCs w:val="22"/>
              </w:rPr>
            </w:pPr>
          </w:p>
        </w:tc>
      </w:tr>
      <w:tr w14:paraId="38BD4054">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60BA">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3EFA">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FE9C">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B0BD">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0A95">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E589">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7ECA">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8EBF">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735805A">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8DE">
            <w:pPr>
              <w:spacing w:beforeLines="0" w:afterLines="0" w:line="240" w:lineRule="auto"/>
              <w:jc w:val="center"/>
              <w:outlineLvl w:val="9"/>
              <w:rPr>
                <w:rFonts w:hint="eastAsia" w:ascii="宋体" w:hAnsi="宋体" w:eastAsia="宋体" w:cs="宋体"/>
                <w:color w:val="000000"/>
                <w:sz w:val="22"/>
                <w:szCs w:val="22"/>
              </w:rPr>
            </w:pPr>
          </w:p>
        </w:tc>
      </w:tr>
      <w:tr w14:paraId="71EB5DC3">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8F2E">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E6A22">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研磨设备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4933">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8E62">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82CD">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65CB">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EE22">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ED60">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1D830E9C">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FEA3">
            <w:pPr>
              <w:spacing w:beforeLines="0" w:afterLines="0" w:line="240" w:lineRule="auto"/>
              <w:jc w:val="center"/>
              <w:outlineLvl w:val="9"/>
              <w:rPr>
                <w:rFonts w:hint="eastAsia" w:ascii="宋体" w:hAnsi="宋体" w:eastAsia="宋体" w:cs="宋体"/>
                <w:color w:val="000000"/>
                <w:sz w:val="22"/>
                <w:szCs w:val="22"/>
              </w:rPr>
            </w:pPr>
          </w:p>
        </w:tc>
      </w:tr>
      <w:tr w14:paraId="27535C12">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B558">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6941">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A80B">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B88D">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7FEC">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F65A">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1B77">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CBDE">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8115C5C">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C907">
            <w:pPr>
              <w:spacing w:beforeLines="0" w:afterLines="0" w:line="240" w:lineRule="auto"/>
              <w:jc w:val="center"/>
              <w:outlineLvl w:val="9"/>
              <w:rPr>
                <w:rFonts w:hint="eastAsia" w:ascii="宋体" w:hAnsi="宋体" w:eastAsia="宋体" w:cs="宋体"/>
                <w:color w:val="000000"/>
                <w:sz w:val="22"/>
                <w:szCs w:val="22"/>
              </w:rPr>
            </w:pPr>
          </w:p>
        </w:tc>
      </w:tr>
      <w:tr w14:paraId="4505C76E">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7345">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C704">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82EB">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B310">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9744">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11CA">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B582">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730D">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B013B2F">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1BF5">
            <w:pPr>
              <w:spacing w:beforeLines="0" w:afterLines="0" w:line="240" w:lineRule="auto"/>
              <w:jc w:val="center"/>
              <w:outlineLvl w:val="9"/>
              <w:rPr>
                <w:rFonts w:hint="eastAsia" w:ascii="宋体" w:hAnsi="宋体" w:eastAsia="宋体" w:cs="宋体"/>
                <w:color w:val="000000"/>
                <w:sz w:val="22"/>
                <w:szCs w:val="22"/>
              </w:rPr>
            </w:pPr>
          </w:p>
        </w:tc>
      </w:tr>
      <w:tr w14:paraId="11919F2A">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6E75">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25715">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检测设备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3066">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BEC0">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0FF3">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0783">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E6C0">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CCCB">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0C9E8999">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CC7E">
            <w:pPr>
              <w:spacing w:beforeLines="0" w:afterLines="0" w:line="240" w:lineRule="auto"/>
              <w:jc w:val="center"/>
              <w:outlineLvl w:val="9"/>
              <w:rPr>
                <w:rFonts w:hint="eastAsia" w:ascii="宋体" w:hAnsi="宋体" w:eastAsia="宋体" w:cs="宋体"/>
                <w:color w:val="000000"/>
                <w:sz w:val="22"/>
                <w:szCs w:val="22"/>
              </w:rPr>
            </w:pPr>
          </w:p>
        </w:tc>
      </w:tr>
      <w:tr w14:paraId="2AFE14A1">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0D3C">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7F902">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7682">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06CB">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CAAD">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A2B1">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EDE6">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9A0F">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3DA5DC1A">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C571">
            <w:pPr>
              <w:spacing w:beforeLines="0" w:afterLines="0" w:line="240" w:lineRule="auto"/>
              <w:jc w:val="center"/>
              <w:outlineLvl w:val="9"/>
              <w:rPr>
                <w:rFonts w:hint="eastAsia" w:ascii="宋体" w:hAnsi="宋体" w:eastAsia="宋体" w:cs="宋体"/>
                <w:color w:val="000000"/>
                <w:sz w:val="22"/>
                <w:szCs w:val="22"/>
              </w:rPr>
            </w:pPr>
          </w:p>
        </w:tc>
      </w:tr>
      <w:tr w14:paraId="7F708571">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8CC4">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12F8D">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3C9">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1253">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B42E">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FA7C">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0033">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F114">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0CEAB168">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7835">
            <w:pPr>
              <w:spacing w:beforeLines="0" w:afterLines="0" w:line="240" w:lineRule="auto"/>
              <w:jc w:val="center"/>
              <w:outlineLvl w:val="9"/>
              <w:rPr>
                <w:rFonts w:hint="eastAsia" w:ascii="宋体" w:hAnsi="宋体" w:eastAsia="宋体" w:cs="宋体"/>
                <w:color w:val="000000"/>
                <w:sz w:val="22"/>
                <w:szCs w:val="22"/>
              </w:rPr>
            </w:pPr>
          </w:p>
        </w:tc>
      </w:tr>
      <w:tr w14:paraId="1CCD8570">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543F">
            <w:pPr>
              <w:spacing w:beforeLines="0" w:afterLines="0" w:line="240" w:lineRule="auto"/>
              <w:jc w:val="center"/>
              <w:outlineLvl w:val="9"/>
              <w:rPr>
                <w:rFonts w:hint="eastAsia" w:ascii="宋体" w:hAnsi="宋体" w:eastAsia="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5778">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其它设备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9A2E">
            <w:pPr>
              <w:spacing w:beforeLines="0" w:afterLines="0" w:line="240" w:lineRule="auto"/>
              <w:jc w:val="center"/>
              <w:outlineLvl w:val="9"/>
              <w:rPr>
                <w:rFonts w:hint="eastAsia" w:ascii="宋体" w:hAnsi="宋体" w:eastAsia="宋体" w:cs="宋体"/>
                <w:color w:val="000000"/>
                <w:sz w:val="22"/>
                <w:szCs w:val="22"/>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5B80">
            <w:pPr>
              <w:spacing w:beforeLines="0" w:afterLines="0" w:line="240" w:lineRule="auto"/>
              <w:jc w:val="center"/>
              <w:outlineLvl w:val="9"/>
              <w:rPr>
                <w:rFonts w:hint="eastAsia" w:ascii="宋体" w:hAnsi="宋体" w:eastAsia="宋体" w:cs="宋体"/>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4AD4">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082E">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CD74">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C0F0">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bottom w:val="single" w:color="000000" w:sz="4" w:space="0"/>
              <w:right w:val="single" w:color="000000" w:sz="4" w:space="0"/>
            </w:tcBorders>
            <w:shd w:val="clear" w:color="auto" w:fill="auto"/>
            <w:noWrap/>
            <w:vAlign w:val="center"/>
          </w:tcPr>
          <w:p w14:paraId="242E6C09">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84AC">
            <w:pPr>
              <w:spacing w:beforeLines="0" w:afterLines="0" w:line="240" w:lineRule="auto"/>
              <w:jc w:val="center"/>
              <w:outlineLvl w:val="9"/>
              <w:rPr>
                <w:rFonts w:hint="eastAsia" w:ascii="宋体" w:hAnsi="宋体" w:eastAsia="宋体" w:cs="宋体"/>
                <w:color w:val="000000"/>
                <w:sz w:val="22"/>
                <w:szCs w:val="22"/>
              </w:rPr>
            </w:pPr>
          </w:p>
        </w:tc>
      </w:tr>
    </w:tbl>
    <w:p w14:paraId="7F40E83F">
      <w:pPr>
        <w:spacing w:before="0" w:beforeLines="0" w:after="0" w:afterLines="0" w:line="360" w:lineRule="auto"/>
        <w:jc w:val="center"/>
        <w:outlineLvl w:val="9"/>
        <w:rPr>
          <w:rFonts w:hint="eastAsia" w:ascii="宋体" w:hAnsi="宋体" w:eastAsia="宋体" w:cs="宋体"/>
          <w:i/>
          <w:iCs/>
          <w:sz w:val="30"/>
          <w:szCs w:val="30"/>
          <w:u w:val="single"/>
        </w:rPr>
      </w:pPr>
    </w:p>
    <w:p w14:paraId="6FACAFA0">
      <w:pPr>
        <w:spacing w:before="0" w:beforeLines="0" w:after="0" w:afterLines="0" w:line="360" w:lineRule="auto"/>
        <w:jc w:val="center"/>
        <w:outlineLvl w:val="9"/>
        <w:rPr>
          <w:rFonts w:hint="eastAsia" w:ascii="宋体" w:hAnsi="宋体" w:eastAsia="宋体" w:cs="宋体"/>
          <w:b/>
          <w:bCs/>
          <w:i w:val="0"/>
          <w:iCs w:val="0"/>
          <w:sz w:val="30"/>
          <w:szCs w:val="30"/>
          <w:u w:val="none"/>
        </w:rPr>
      </w:pPr>
      <w:r>
        <w:rPr>
          <w:rFonts w:hint="eastAsia" w:ascii="宋体" w:hAnsi="宋体" w:eastAsia="宋体" w:cs="宋体"/>
          <w:b/>
          <w:bCs/>
          <w:i w:val="0"/>
          <w:iCs w:val="0"/>
          <w:sz w:val="30"/>
          <w:szCs w:val="30"/>
          <w:u w:val="none"/>
        </w:rPr>
        <w:t>标段二响应报价表</w:t>
      </w:r>
    </w:p>
    <w:tbl>
      <w:tblPr>
        <w:tblStyle w:val="16"/>
        <w:tblW w:w="8865" w:type="dxa"/>
        <w:tblInd w:w="93" w:type="dxa"/>
        <w:tblLayout w:type="fixed"/>
        <w:tblCellMar>
          <w:top w:w="0" w:type="dxa"/>
          <w:left w:w="108" w:type="dxa"/>
          <w:bottom w:w="0" w:type="dxa"/>
          <w:right w:w="108" w:type="dxa"/>
        </w:tblCellMar>
      </w:tblPr>
      <w:tblGrid>
        <w:gridCol w:w="793"/>
        <w:gridCol w:w="1186"/>
        <w:gridCol w:w="749"/>
        <w:gridCol w:w="887"/>
        <w:gridCol w:w="859"/>
        <w:gridCol w:w="806"/>
        <w:gridCol w:w="795"/>
        <w:gridCol w:w="1215"/>
        <w:gridCol w:w="810"/>
        <w:gridCol w:w="765"/>
      </w:tblGrid>
      <w:tr w14:paraId="17BF9D24">
        <w:tblPrEx>
          <w:tblCellMar>
            <w:top w:w="0" w:type="dxa"/>
            <w:left w:w="108" w:type="dxa"/>
            <w:bottom w:w="0" w:type="dxa"/>
            <w:right w:w="108" w:type="dxa"/>
          </w:tblCellMar>
        </w:tblPrEx>
        <w:trPr>
          <w:trHeight w:val="160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9FE2">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标段</w:t>
            </w:r>
          </w:p>
        </w:tc>
        <w:tc>
          <w:tcPr>
            <w:tcW w:w="1186" w:type="dxa"/>
            <w:tcBorders>
              <w:top w:val="single" w:color="000000" w:sz="4" w:space="0"/>
              <w:left w:val="single" w:color="000000" w:sz="4" w:space="0"/>
              <w:bottom w:val="nil"/>
              <w:right w:val="single" w:color="000000" w:sz="4" w:space="0"/>
            </w:tcBorders>
            <w:shd w:val="clear" w:color="auto" w:fill="auto"/>
            <w:vAlign w:val="center"/>
          </w:tcPr>
          <w:p w14:paraId="7844F4DF">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大类名称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D962">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序号</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EA0B">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产品名称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45A">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生产厂家</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79B2">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B3F4">
            <w:pPr>
              <w:widowControl/>
              <w:spacing w:beforeLines="0" w:afterLines="0" w:line="240" w:lineRule="auto"/>
              <w:jc w:val="center"/>
              <w:textAlignment w:val="center"/>
              <w:outlineLvl w:val="9"/>
              <w:rPr>
                <w:rFonts w:hint="eastAsia" w:hAnsi="宋体" w:eastAsia="宋体" w:cs="宋体"/>
                <w:color w:val="000000"/>
                <w:sz w:val="24"/>
                <w:szCs w:val="24"/>
                <w:lang w:bidi="ar"/>
              </w:rPr>
            </w:pPr>
            <w:r>
              <w:rPr>
                <w:rFonts w:hint="eastAsia" w:hAnsi="宋体" w:eastAsia="宋体" w:cs="宋体"/>
                <w:color w:val="000000"/>
                <w:sz w:val="24"/>
                <w:szCs w:val="24"/>
                <w:lang w:bidi="ar"/>
              </w:rPr>
              <w:t>计量</w:t>
            </w:r>
          </w:p>
          <w:p w14:paraId="3D47EC13">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D948">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ascii="宋体" w:hAnsi="宋体" w:eastAsia="宋体" w:cs="宋体"/>
                <w:sz w:val="24"/>
                <w:szCs w:val="24"/>
              </w:rPr>
              <w:t>磋商</w:t>
            </w:r>
            <w:r>
              <w:rPr>
                <w:rFonts w:hint="eastAsia" w:ascii="宋体" w:hAnsi="宋体" w:eastAsia="宋体" w:cs="宋体"/>
                <w:sz w:val="24"/>
                <w:szCs w:val="24"/>
                <w:lang w:val="en-US" w:eastAsia="zh-CN"/>
              </w:rPr>
              <w:t>开启日</w:t>
            </w:r>
            <w:r>
              <w:rPr>
                <w:rFonts w:hint="eastAsia" w:ascii="宋体" w:hAnsi="宋体" w:eastAsia="宋体" w:cs="宋体"/>
                <w:sz w:val="24"/>
                <w:szCs w:val="24"/>
              </w:rPr>
              <w:t>前2年</w:t>
            </w:r>
            <w:r>
              <w:rPr>
                <w:rFonts w:hint="eastAsia" w:ascii="宋体" w:hAnsi="宋体" w:eastAsia="宋体" w:cs="宋体"/>
                <w:sz w:val="24"/>
                <w:szCs w:val="24"/>
                <w:lang w:val="en-US" w:eastAsia="zh-CN"/>
              </w:rPr>
              <w:t>内</w:t>
            </w:r>
            <w:r>
              <w:rPr>
                <w:rFonts w:hint="eastAsia" w:ascii="宋体" w:hAnsi="宋体" w:eastAsia="宋体" w:cs="宋体"/>
                <w:sz w:val="24"/>
                <w:szCs w:val="24"/>
              </w:rPr>
              <w:t>供应江苏区域最新市场销售价格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CF1E">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价格折扣比例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2A11">
            <w:pPr>
              <w:widowControl/>
              <w:spacing w:beforeLines="0" w:afterLines="0" w:line="240" w:lineRule="auto"/>
              <w:jc w:val="center"/>
              <w:textAlignment w:val="center"/>
              <w:outlineLvl w:val="9"/>
              <w:rPr>
                <w:rFonts w:hint="eastAsia" w:hAnsi="宋体" w:eastAsia="宋体" w:cs="宋体"/>
                <w:color w:val="000000"/>
                <w:sz w:val="24"/>
                <w:szCs w:val="24"/>
                <w:lang w:bidi="ar"/>
              </w:rPr>
            </w:pPr>
            <w:r>
              <w:rPr>
                <w:rFonts w:hint="eastAsia" w:hAnsi="宋体" w:eastAsia="宋体" w:cs="宋体"/>
                <w:sz w:val="24"/>
                <w:szCs w:val="24"/>
                <w:lang w:val="en-US" w:eastAsia="zh-CN" w:bidi="ar"/>
              </w:rPr>
              <w:t>产品</w:t>
            </w:r>
            <w:r>
              <w:rPr>
                <w:rFonts w:hint="eastAsia" w:hAnsi="宋体" w:eastAsia="宋体" w:cs="宋体"/>
                <w:sz w:val="24"/>
                <w:szCs w:val="24"/>
                <w:lang w:bidi="ar"/>
              </w:rPr>
              <w:t>报价</w:t>
            </w:r>
          </w:p>
        </w:tc>
      </w:tr>
      <w:tr w14:paraId="5B013ED8">
        <w:tblPrEx>
          <w:tblCellMar>
            <w:top w:w="0" w:type="dxa"/>
            <w:left w:w="108" w:type="dxa"/>
            <w:bottom w:w="0" w:type="dxa"/>
            <w:right w:w="108" w:type="dxa"/>
          </w:tblCellMar>
        </w:tblPrEx>
        <w:trPr>
          <w:trHeight w:val="380"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026C">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188B099B">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365F8A82">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54110BA8">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429295A6">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48D47411">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标段二</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52DEA">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bCs/>
                <w:sz w:val="24"/>
                <w:szCs w:val="24"/>
              </w:rPr>
              <w:t>切线绕线设备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B71F">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1B1">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7FCC">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1440">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EE08">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9F0F">
            <w:pPr>
              <w:spacing w:beforeLines="0" w:afterLines="0" w:line="240" w:lineRule="auto"/>
              <w:jc w:val="center"/>
              <w:outlineLvl w:val="9"/>
              <w:rPr>
                <w:rFonts w:hint="eastAsia" w:ascii="宋体" w:hAnsi="宋体" w:eastAsia="宋体" w:cs="宋体"/>
                <w:color w:val="000000"/>
                <w:sz w:val="22"/>
                <w:szCs w:val="22"/>
              </w:rPr>
            </w:pPr>
          </w:p>
        </w:tc>
        <w:tc>
          <w:tcPr>
            <w:tcW w:w="810" w:type="dxa"/>
            <w:vMerge w:val="restart"/>
            <w:tcBorders>
              <w:top w:val="single" w:color="000000" w:sz="4" w:space="0"/>
              <w:left w:val="single" w:color="000000" w:sz="4" w:space="0"/>
              <w:right w:val="single" w:color="000000" w:sz="4" w:space="0"/>
            </w:tcBorders>
            <w:shd w:val="clear" w:color="auto" w:fill="auto"/>
            <w:noWrap/>
            <w:vAlign w:val="center"/>
          </w:tcPr>
          <w:p w14:paraId="4AF4366F">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8624">
            <w:pPr>
              <w:spacing w:beforeLines="0" w:afterLines="0" w:line="240" w:lineRule="auto"/>
              <w:jc w:val="center"/>
              <w:outlineLvl w:val="9"/>
              <w:rPr>
                <w:rFonts w:hint="eastAsia" w:ascii="宋体" w:hAnsi="宋体" w:eastAsia="宋体" w:cs="宋体"/>
                <w:color w:val="000000"/>
                <w:sz w:val="22"/>
                <w:szCs w:val="22"/>
              </w:rPr>
            </w:pPr>
          </w:p>
        </w:tc>
      </w:tr>
      <w:tr w14:paraId="28FE52D1">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8420">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C0D9D">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F058">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492F">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5915">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CC3B">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CB09">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B776">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B9AB239">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59FE">
            <w:pPr>
              <w:spacing w:beforeLines="0" w:afterLines="0" w:line="240" w:lineRule="auto"/>
              <w:jc w:val="center"/>
              <w:outlineLvl w:val="9"/>
              <w:rPr>
                <w:rFonts w:hint="eastAsia" w:ascii="宋体" w:hAnsi="宋体" w:eastAsia="宋体" w:cs="宋体"/>
                <w:color w:val="000000"/>
                <w:sz w:val="22"/>
                <w:szCs w:val="22"/>
              </w:rPr>
            </w:pPr>
          </w:p>
        </w:tc>
      </w:tr>
      <w:tr w14:paraId="61331311">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1B00">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9A0B6">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9347">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CC2B">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D4DE">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2660">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9E52">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ADDE">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5B5A9F5">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463D">
            <w:pPr>
              <w:spacing w:beforeLines="0" w:afterLines="0" w:line="240" w:lineRule="auto"/>
              <w:jc w:val="center"/>
              <w:outlineLvl w:val="9"/>
              <w:rPr>
                <w:rFonts w:hint="eastAsia" w:ascii="宋体" w:hAnsi="宋体" w:eastAsia="宋体" w:cs="宋体"/>
                <w:color w:val="000000"/>
                <w:sz w:val="22"/>
                <w:szCs w:val="22"/>
              </w:rPr>
            </w:pPr>
          </w:p>
        </w:tc>
      </w:tr>
      <w:tr w14:paraId="492BC192">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F697">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2C53">
            <w:pPr>
              <w:widowControl/>
              <w:spacing w:beforeLines="0" w:afterLines="0" w:line="240" w:lineRule="auto"/>
              <w:jc w:val="left"/>
              <w:textAlignment w:val="center"/>
              <w:outlineLvl w:val="9"/>
              <w:rPr>
                <w:rFonts w:hint="eastAsia" w:ascii="宋体" w:hAnsi="宋体" w:eastAsia="宋体" w:cs="宋体"/>
                <w:color w:val="000000"/>
                <w:sz w:val="22"/>
                <w:szCs w:val="22"/>
              </w:rPr>
            </w:pPr>
            <w:r>
              <w:rPr>
                <w:rFonts w:hint="eastAsia" w:ascii="宋体" w:hAnsi="宋体" w:eastAsia="宋体" w:cs="宋体"/>
                <w:bCs/>
                <w:sz w:val="24"/>
                <w:szCs w:val="24"/>
              </w:rPr>
              <w:t>焊接设备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5484">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0E75">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3281">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8A1A">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2C69">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5B8D">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C8704F6">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ECA5">
            <w:pPr>
              <w:spacing w:beforeLines="0" w:afterLines="0" w:line="240" w:lineRule="auto"/>
              <w:jc w:val="center"/>
              <w:outlineLvl w:val="9"/>
              <w:rPr>
                <w:rFonts w:hint="eastAsia" w:ascii="宋体" w:hAnsi="宋体" w:eastAsia="宋体" w:cs="宋体"/>
                <w:color w:val="000000"/>
                <w:sz w:val="22"/>
                <w:szCs w:val="22"/>
              </w:rPr>
            </w:pPr>
          </w:p>
        </w:tc>
      </w:tr>
      <w:tr w14:paraId="4D2D608B">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0F1">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203A">
            <w:pPr>
              <w:spacing w:beforeLines="0" w:afterLines="0" w:line="240" w:lineRule="auto"/>
              <w:jc w:val="left"/>
              <w:outlineLvl w:val="9"/>
              <w:rPr>
                <w:rFonts w:hint="eastAsia" w:ascii="宋体" w:hAnsi="宋体" w:eastAsia="宋体" w:cs="宋体"/>
                <w:color w:val="000000"/>
                <w:sz w:val="22"/>
                <w:szCs w:val="22"/>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499C">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FD64">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DF8A">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FA13">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C35B">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A3D2">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1C06A4F7">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4F09">
            <w:pPr>
              <w:spacing w:beforeLines="0" w:afterLines="0" w:line="240" w:lineRule="auto"/>
              <w:jc w:val="center"/>
              <w:outlineLvl w:val="9"/>
              <w:rPr>
                <w:rFonts w:hint="eastAsia" w:ascii="宋体" w:hAnsi="宋体" w:eastAsia="宋体" w:cs="宋体"/>
                <w:color w:val="000000"/>
                <w:sz w:val="22"/>
                <w:szCs w:val="22"/>
              </w:rPr>
            </w:pPr>
          </w:p>
        </w:tc>
      </w:tr>
      <w:tr w14:paraId="05BE6144">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F88A">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2205">
            <w:pPr>
              <w:spacing w:beforeLines="0" w:afterLines="0" w:line="240" w:lineRule="auto"/>
              <w:jc w:val="left"/>
              <w:outlineLvl w:val="9"/>
              <w:rPr>
                <w:rFonts w:hint="eastAsia" w:ascii="宋体" w:hAnsi="宋体" w:eastAsia="宋体" w:cs="宋体"/>
                <w:color w:val="000000"/>
                <w:sz w:val="22"/>
                <w:szCs w:val="22"/>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6B03">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ABE0">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0174">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7269">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A7FA">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E19C">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722DFC5B">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560E">
            <w:pPr>
              <w:spacing w:beforeLines="0" w:afterLines="0" w:line="240" w:lineRule="auto"/>
              <w:jc w:val="center"/>
              <w:outlineLvl w:val="9"/>
              <w:rPr>
                <w:rFonts w:hint="eastAsia" w:ascii="宋体" w:hAnsi="宋体" w:eastAsia="宋体" w:cs="宋体"/>
                <w:color w:val="000000"/>
                <w:sz w:val="22"/>
                <w:szCs w:val="22"/>
              </w:rPr>
            </w:pPr>
          </w:p>
        </w:tc>
      </w:tr>
      <w:tr w14:paraId="4FE72661">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ECD3">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0BB50">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bCs/>
                <w:sz w:val="24"/>
                <w:szCs w:val="24"/>
              </w:rPr>
              <w:t>包胶设备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A9FD">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6074">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F139">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7016">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3801">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8D7D">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3DD9F0DD">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483E">
            <w:pPr>
              <w:spacing w:beforeLines="0" w:afterLines="0" w:line="240" w:lineRule="auto"/>
              <w:jc w:val="center"/>
              <w:outlineLvl w:val="9"/>
              <w:rPr>
                <w:rFonts w:hint="eastAsia" w:ascii="宋体" w:hAnsi="宋体" w:eastAsia="宋体" w:cs="宋体"/>
                <w:color w:val="000000"/>
                <w:sz w:val="22"/>
                <w:szCs w:val="22"/>
              </w:rPr>
            </w:pPr>
          </w:p>
        </w:tc>
      </w:tr>
      <w:tr w14:paraId="0911AFD0">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AECA">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FEF8">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B171">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AF19">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FA49">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CDD5">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A6ED">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023D">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3DB05267">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C22A">
            <w:pPr>
              <w:spacing w:beforeLines="0" w:afterLines="0" w:line="240" w:lineRule="auto"/>
              <w:jc w:val="center"/>
              <w:outlineLvl w:val="9"/>
              <w:rPr>
                <w:rFonts w:hint="eastAsia" w:ascii="宋体" w:hAnsi="宋体" w:eastAsia="宋体" w:cs="宋体"/>
                <w:color w:val="000000"/>
                <w:sz w:val="22"/>
                <w:szCs w:val="22"/>
              </w:rPr>
            </w:pPr>
          </w:p>
        </w:tc>
      </w:tr>
      <w:tr w14:paraId="2B7FBD63">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B358">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C8051">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3136">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4468">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9155">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71D9">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3E8E">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4124">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07AB87E8">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BC2A">
            <w:pPr>
              <w:spacing w:beforeLines="0" w:afterLines="0" w:line="240" w:lineRule="auto"/>
              <w:jc w:val="center"/>
              <w:outlineLvl w:val="9"/>
              <w:rPr>
                <w:rFonts w:hint="eastAsia" w:ascii="宋体" w:hAnsi="宋体" w:eastAsia="宋体" w:cs="宋体"/>
                <w:color w:val="000000"/>
                <w:sz w:val="22"/>
                <w:szCs w:val="22"/>
              </w:rPr>
            </w:pPr>
          </w:p>
        </w:tc>
      </w:tr>
      <w:tr w14:paraId="45218EED">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3B26">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A4EBC">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bCs/>
                <w:sz w:val="24"/>
                <w:szCs w:val="24"/>
              </w:rPr>
              <w:t>加热设备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B5CF">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2041">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1365">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B044">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6E22">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3313">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436D557">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4C4D">
            <w:pPr>
              <w:spacing w:beforeLines="0" w:afterLines="0" w:line="240" w:lineRule="auto"/>
              <w:jc w:val="center"/>
              <w:outlineLvl w:val="9"/>
              <w:rPr>
                <w:rFonts w:hint="eastAsia" w:ascii="宋体" w:hAnsi="宋体" w:eastAsia="宋体" w:cs="宋体"/>
                <w:color w:val="000000"/>
                <w:sz w:val="22"/>
                <w:szCs w:val="22"/>
              </w:rPr>
            </w:pPr>
          </w:p>
        </w:tc>
      </w:tr>
      <w:tr w14:paraId="5026DC18">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91EE">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FA387">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44B2">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428E">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E6D2">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27EE">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7DA4">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801B">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68A42AB">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C1E7">
            <w:pPr>
              <w:spacing w:beforeLines="0" w:afterLines="0" w:line="240" w:lineRule="auto"/>
              <w:jc w:val="center"/>
              <w:outlineLvl w:val="9"/>
              <w:rPr>
                <w:rFonts w:hint="eastAsia" w:ascii="宋体" w:hAnsi="宋体" w:eastAsia="宋体" w:cs="宋体"/>
                <w:color w:val="000000"/>
                <w:sz w:val="22"/>
                <w:szCs w:val="22"/>
              </w:rPr>
            </w:pPr>
          </w:p>
        </w:tc>
      </w:tr>
      <w:tr w14:paraId="5CA9FAEB">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B634">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C556">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0741">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F385">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9D7A">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67C9">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5076">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C2D5">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51DE231">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899D">
            <w:pPr>
              <w:spacing w:beforeLines="0" w:afterLines="0" w:line="240" w:lineRule="auto"/>
              <w:jc w:val="center"/>
              <w:outlineLvl w:val="9"/>
              <w:rPr>
                <w:rFonts w:hint="eastAsia" w:ascii="宋体" w:hAnsi="宋体" w:eastAsia="宋体" w:cs="宋体"/>
                <w:color w:val="000000"/>
                <w:sz w:val="22"/>
                <w:szCs w:val="22"/>
              </w:rPr>
            </w:pPr>
          </w:p>
        </w:tc>
      </w:tr>
      <w:tr w14:paraId="7ABE5890">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A8A3">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DA893">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bCs/>
                <w:sz w:val="24"/>
                <w:szCs w:val="24"/>
              </w:rPr>
              <w:t>检测设备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1AC9">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B7E5">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0C5A">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D298">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CE8">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32F6">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C9B31C8">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B111">
            <w:pPr>
              <w:spacing w:beforeLines="0" w:afterLines="0" w:line="240" w:lineRule="auto"/>
              <w:jc w:val="center"/>
              <w:outlineLvl w:val="9"/>
              <w:rPr>
                <w:rFonts w:hint="eastAsia" w:ascii="宋体" w:hAnsi="宋体" w:eastAsia="宋体" w:cs="宋体"/>
                <w:color w:val="000000"/>
                <w:sz w:val="22"/>
                <w:szCs w:val="22"/>
              </w:rPr>
            </w:pPr>
          </w:p>
        </w:tc>
      </w:tr>
      <w:tr w14:paraId="1E793F07">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8960">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577E">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DD1E">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4D22">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AAE6">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1D0F">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3FA9">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1A4E">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5D36486E">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92E6">
            <w:pPr>
              <w:spacing w:beforeLines="0" w:afterLines="0" w:line="240" w:lineRule="auto"/>
              <w:jc w:val="center"/>
              <w:outlineLvl w:val="9"/>
              <w:rPr>
                <w:rFonts w:hint="eastAsia" w:ascii="宋体" w:hAnsi="宋体" w:eastAsia="宋体" w:cs="宋体"/>
                <w:color w:val="000000"/>
                <w:sz w:val="22"/>
                <w:szCs w:val="22"/>
              </w:rPr>
            </w:pPr>
          </w:p>
        </w:tc>
      </w:tr>
      <w:tr w14:paraId="734A9D93">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425E">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F4DF">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2A34">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EE09">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4ED9">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479B">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70DA">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0159">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0C47AF8B">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2E8B">
            <w:pPr>
              <w:spacing w:beforeLines="0" w:afterLines="0" w:line="240" w:lineRule="auto"/>
              <w:jc w:val="center"/>
              <w:outlineLvl w:val="9"/>
              <w:rPr>
                <w:rFonts w:hint="eastAsia" w:ascii="宋体" w:hAnsi="宋体" w:eastAsia="宋体" w:cs="宋体"/>
                <w:color w:val="000000"/>
                <w:sz w:val="22"/>
                <w:szCs w:val="22"/>
              </w:rPr>
            </w:pPr>
          </w:p>
        </w:tc>
      </w:tr>
      <w:tr w14:paraId="6575BC63">
        <w:tblPrEx>
          <w:tblCellMar>
            <w:top w:w="0" w:type="dxa"/>
            <w:left w:w="108" w:type="dxa"/>
            <w:bottom w:w="0" w:type="dxa"/>
            <w:right w:w="108" w:type="dxa"/>
          </w:tblCellMar>
        </w:tblPrEx>
        <w:trPr>
          <w:trHeight w:val="3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0471">
            <w:pPr>
              <w:spacing w:beforeLines="0" w:afterLines="0" w:line="240" w:lineRule="auto"/>
              <w:jc w:val="center"/>
              <w:outlineLvl w:val="9"/>
              <w:rPr>
                <w:rFonts w:hint="eastAsia" w:ascii="宋体" w:hAnsi="宋体" w:eastAsia="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C9F6">
            <w:pPr>
              <w:widowControl/>
              <w:spacing w:beforeLines="0" w:afterLines="0" w:line="240" w:lineRule="auto"/>
              <w:jc w:val="center"/>
              <w:textAlignment w:val="center"/>
              <w:outlineLvl w:val="9"/>
              <w:rPr>
                <w:rFonts w:hint="eastAsia" w:ascii="宋体" w:hAnsi="宋体" w:eastAsia="宋体" w:cs="宋体"/>
                <w:bCs/>
                <w:sz w:val="24"/>
                <w:szCs w:val="24"/>
              </w:rPr>
            </w:pPr>
            <w:r>
              <w:rPr>
                <w:rFonts w:hint="eastAsia" w:ascii="宋体" w:hAnsi="宋体" w:eastAsia="宋体" w:cs="宋体"/>
                <w:bCs/>
                <w:sz w:val="24"/>
                <w:szCs w:val="24"/>
              </w:rPr>
              <w:t>其它设备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2218">
            <w:pPr>
              <w:spacing w:beforeLines="0" w:afterLines="0" w:line="240" w:lineRule="auto"/>
              <w:jc w:val="center"/>
              <w:outlineLvl w:val="9"/>
              <w:rPr>
                <w:rFonts w:hint="eastAsia" w:ascii="宋体" w:hAnsi="宋体" w:eastAsia="宋体" w:cs="宋体"/>
                <w:color w:val="000000"/>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38AE">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EFD2">
            <w:pPr>
              <w:spacing w:beforeLines="0" w:afterLines="0" w:line="240" w:lineRule="auto"/>
              <w:jc w:val="center"/>
              <w:outlineLvl w:val="9"/>
              <w:rPr>
                <w:rFonts w:hint="eastAsia" w:ascii="宋体" w:hAnsi="宋体" w:eastAsia="宋体" w:cs="宋体"/>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0D74">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0DC6">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9799">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bottom w:val="single" w:color="000000" w:sz="4" w:space="0"/>
              <w:right w:val="single" w:color="000000" w:sz="4" w:space="0"/>
            </w:tcBorders>
            <w:shd w:val="clear" w:color="auto" w:fill="auto"/>
            <w:noWrap/>
            <w:vAlign w:val="center"/>
          </w:tcPr>
          <w:p w14:paraId="3EF4B331">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8349">
            <w:pPr>
              <w:spacing w:beforeLines="0" w:afterLines="0" w:line="240" w:lineRule="auto"/>
              <w:jc w:val="center"/>
              <w:outlineLvl w:val="9"/>
              <w:rPr>
                <w:rFonts w:hint="eastAsia" w:ascii="宋体" w:hAnsi="宋体" w:eastAsia="宋体" w:cs="宋体"/>
                <w:color w:val="000000"/>
                <w:sz w:val="22"/>
                <w:szCs w:val="22"/>
              </w:rPr>
            </w:pPr>
          </w:p>
        </w:tc>
      </w:tr>
    </w:tbl>
    <w:p w14:paraId="4C27B1B9">
      <w:pPr>
        <w:spacing w:before="0" w:beforeLines="0" w:after="0" w:afterLines="0" w:line="360" w:lineRule="auto"/>
        <w:jc w:val="center"/>
        <w:outlineLvl w:val="9"/>
        <w:rPr>
          <w:rFonts w:hint="eastAsia" w:ascii="宋体" w:hAnsi="宋体" w:eastAsia="宋体" w:cs="宋体"/>
          <w:i/>
          <w:iCs/>
          <w:sz w:val="30"/>
          <w:szCs w:val="30"/>
          <w:u w:val="single"/>
        </w:rPr>
      </w:pPr>
    </w:p>
    <w:p w14:paraId="30736AC9">
      <w:pPr>
        <w:spacing w:before="0" w:beforeLines="0" w:after="0" w:afterLines="0" w:line="360" w:lineRule="auto"/>
        <w:jc w:val="center"/>
        <w:outlineLvl w:val="9"/>
        <w:rPr>
          <w:rFonts w:hint="eastAsia" w:ascii="宋体" w:hAnsi="宋体" w:eastAsia="宋体" w:cs="宋体"/>
          <w:b/>
          <w:bCs/>
          <w:i w:val="0"/>
          <w:iCs w:val="0"/>
          <w:sz w:val="30"/>
          <w:szCs w:val="30"/>
          <w:u w:val="none"/>
        </w:rPr>
      </w:pPr>
      <w:r>
        <w:rPr>
          <w:rFonts w:hint="eastAsia" w:ascii="宋体" w:hAnsi="宋体" w:eastAsia="宋体" w:cs="宋体"/>
          <w:b/>
          <w:bCs/>
          <w:i w:val="0"/>
          <w:iCs w:val="0"/>
          <w:sz w:val="30"/>
          <w:szCs w:val="30"/>
          <w:u w:val="none"/>
        </w:rPr>
        <w:t>标段三响应报价表</w:t>
      </w:r>
    </w:p>
    <w:tbl>
      <w:tblPr>
        <w:tblStyle w:val="16"/>
        <w:tblW w:w="8865" w:type="dxa"/>
        <w:tblInd w:w="93" w:type="dxa"/>
        <w:tblLayout w:type="fixed"/>
        <w:tblCellMar>
          <w:top w:w="0" w:type="dxa"/>
          <w:left w:w="108" w:type="dxa"/>
          <w:bottom w:w="0" w:type="dxa"/>
          <w:right w:w="108" w:type="dxa"/>
        </w:tblCellMar>
      </w:tblPr>
      <w:tblGrid>
        <w:gridCol w:w="793"/>
        <w:gridCol w:w="1228"/>
        <w:gridCol w:w="707"/>
        <w:gridCol w:w="875"/>
        <w:gridCol w:w="846"/>
        <w:gridCol w:w="831"/>
        <w:gridCol w:w="795"/>
        <w:gridCol w:w="1215"/>
        <w:gridCol w:w="810"/>
        <w:gridCol w:w="765"/>
      </w:tblGrid>
      <w:tr w14:paraId="0410F9A3">
        <w:tblPrEx>
          <w:tblCellMar>
            <w:top w:w="0" w:type="dxa"/>
            <w:left w:w="108" w:type="dxa"/>
            <w:bottom w:w="0" w:type="dxa"/>
            <w:right w:w="108" w:type="dxa"/>
          </w:tblCellMar>
        </w:tblPrEx>
        <w:trPr>
          <w:trHeight w:val="159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C3F3">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标段</w:t>
            </w:r>
          </w:p>
        </w:tc>
        <w:tc>
          <w:tcPr>
            <w:tcW w:w="1228" w:type="dxa"/>
            <w:tcBorders>
              <w:top w:val="single" w:color="000000" w:sz="4" w:space="0"/>
              <w:left w:val="single" w:color="000000" w:sz="4" w:space="0"/>
              <w:bottom w:val="nil"/>
              <w:right w:val="single" w:color="000000" w:sz="4" w:space="0"/>
            </w:tcBorders>
            <w:shd w:val="clear" w:color="auto" w:fill="auto"/>
            <w:vAlign w:val="center"/>
          </w:tcPr>
          <w:p w14:paraId="6238EFA1">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大类名称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C142">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序号</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7787">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产品名称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B5B7">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生产厂家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2F9D">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4758">
            <w:pPr>
              <w:widowControl/>
              <w:spacing w:beforeLines="0" w:afterLines="0" w:line="240" w:lineRule="auto"/>
              <w:jc w:val="center"/>
              <w:textAlignment w:val="center"/>
              <w:outlineLvl w:val="9"/>
              <w:rPr>
                <w:rFonts w:hint="eastAsia" w:hAnsi="宋体" w:eastAsia="宋体" w:cs="宋体"/>
                <w:color w:val="000000"/>
                <w:sz w:val="24"/>
                <w:szCs w:val="24"/>
                <w:lang w:bidi="ar"/>
              </w:rPr>
            </w:pPr>
            <w:r>
              <w:rPr>
                <w:rFonts w:hint="eastAsia" w:hAnsi="宋体" w:eastAsia="宋体" w:cs="宋体"/>
                <w:color w:val="000000"/>
                <w:sz w:val="24"/>
                <w:szCs w:val="24"/>
                <w:lang w:bidi="ar"/>
              </w:rPr>
              <w:t>计量</w:t>
            </w:r>
          </w:p>
          <w:p w14:paraId="69105BA4">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8D1D">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ascii="宋体" w:hAnsi="宋体" w:eastAsia="宋体" w:cs="宋体"/>
                <w:sz w:val="24"/>
                <w:szCs w:val="24"/>
              </w:rPr>
              <w:t>磋商</w:t>
            </w:r>
            <w:r>
              <w:rPr>
                <w:rFonts w:hint="eastAsia" w:ascii="宋体" w:hAnsi="宋体" w:eastAsia="宋体" w:cs="宋体"/>
                <w:sz w:val="24"/>
                <w:szCs w:val="24"/>
                <w:lang w:val="en-US" w:eastAsia="zh-CN"/>
              </w:rPr>
              <w:t>开启日</w:t>
            </w:r>
            <w:r>
              <w:rPr>
                <w:rFonts w:hint="eastAsia" w:ascii="宋体" w:hAnsi="宋体" w:eastAsia="宋体" w:cs="宋体"/>
                <w:sz w:val="24"/>
                <w:szCs w:val="24"/>
              </w:rPr>
              <w:t>前2年</w:t>
            </w:r>
            <w:r>
              <w:rPr>
                <w:rFonts w:hint="eastAsia" w:ascii="宋体" w:hAnsi="宋体" w:eastAsia="宋体" w:cs="宋体"/>
                <w:sz w:val="24"/>
                <w:szCs w:val="24"/>
                <w:lang w:val="en-US" w:eastAsia="zh-CN"/>
              </w:rPr>
              <w:t>内</w:t>
            </w:r>
            <w:r>
              <w:rPr>
                <w:rFonts w:hint="eastAsia" w:ascii="宋体" w:hAnsi="宋体" w:eastAsia="宋体" w:cs="宋体"/>
                <w:sz w:val="24"/>
                <w:szCs w:val="24"/>
              </w:rPr>
              <w:t>供应江苏区域最新市场销售价格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700A">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价格折扣比例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1123">
            <w:pPr>
              <w:widowControl/>
              <w:spacing w:beforeLines="0" w:afterLines="0" w:line="240" w:lineRule="auto"/>
              <w:jc w:val="center"/>
              <w:textAlignment w:val="center"/>
              <w:outlineLvl w:val="9"/>
              <w:rPr>
                <w:rFonts w:hint="eastAsia" w:hAnsi="宋体" w:eastAsia="宋体" w:cs="宋体"/>
                <w:color w:val="000000"/>
                <w:sz w:val="24"/>
                <w:szCs w:val="24"/>
                <w:lang w:bidi="ar"/>
              </w:rPr>
            </w:pPr>
            <w:r>
              <w:rPr>
                <w:rFonts w:hint="eastAsia" w:hAnsi="宋体" w:eastAsia="宋体" w:cs="宋体"/>
                <w:sz w:val="24"/>
                <w:szCs w:val="24"/>
                <w:lang w:val="en-US" w:eastAsia="zh-CN" w:bidi="ar"/>
              </w:rPr>
              <w:t>产品</w:t>
            </w:r>
            <w:r>
              <w:rPr>
                <w:rFonts w:hint="eastAsia" w:hAnsi="宋体" w:eastAsia="宋体" w:cs="宋体"/>
                <w:sz w:val="24"/>
                <w:szCs w:val="24"/>
                <w:lang w:bidi="ar"/>
              </w:rPr>
              <w:t>报价</w:t>
            </w:r>
          </w:p>
        </w:tc>
      </w:tr>
      <w:tr w14:paraId="579A191F">
        <w:tblPrEx>
          <w:tblCellMar>
            <w:top w:w="0" w:type="dxa"/>
            <w:left w:w="108" w:type="dxa"/>
            <w:bottom w:w="0" w:type="dxa"/>
            <w:right w:w="108" w:type="dxa"/>
          </w:tblCellMar>
        </w:tblPrEx>
        <w:trPr>
          <w:trHeight w:val="380" w:hRule="atLeast"/>
        </w:trPr>
        <w:tc>
          <w:tcPr>
            <w:tcW w:w="793" w:type="dxa"/>
            <w:vMerge w:val="restart"/>
            <w:tcBorders>
              <w:top w:val="single" w:color="000000" w:sz="4" w:space="0"/>
              <w:left w:val="single" w:color="000000" w:sz="4" w:space="0"/>
              <w:right w:val="single" w:color="000000" w:sz="4" w:space="0"/>
            </w:tcBorders>
            <w:shd w:val="clear" w:color="auto" w:fill="auto"/>
            <w:noWrap/>
            <w:vAlign w:val="center"/>
          </w:tcPr>
          <w:p w14:paraId="24252EEF">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404062EB">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0256101B">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0A99E7C6">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57E5F923">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p>
          <w:p w14:paraId="5C114B2A">
            <w:pPr>
              <w:widowControl/>
              <w:spacing w:beforeLines="0" w:afterLines="0" w:line="240" w:lineRule="auto"/>
              <w:jc w:val="center"/>
              <w:textAlignment w:val="center"/>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标段三</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57E4B">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bCs/>
                <w:sz w:val="24"/>
                <w:szCs w:val="24"/>
              </w:rPr>
              <w:t>插芯</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5FD7">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B3B6">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B7E5">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EB57">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48E7">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D592">
            <w:pPr>
              <w:spacing w:beforeLines="0" w:afterLines="0" w:line="240" w:lineRule="auto"/>
              <w:jc w:val="center"/>
              <w:outlineLvl w:val="9"/>
              <w:rPr>
                <w:rFonts w:hint="eastAsia" w:ascii="宋体" w:hAnsi="宋体" w:eastAsia="宋体" w:cs="宋体"/>
                <w:color w:val="000000"/>
                <w:sz w:val="22"/>
                <w:szCs w:val="22"/>
              </w:rPr>
            </w:pPr>
          </w:p>
        </w:tc>
        <w:tc>
          <w:tcPr>
            <w:tcW w:w="810" w:type="dxa"/>
            <w:vMerge w:val="restart"/>
            <w:tcBorders>
              <w:top w:val="single" w:color="000000" w:sz="4" w:space="0"/>
              <w:left w:val="single" w:color="000000" w:sz="4" w:space="0"/>
              <w:right w:val="single" w:color="000000" w:sz="4" w:space="0"/>
            </w:tcBorders>
            <w:shd w:val="clear" w:color="auto" w:fill="auto"/>
            <w:noWrap/>
            <w:vAlign w:val="center"/>
          </w:tcPr>
          <w:p w14:paraId="1340E025">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7F20">
            <w:pPr>
              <w:spacing w:beforeLines="0" w:afterLines="0" w:line="240" w:lineRule="auto"/>
              <w:jc w:val="center"/>
              <w:outlineLvl w:val="9"/>
              <w:rPr>
                <w:rFonts w:hint="eastAsia" w:ascii="宋体" w:hAnsi="宋体" w:eastAsia="宋体" w:cs="宋体"/>
                <w:color w:val="000000"/>
                <w:sz w:val="22"/>
                <w:szCs w:val="22"/>
              </w:rPr>
            </w:pPr>
          </w:p>
        </w:tc>
      </w:tr>
      <w:tr w14:paraId="7E90EE78">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018CEEA8">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4750">
            <w:pPr>
              <w:spacing w:beforeLines="0" w:afterLines="0" w:line="240" w:lineRule="auto"/>
              <w:jc w:val="center"/>
              <w:outlineLvl w:val="9"/>
              <w:rPr>
                <w:rFonts w:hint="eastAsia" w:ascii="宋体" w:hAnsi="宋体" w:eastAsia="宋体" w:cs="宋体"/>
                <w:color w:val="000000"/>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7C53">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049F">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FD73">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6342">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14A6">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2AFA">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5D3CBCD7">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83EF">
            <w:pPr>
              <w:spacing w:beforeLines="0" w:afterLines="0" w:line="240" w:lineRule="auto"/>
              <w:jc w:val="center"/>
              <w:outlineLvl w:val="9"/>
              <w:rPr>
                <w:rFonts w:hint="eastAsia" w:ascii="宋体" w:hAnsi="宋体" w:eastAsia="宋体" w:cs="宋体"/>
                <w:color w:val="000000"/>
                <w:sz w:val="22"/>
                <w:szCs w:val="22"/>
              </w:rPr>
            </w:pPr>
          </w:p>
        </w:tc>
      </w:tr>
      <w:tr w14:paraId="3C35C7E1">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035C6D1A">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473C">
            <w:pPr>
              <w:spacing w:beforeLines="0" w:afterLines="0" w:line="240" w:lineRule="auto"/>
              <w:jc w:val="center"/>
              <w:outlineLvl w:val="9"/>
              <w:rPr>
                <w:rFonts w:hint="eastAsia" w:ascii="宋体" w:hAnsi="宋体" w:eastAsia="宋体" w:cs="宋体"/>
                <w:color w:val="000000"/>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FA36">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7C07">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5C0A">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BF42">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40D6">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E017">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71E9520">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6C30">
            <w:pPr>
              <w:spacing w:beforeLines="0" w:afterLines="0" w:line="240" w:lineRule="auto"/>
              <w:jc w:val="center"/>
              <w:outlineLvl w:val="9"/>
              <w:rPr>
                <w:rFonts w:hint="eastAsia" w:ascii="宋体" w:hAnsi="宋体" w:eastAsia="宋体" w:cs="宋体"/>
                <w:color w:val="000000"/>
                <w:sz w:val="22"/>
                <w:szCs w:val="22"/>
              </w:rPr>
            </w:pPr>
          </w:p>
        </w:tc>
      </w:tr>
      <w:tr w14:paraId="19FA0F98">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67463FA9">
            <w:pPr>
              <w:spacing w:beforeLines="0" w:afterLines="0" w:line="240" w:lineRule="auto"/>
              <w:jc w:val="center"/>
              <w:outlineLvl w:val="9"/>
              <w:rPr>
                <w:rFonts w:hint="eastAsia" w:ascii="宋体" w:hAnsi="宋体" w:eastAsia="宋体" w:cs="宋体"/>
                <w:color w:val="000000"/>
                <w:sz w:val="22"/>
                <w:szCs w:val="22"/>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A064">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bCs/>
                <w:sz w:val="24"/>
                <w:szCs w:val="24"/>
              </w:rPr>
              <w:t>插芯胶水</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F8AA">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F01">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4473">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4D9B">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1882">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F1CC">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6BB629B">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8A85">
            <w:pPr>
              <w:spacing w:beforeLines="0" w:afterLines="0" w:line="240" w:lineRule="auto"/>
              <w:jc w:val="center"/>
              <w:outlineLvl w:val="9"/>
              <w:rPr>
                <w:rFonts w:hint="eastAsia" w:ascii="宋体" w:hAnsi="宋体" w:eastAsia="宋体" w:cs="宋体"/>
                <w:color w:val="000000"/>
                <w:sz w:val="22"/>
                <w:szCs w:val="22"/>
              </w:rPr>
            </w:pPr>
          </w:p>
        </w:tc>
      </w:tr>
      <w:tr w14:paraId="17E81708">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6073E4C2">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FA29">
            <w:pPr>
              <w:spacing w:beforeLines="0" w:afterLines="0" w:line="240" w:lineRule="auto"/>
              <w:jc w:val="left"/>
              <w:outlineLvl w:val="9"/>
              <w:rPr>
                <w:rFonts w:hint="eastAsia" w:ascii="宋体" w:hAnsi="宋体" w:eastAsia="宋体" w:cs="宋体"/>
                <w:color w:val="000000"/>
                <w:sz w:val="22"/>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F857">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6B75">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F39D">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A816">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D7E0">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E3E6">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2D6D487">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CB6B">
            <w:pPr>
              <w:spacing w:beforeLines="0" w:afterLines="0" w:line="240" w:lineRule="auto"/>
              <w:jc w:val="center"/>
              <w:outlineLvl w:val="9"/>
              <w:rPr>
                <w:rFonts w:hint="eastAsia" w:ascii="宋体" w:hAnsi="宋体" w:eastAsia="宋体" w:cs="宋体"/>
                <w:color w:val="000000"/>
                <w:sz w:val="22"/>
                <w:szCs w:val="22"/>
              </w:rPr>
            </w:pPr>
          </w:p>
        </w:tc>
      </w:tr>
      <w:tr w14:paraId="446BF080">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2C6F79EA">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1200">
            <w:pPr>
              <w:spacing w:beforeLines="0" w:afterLines="0" w:line="240" w:lineRule="auto"/>
              <w:jc w:val="left"/>
              <w:outlineLvl w:val="9"/>
              <w:rPr>
                <w:rFonts w:hint="eastAsia" w:ascii="宋体" w:hAnsi="宋体" w:eastAsia="宋体" w:cs="宋体"/>
                <w:color w:val="000000"/>
                <w:sz w:val="22"/>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9C0C">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BE40">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15DB">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6F29">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3159">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A2A3">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02DF89F">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C3E">
            <w:pPr>
              <w:spacing w:beforeLines="0" w:afterLines="0" w:line="240" w:lineRule="auto"/>
              <w:jc w:val="center"/>
              <w:outlineLvl w:val="9"/>
              <w:rPr>
                <w:rFonts w:hint="eastAsia" w:ascii="宋体" w:hAnsi="宋体" w:eastAsia="宋体" w:cs="宋体"/>
                <w:color w:val="000000"/>
                <w:sz w:val="22"/>
                <w:szCs w:val="22"/>
              </w:rPr>
            </w:pPr>
          </w:p>
        </w:tc>
      </w:tr>
      <w:tr w14:paraId="4C4EB7F7">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57215801">
            <w:pPr>
              <w:spacing w:beforeLines="0" w:afterLines="0" w:line="240" w:lineRule="auto"/>
              <w:jc w:val="center"/>
              <w:outlineLvl w:val="9"/>
              <w:rPr>
                <w:rFonts w:hint="eastAsia" w:ascii="宋体" w:hAnsi="宋体" w:eastAsia="宋体" w:cs="宋体"/>
                <w:color w:val="000000"/>
                <w:sz w:val="22"/>
                <w:szCs w:val="22"/>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A3FE6">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bCs/>
                <w:sz w:val="24"/>
                <w:szCs w:val="24"/>
              </w:rPr>
              <w:t>抛光片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5697">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6AEB">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0EA4">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8943">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C274">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E0ED">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14F9F317">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9016">
            <w:pPr>
              <w:spacing w:beforeLines="0" w:afterLines="0" w:line="240" w:lineRule="auto"/>
              <w:jc w:val="center"/>
              <w:outlineLvl w:val="9"/>
              <w:rPr>
                <w:rFonts w:hint="eastAsia" w:ascii="宋体" w:hAnsi="宋体" w:eastAsia="宋体" w:cs="宋体"/>
                <w:color w:val="000000"/>
                <w:sz w:val="22"/>
                <w:szCs w:val="22"/>
              </w:rPr>
            </w:pPr>
          </w:p>
        </w:tc>
      </w:tr>
      <w:tr w14:paraId="2845E1F4">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223AEAFC">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4021">
            <w:pPr>
              <w:spacing w:beforeLines="0" w:afterLines="0" w:line="240" w:lineRule="auto"/>
              <w:jc w:val="center"/>
              <w:outlineLvl w:val="9"/>
              <w:rPr>
                <w:rFonts w:hint="eastAsia" w:ascii="宋体" w:hAnsi="宋体" w:eastAsia="宋体" w:cs="宋体"/>
                <w:color w:val="000000"/>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7C14">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486E">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5274">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7306">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DD48">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B1DF">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A87848C">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5323">
            <w:pPr>
              <w:spacing w:beforeLines="0" w:afterLines="0" w:line="240" w:lineRule="auto"/>
              <w:jc w:val="center"/>
              <w:outlineLvl w:val="9"/>
              <w:rPr>
                <w:rFonts w:hint="eastAsia" w:ascii="宋体" w:hAnsi="宋体" w:eastAsia="宋体" w:cs="宋体"/>
                <w:color w:val="000000"/>
                <w:sz w:val="22"/>
                <w:szCs w:val="22"/>
              </w:rPr>
            </w:pPr>
          </w:p>
        </w:tc>
      </w:tr>
      <w:tr w14:paraId="24D1DAFC">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560D1D52">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A6BB">
            <w:pPr>
              <w:spacing w:beforeLines="0" w:afterLines="0" w:line="240" w:lineRule="auto"/>
              <w:jc w:val="center"/>
              <w:outlineLvl w:val="9"/>
              <w:rPr>
                <w:rFonts w:hint="eastAsia" w:ascii="宋体" w:hAnsi="宋体" w:eastAsia="宋体" w:cs="宋体"/>
                <w:color w:val="000000"/>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42B9">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F3E8">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2E1D">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9905">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9D0F">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0388">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7B5DDD4">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5767">
            <w:pPr>
              <w:spacing w:beforeLines="0" w:afterLines="0" w:line="240" w:lineRule="auto"/>
              <w:jc w:val="center"/>
              <w:outlineLvl w:val="9"/>
              <w:rPr>
                <w:rFonts w:hint="eastAsia" w:ascii="宋体" w:hAnsi="宋体" w:eastAsia="宋体" w:cs="宋体"/>
                <w:color w:val="000000"/>
                <w:sz w:val="22"/>
                <w:szCs w:val="22"/>
              </w:rPr>
            </w:pPr>
          </w:p>
        </w:tc>
      </w:tr>
      <w:tr w14:paraId="5AC1CB9D">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532D88E2">
            <w:pPr>
              <w:spacing w:beforeLines="0" w:afterLines="0" w:line="240" w:lineRule="auto"/>
              <w:jc w:val="center"/>
              <w:outlineLvl w:val="9"/>
              <w:rPr>
                <w:rFonts w:hint="eastAsia" w:ascii="宋体" w:hAnsi="宋体" w:eastAsia="宋体" w:cs="宋体"/>
                <w:color w:val="000000"/>
                <w:sz w:val="22"/>
                <w:szCs w:val="22"/>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D1DC6">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bCs/>
                <w:sz w:val="24"/>
                <w:szCs w:val="24"/>
              </w:rPr>
              <w:t>研磨纸（核心产品）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BDDB">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CE2D">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E90B">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2F9F">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048">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CAA4">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F8D3E30">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F29D">
            <w:pPr>
              <w:spacing w:beforeLines="0" w:afterLines="0" w:line="240" w:lineRule="auto"/>
              <w:jc w:val="center"/>
              <w:outlineLvl w:val="9"/>
              <w:rPr>
                <w:rFonts w:hint="eastAsia" w:ascii="宋体" w:hAnsi="宋体" w:eastAsia="宋体" w:cs="宋体"/>
                <w:color w:val="000000"/>
                <w:sz w:val="22"/>
                <w:szCs w:val="22"/>
              </w:rPr>
            </w:pPr>
          </w:p>
        </w:tc>
      </w:tr>
      <w:tr w14:paraId="720A3E88">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1A081337">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71BF">
            <w:pPr>
              <w:spacing w:beforeLines="0" w:afterLines="0" w:line="240" w:lineRule="auto"/>
              <w:jc w:val="center"/>
              <w:outlineLvl w:val="9"/>
              <w:rPr>
                <w:rFonts w:hint="eastAsia" w:ascii="宋体" w:hAnsi="宋体" w:eastAsia="宋体" w:cs="宋体"/>
                <w:color w:val="000000"/>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B66B">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016E">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408E">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58E5">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45FB">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4C69">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E7BF707">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7AEC">
            <w:pPr>
              <w:spacing w:beforeLines="0" w:afterLines="0" w:line="240" w:lineRule="auto"/>
              <w:jc w:val="center"/>
              <w:outlineLvl w:val="9"/>
              <w:rPr>
                <w:rFonts w:hint="eastAsia" w:ascii="宋体" w:hAnsi="宋体" w:eastAsia="宋体" w:cs="宋体"/>
                <w:color w:val="000000"/>
                <w:sz w:val="22"/>
                <w:szCs w:val="22"/>
              </w:rPr>
            </w:pPr>
          </w:p>
        </w:tc>
      </w:tr>
      <w:tr w14:paraId="379F25FE">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446A64D3">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A486E">
            <w:pPr>
              <w:spacing w:beforeLines="0" w:afterLines="0" w:line="240" w:lineRule="auto"/>
              <w:jc w:val="center"/>
              <w:outlineLvl w:val="9"/>
              <w:rPr>
                <w:rFonts w:hint="eastAsia" w:ascii="宋体" w:hAnsi="宋体" w:eastAsia="宋体" w:cs="宋体"/>
                <w:color w:val="000000"/>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AE96">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8C9D">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AB04">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CA7B">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82BC">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740A">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51BED2A0">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9AD0">
            <w:pPr>
              <w:spacing w:beforeLines="0" w:afterLines="0" w:line="240" w:lineRule="auto"/>
              <w:jc w:val="center"/>
              <w:outlineLvl w:val="9"/>
              <w:rPr>
                <w:rFonts w:hint="eastAsia" w:ascii="宋体" w:hAnsi="宋体" w:eastAsia="宋体" w:cs="宋体"/>
                <w:color w:val="000000"/>
                <w:sz w:val="22"/>
                <w:szCs w:val="22"/>
              </w:rPr>
            </w:pPr>
          </w:p>
        </w:tc>
      </w:tr>
      <w:tr w14:paraId="208607FE">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2BA5C5EB">
            <w:pPr>
              <w:spacing w:beforeLines="0" w:afterLines="0" w:line="240" w:lineRule="auto"/>
              <w:jc w:val="center"/>
              <w:outlineLvl w:val="9"/>
              <w:rPr>
                <w:rFonts w:hint="eastAsia" w:ascii="宋体" w:hAnsi="宋体" w:eastAsia="宋体" w:cs="宋体"/>
                <w:color w:val="000000"/>
                <w:sz w:val="22"/>
                <w:szCs w:val="22"/>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E6163">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bCs/>
                <w:sz w:val="24"/>
                <w:szCs w:val="24"/>
              </w:rPr>
              <w:t>研磨垫（核心产品）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67D1">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FB3C">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7436">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0A87">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1108">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6F0E">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E3FCB6C">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4FE6">
            <w:pPr>
              <w:spacing w:beforeLines="0" w:afterLines="0" w:line="240" w:lineRule="auto"/>
              <w:jc w:val="center"/>
              <w:outlineLvl w:val="9"/>
              <w:rPr>
                <w:rFonts w:hint="eastAsia" w:ascii="宋体" w:hAnsi="宋体" w:eastAsia="宋体" w:cs="宋体"/>
                <w:color w:val="000000"/>
                <w:sz w:val="22"/>
                <w:szCs w:val="22"/>
              </w:rPr>
            </w:pPr>
          </w:p>
        </w:tc>
      </w:tr>
      <w:tr w14:paraId="10C72570">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02B8DA5C">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C7CB">
            <w:pPr>
              <w:spacing w:beforeLines="0" w:afterLines="0" w:line="240" w:lineRule="auto"/>
              <w:jc w:val="center"/>
              <w:outlineLvl w:val="9"/>
              <w:rPr>
                <w:rFonts w:hint="eastAsia" w:ascii="宋体" w:hAnsi="宋体" w:eastAsia="宋体" w:cs="宋体"/>
                <w:color w:val="000000"/>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3D80">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A042">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CE7F">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E91E">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086C">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3237">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56E4D256">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175C">
            <w:pPr>
              <w:spacing w:beforeLines="0" w:afterLines="0" w:line="240" w:lineRule="auto"/>
              <w:jc w:val="center"/>
              <w:outlineLvl w:val="9"/>
              <w:rPr>
                <w:rFonts w:hint="eastAsia" w:ascii="宋体" w:hAnsi="宋体" w:eastAsia="宋体" w:cs="宋体"/>
                <w:color w:val="000000"/>
                <w:sz w:val="22"/>
                <w:szCs w:val="22"/>
              </w:rPr>
            </w:pPr>
          </w:p>
        </w:tc>
      </w:tr>
      <w:tr w14:paraId="62962BA1">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152C4155">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8506">
            <w:pPr>
              <w:spacing w:beforeLines="0" w:afterLines="0" w:line="240" w:lineRule="auto"/>
              <w:jc w:val="center"/>
              <w:outlineLvl w:val="9"/>
              <w:rPr>
                <w:rFonts w:hint="eastAsia" w:ascii="宋体" w:hAnsi="宋体" w:eastAsia="宋体" w:cs="宋体"/>
                <w:color w:val="000000"/>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37A4">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52CC">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12AC">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80CD">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FE2F">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4BCE">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195D553">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117E">
            <w:pPr>
              <w:spacing w:beforeLines="0" w:afterLines="0" w:line="240" w:lineRule="auto"/>
              <w:jc w:val="center"/>
              <w:outlineLvl w:val="9"/>
              <w:rPr>
                <w:rFonts w:hint="eastAsia" w:ascii="宋体" w:hAnsi="宋体" w:eastAsia="宋体" w:cs="宋体"/>
                <w:color w:val="000000"/>
                <w:sz w:val="22"/>
                <w:szCs w:val="22"/>
              </w:rPr>
            </w:pPr>
          </w:p>
        </w:tc>
      </w:tr>
      <w:tr w14:paraId="2FAD6AD0">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27C4C83C">
            <w:pPr>
              <w:spacing w:beforeLines="0" w:afterLines="0" w:line="240" w:lineRule="auto"/>
              <w:jc w:val="center"/>
              <w:outlineLvl w:val="9"/>
              <w:rPr>
                <w:rFonts w:hint="eastAsia" w:ascii="宋体" w:hAnsi="宋体" w:eastAsia="宋体" w:cs="宋体"/>
                <w:color w:val="000000"/>
                <w:sz w:val="22"/>
                <w:szCs w:val="22"/>
              </w:rPr>
            </w:pPr>
          </w:p>
        </w:tc>
        <w:tc>
          <w:tcPr>
            <w:tcW w:w="1228" w:type="dxa"/>
            <w:vMerge w:val="restart"/>
            <w:tcBorders>
              <w:top w:val="single" w:color="000000" w:sz="4" w:space="0"/>
              <w:left w:val="single" w:color="000000" w:sz="4" w:space="0"/>
              <w:right w:val="single" w:color="000000" w:sz="4" w:space="0"/>
            </w:tcBorders>
            <w:shd w:val="clear" w:color="auto" w:fill="auto"/>
            <w:noWrap/>
            <w:vAlign w:val="center"/>
          </w:tcPr>
          <w:p w14:paraId="513C837A">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bCs/>
                <w:sz w:val="24"/>
                <w:szCs w:val="24"/>
              </w:rPr>
              <w:t>研磨液</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BCA7">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13FA">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7FC6">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FF01">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FB3E">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6479">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139ECAC3">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8668">
            <w:pPr>
              <w:spacing w:beforeLines="0" w:afterLines="0" w:line="240" w:lineRule="auto"/>
              <w:jc w:val="center"/>
              <w:outlineLvl w:val="9"/>
              <w:rPr>
                <w:rFonts w:hint="eastAsia" w:ascii="宋体" w:hAnsi="宋体" w:eastAsia="宋体" w:cs="宋体"/>
                <w:color w:val="000000"/>
                <w:sz w:val="22"/>
                <w:szCs w:val="22"/>
              </w:rPr>
            </w:pPr>
          </w:p>
        </w:tc>
      </w:tr>
      <w:tr w14:paraId="506D30D1">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20276A7C">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left w:val="single" w:color="000000" w:sz="4" w:space="0"/>
              <w:right w:val="single" w:color="000000" w:sz="4" w:space="0"/>
            </w:tcBorders>
            <w:shd w:val="clear" w:color="auto" w:fill="auto"/>
            <w:noWrap/>
            <w:vAlign w:val="center"/>
          </w:tcPr>
          <w:p w14:paraId="39A4FE64">
            <w:pPr>
              <w:widowControl/>
              <w:spacing w:beforeLines="0" w:afterLines="0" w:line="240" w:lineRule="auto"/>
              <w:jc w:val="left"/>
              <w:textAlignment w:val="center"/>
              <w:outlineLvl w:val="9"/>
              <w:rPr>
                <w:rFonts w:hint="eastAsia" w:ascii="宋体" w:hAnsi="宋体" w:eastAsia="宋体" w:cs="宋体"/>
                <w:bCs/>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AABB">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31CB">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033D">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1A75">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B003">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FC75">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E7F901B">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3D5D">
            <w:pPr>
              <w:spacing w:beforeLines="0" w:afterLines="0" w:line="240" w:lineRule="auto"/>
              <w:jc w:val="center"/>
              <w:outlineLvl w:val="9"/>
              <w:rPr>
                <w:rFonts w:hint="eastAsia" w:ascii="宋体" w:hAnsi="宋体" w:eastAsia="宋体" w:cs="宋体"/>
                <w:color w:val="000000"/>
                <w:sz w:val="22"/>
                <w:szCs w:val="22"/>
              </w:rPr>
            </w:pPr>
          </w:p>
        </w:tc>
      </w:tr>
      <w:tr w14:paraId="31FE7EBE">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54412944">
            <w:pPr>
              <w:spacing w:beforeLines="0" w:afterLines="0" w:line="240" w:lineRule="auto"/>
              <w:jc w:val="center"/>
              <w:outlineLvl w:val="9"/>
              <w:rPr>
                <w:rFonts w:hint="eastAsia" w:ascii="宋体" w:hAnsi="宋体" w:eastAsia="宋体" w:cs="宋体"/>
                <w:color w:val="000000"/>
                <w:sz w:val="22"/>
                <w:szCs w:val="22"/>
              </w:rPr>
            </w:pPr>
          </w:p>
        </w:tc>
        <w:tc>
          <w:tcPr>
            <w:tcW w:w="1228" w:type="dxa"/>
            <w:vMerge w:val="continue"/>
            <w:tcBorders>
              <w:left w:val="single" w:color="000000" w:sz="4" w:space="0"/>
              <w:bottom w:val="single" w:color="000000" w:sz="4" w:space="0"/>
              <w:right w:val="single" w:color="000000" w:sz="4" w:space="0"/>
            </w:tcBorders>
            <w:shd w:val="clear" w:color="auto" w:fill="auto"/>
            <w:noWrap/>
            <w:vAlign w:val="center"/>
          </w:tcPr>
          <w:p w14:paraId="136B1A55">
            <w:pPr>
              <w:widowControl/>
              <w:spacing w:beforeLines="0" w:afterLines="0" w:line="240" w:lineRule="auto"/>
              <w:jc w:val="left"/>
              <w:textAlignment w:val="center"/>
              <w:outlineLvl w:val="9"/>
              <w:rPr>
                <w:rFonts w:hint="eastAsia" w:ascii="宋体" w:hAnsi="宋体" w:eastAsia="宋体" w:cs="宋体"/>
                <w:bCs/>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7EA7">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F7C2">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EB59">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07F4">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2FAC">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55CC">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732DC7EA">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CA3F">
            <w:pPr>
              <w:spacing w:beforeLines="0" w:afterLines="0" w:line="240" w:lineRule="auto"/>
              <w:jc w:val="center"/>
              <w:outlineLvl w:val="9"/>
              <w:rPr>
                <w:rFonts w:hint="eastAsia" w:ascii="宋体" w:hAnsi="宋体" w:eastAsia="宋体" w:cs="宋体"/>
                <w:color w:val="000000"/>
                <w:sz w:val="22"/>
                <w:szCs w:val="22"/>
              </w:rPr>
            </w:pPr>
          </w:p>
        </w:tc>
      </w:tr>
      <w:tr w14:paraId="23DADC4C">
        <w:tblPrEx>
          <w:tblCellMar>
            <w:top w:w="0" w:type="dxa"/>
            <w:left w:w="108" w:type="dxa"/>
            <w:bottom w:w="0" w:type="dxa"/>
            <w:right w:w="108" w:type="dxa"/>
          </w:tblCellMar>
        </w:tblPrEx>
        <w:trPr>
          <w:trHeight w:val="380" w:hRule="atLeast"/>
        </w:trPr>
        <w:tc>
          <w:tcPr>
            <w:tcW w:w="793" w:type="dxa"/>
            <w:vMerge w:val="continue"/>
            <w:tcBorders>
              <w:left w:val="single" w:color="000000" w:sz="4" w:space="0"/>
              <w:bottom w:val="single" w:color="000000" w:sz="4" w:space="0"/>
              <w:right w:val="single" w:color="000000" w:sz="4" w:space="0"/>
            </w:tcBorders>
            <w:shd w:val="clear" w:color="auto" w:fill="auto"/>
            <w:noWrap/>
            <w:vAlign w:val="center"/>
          </w:tcPr>
          <w:p w14:paraId="1B3E8F34">
            <w:pPr>
              <w:spacing w:beforeLines="0" w:afterLines="0" w:line="240" w:lineRule="auto"/>
              <w:jc w:val="center"/>
              <w:outlineLvl w:val="9"/>
              <w:rPr>
                <w:rFonts w:hint="eastAsia" w:ascii="宋体" w:hAnsi="宋体" w:eastAsia="宋体" w:cs="宋体"/>
                <w:color w:val="000000"/>
                <w:sz w:val="22"/>
                <w:szCs w:val="22"/>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F8EA">
            <w:pPr>
              <w:widowControl/>
              <w:spacing w:beforeLines="0" w:afterLines="0" w:line="240" w:lineRule="auto"/>
              <w:jc w:val="center"/>
              <w:textAlignment w:val="center"/>
              <w:outlineLvl w:val="9"/>
              <w:rPr>
                <w:rFonts w:hint="eastAsia" w:ascii="宋体" w:hAnsi="宋体" w:eastAsia="宋体" w:cs="宋体"/>
                <w:bCs/>
                <w:sz w:val="24"/>
                <w:szCs w:val="24"/>
              </w:rPr>
            </w:pPr>
            <w:r>
              <w:rPr>
                <w:rFonts w:hint="eastAsia" w:ascii="宋体" w:hAnsi="宋体" w:eastAsia="宋体" w:cs="宋体"/>
                <w:bCs/>
                <w:sz w:val="24"/>
                <w:szCs w:val="24"/>
              </w:rPr>
              <w:t>其他</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D232">
            <w:pPr>
              <w:spacing w:beforeLines="0" w:afterLines="0" w:line="240" w:lineRule="auto"/>
              <w:jc w:val="center"/>
              <w:outlineLvl w:val="9"/>
              <w:rPr>
                <w:rFonts w:hint="eastAsia" w:ascii="宋体" w:hAnsi="宋体" w:eastAsia="宋体" w:cs="宋体"/>
                <w:color w:val="000000"/>
                <w:sz w:val="22"/>
                <w:szCs w:val="22"/>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DC34">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258B">
            <w:pPr>
              <w:spacing w:beforeLines="0" w:afterLines="0" w:line="240" w:lineRule="auto"/>
              <w:jc w:val="center"/>
              <w:outlineLvl w:val="9"/>
              <w:rPr>
                <w:rFonts w:hint="eastAsia" w:ascii="宋体" w:hAnsi="宋体" w:eastAsia="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3744">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DE82">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8669">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bottom w:val="single" w:color="000000" w:sz="4" w:space="0"/>
              <w:right w:val="single" w:color="000000" w:sz="4" w:space="0"/>
            </w:tcBorders>
            <w:shd w:val="clear" w:color="auto" w:fill="auto"/>
            <w:noWrap/>
            <w:vAlign w:val="center"/>
          </w:tcPr>
          <w:p w14:paraId="7EB3D74A">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85F4">
            <w:pPr>
              <w:spacing w:beforeLines="0" w:afterLines="0" w:line="240" w:lineRule="auto"/>
              <w:jc w:val="center"/>
              <w:outlineLvl w:val="9"/>
              <w:rPr>
                <w:rFonts w:hint="eastAsia" w:ascii="宋体" w:hAnsi="宋体" w:eastAsia="宋体" w:cs="宋体"/>
                <w:color w:val="000000"/>
                <w:sz w:val="22"/>
                <w:szCs w:val="22"/>
              </w:rPr>
            </w:pPr>
          </w:p>
        </w:tc>
      </w:tr>
    </w:tbl>
    <w:p w14:paraId="0E9ACC0F">
      <w:pPr>
        <w:spacing w:before="0" w:beforeLines="0" w:after="0" w:afterLines="0" w:line="360" w:lineRule="auto"/>
        <w:jc w:val="center"/>
        <w:outlineLvl w:val="9"/>
        <w:rPr>
          <w:rFonts w:hint="eastAsia" w:ascii="宋体" w:hAnsi="宋体" w:eastAsia="宋体" w:cs="宋体"/>
          <w:i/>
          <w:iCs/>
          <w:sz w:val="30"/>
          <w:szCs w:val="30"/>
          <w:u w:val="single"/>
        </w:rPr>
      </w:pPr>
    </w:p>
    <w:p w14:paraId="7468F2F5">
      <w:pPr>
        <w:spacing w:before="0" w:beforeLines="0" w:after="0" w:afterLines="0" w:line="360" w:lineRule="auto"/>
        <w:jc w:val="center"/>
        <w:outlineLvl w:val="9"/>
        <w:rPr>
          <w:rFonts w:hint="eastAsia" w:ascii="宋体" w:hAnsi="宋体" w:eastAsia="宋体" w:cs="宋体"/>
          <w:b/>
          <w:bCs/>
          <w:i w:val="0"/>
          <w:iCs w:val="0"/>
          <w:sz w:val="30"/>
          <w:szCs w:val="30"/>
          <w:u w:val="none"/>
        </w:rPr>
      </w:pPr>
      <w:r>
        <w:rPr>
          <w:rFonts w:hint="eastAsia" w:ascii="宋体" w:hAnsi="宋体" w:eastAsia="宋体" w:cs="宋体"/>
          <w:b/>
          <w:bCs/>
          <w:i w:val="0"/>
          <w:iCs w:val="0"/>
          <w:sz w:val="30"/>
          <w:szCs w:val="30"/>
          <w:u w:val="none"/>
        </w:rPr>
        <w:t>标段四响应报价表</w:t>
      </w:r>
    </w:p>
    <w:tbl>
      <w:tblPr>
        <w:tblStyle w:val="16"/>
        <w:tblW w:w="8865" w:type="dxa"/>
        <w:tblInd w:w="93" w:type="dxa"/>
        <w:tblLayout w:type="fixed"/>
        <w:tblCellMar>
          <w:top w:w="0" w:type="dxa"/>
          <w:left w:w="108" w:type="dxa"/>
          <w:bottom w:w="0" w:type="dxa"/>
          <w:right w:w="108" w:type="dxa"/>
        </w:tblCellMar>
      </w:tblPr>
      <w:tblGrid>
        <w:gridCol w:w="793"/>
        <w:gridCol w:w="1186"/>
        <w:gridCol w:w="749"/>
        <w:gridCol w:w="846"/>
        <w:gridCol w:w="859"/>
        <w:gridCol w:w="847"/>
        <w:gridCol w:w="795"/>
        <w:gridCol w:w="1215"/>
        <w:gridCol w:w="810"/>
        <w:gridCol w:w="765"/>
      </w:tblGrid>
      <w:tr w14:paraId="3A445663">
        <w:trPr>
          <w:trHeight w:val="157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6B36">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标段</w:t>
            </w:r>
          </w:p>
        </w:tc>
        <w:tc>
          <w:tcPr>
            <w:tcW w:w="1186" w:type="dxa"/>
            <w:tcBorders>
              <w:top w:val="single" w:color="000000" w:sz="4" w:space="0"/>
              <w:left w:val="single" w:color="000000" w:sz="4" w:space="0"/>
              <w:bottom w:val="nil"/>
              <w:right w:val="single" w:color="000000" w:sz="4" w:space="0"/>
            </w:tcBorders>
            <w:shd w:val="clear" w:color="auto" w:fill="auto"/>
            <w:vAlign w:val="center"/>
          </w:tcPr>
          <w:p w14:paraId="79AA490C">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大类名称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A85A">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序号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52D0">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产品名称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B3EA">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生产厂家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54CF">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AB16">
            <w:pPr>
              <w:widowControl/>
              <w:spacing w:beforeLines="0" w:afterLines="0" w:line="240" w:lineRule="auto"/>
              <w:jc w:val="center"/>
              <w:textAlignment w:val="center"/>
              <w:outlineLvl w:val="9"/>
              <w:rPr>
                <w:rFonts w:hint="eastAsia" w:hAnsi="宋体" w:eastAsia="宋体" w:cs="宋体"/>
                <w:color w:val="000000"/>
                <w:sz w:val="24"/>
                <w:szCs w:val="24"/>
                <w:lang w:bidi="ar"/>
              </w:rPr>
            </w:pPr>
            <w:r>
              <w:rPr>
                <w:rFonts w:hint="eastAsia" w:hAnsi="宋体" w:eastAsia="宋体" w:cs="宋体"/>
                <w:color w:val="000000"/>
                <w:sz w:val="24"/>
                <w:szCs w:val="24"/>
                <w:lang w:bidi="ar"/>
              </w:rPr>
              <w:t>计量</w:t>
            </w:r>
          </w:p>
          <w:p w14:paraId="139636FC">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B0C8">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ascii="宋体" w:hAnsi="宋体" w:eastAsia="宋体" w:cs="宋体"/>
                <w:sz w:val="24"/>
                <w:szCs w:val="24"/>
              </w:rPr>
              <w:t>磋商</w:t>
            </w:r>
            <w:r>
              <w:rPr>
                <w:rFonts w:hint="eastAsia" w:ascii="宋体" w:hAnsi="宋体" w:eastAsia="宋体" w:cs="宋体"/>
                <w:sz w:val="24"/>
                <w:szCs w:val="24"/>
                <w:lang w:val="en-US" w:eastAsia="zh-CN"/>
              </w:rPr>
              <w:t>开启日</w:t>
            </w:r>
            <w:r>
              <w:rPr>
                <w:rFonts w:hint="eastAsia" w:ascii="宋体" w:hAnsi="宋体" w:eastAsia="宋体" w:cs="宋体"/>
                <w:sz w:val="24"/>
                <w:szCs w:val="24"/>
              </w:rPr>
              <w:t>前2年</w:t>
            </w:r>
            <w:r>
              <w:rPr>
                <w:rFonts w:hint="eastAsia" w:ascii="宋体" w:hAnsi="宋体" w:eastAsia="宋体" w:cs="宋体"/>
                <w:sz w:val="24"/>
                <w:szCs w:val="24"/>
                <w:lang w:val="en-US" w:eastAsia="zh-CN"/>
              </w:rPr>
              <w:t>内</w:t>
            </w:r>
            <w:r>
              <w:rPr>
                <w:rFonts w:hint="eastAsia" w:ascii="宋体" w:hAnsi="宋体" w:eastAsia="宋体" w:cs="宋体"/>
                <w:sz w:val="24"/>
                <w:szCs w:val="24"/>
              </w:rPr>
              <w:t>供应江苏区域最新市场销售价格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868E">
            <w:pPr>
              <w:widowControl/>
              <w:spacing w:beforeLines="0" w:afterLines="0" w:line="240" w:lineRule="auto"/>
              <w:jc w:val="center"/>
              <w:textAlignment w:val="center"/>
              <w:outlineLvl w:val="9"/>
              <w:rPr>
                <w:rFonts w:hint="eastAsia" w:hAnsi="宋体" w:eastAsia="宋体" w:cs="宋体"/>
                <w:color w:val="000000"/>
                <w:sz w:val="24"/>
                <w:szCs w:val="24"/>
              </w:rPr>
            </w:pPr>
            <w:r>
              <w:rPr>
                <w:rFonts w:hint="eastAsia" w:hAnsi="宋体" w:eastAsia="宋体" w:cs="宋体"/>
                <w:color w:val="000000"/>
                <w:sz w:val="24"/>
                <w:szCs w:val="24"/>
                <w:lang w:bidi="ar"/>
              </w:rPr>
              <w:t>价格折扣比例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5376">
            <w:pPr>
              <w:widowControl/>
              <w:spacing w:beforeLines="0" w:afterLines="0" w:line="240" w:lineRule="auto"/>
              <w:jc w:val="center"/>
              <w:textAlignment w:val="center"/>
              <w:outlineLvl w:val="9"/>
              <w:rPr>
                <w:rFonts w:hint="eastAsia" w:hAnsi="宋体" w:eastAsia="宋体" w:cs="宋体"/>
                <w:color w:val="000000"/>
                <w:sz w:val="24"/>
                <w:szCs w:val="24"/>
                <w:lang w:bidi="ar"/>
              </w:rPr>
            </w:pPr>
            <w:r>
              <w:rPr>
                <w:rFonts w:hint="eastAsia" w:hAnsi="宋体" w:eastAsia="宋体" w:cs="宋体"/>
                <w:sz w:val="24"/>
                <w:szCs w:val="24"/>
                <w:lang w:val="en-US" w:eastAsia="zh-CN" w:bidi="ar"/>
              </w:rPr>
              <w:t>产品</w:t>
            </w:r>
            <w:r>
              <w:rPr>
                <w:rFonts w:hint="eastAsia" w:hAnsi="宋体" w:eastAsia="宋体" w:cs="宋体"/>
                <w:sz w:val="24"/>
                <w:szCs w:val="24"/>
                <w:lang w:bidi="ar"/>
              </w:rPr>
              <w:t>报价</w:t>
            </w:r>
          </w:p>
        </w:tc>
      </w:tr>
      <w:tr w14:paraId="638B8BBD">
        <w:tblPrEx>
          <w:tblCellMar>
            <w:top w:w="0" w:type="dxa"/>
            <w:left w:w="108" w:type="dxa"/>
            <w:bottom w:w="0" w:type="dxa"/>
            <w:right w:w="108" w:type="dxa"/>
          </w:tblCellMar>
        </w:tblPrEx>
        <w:trPr>
          <w:trHeight w:val="380" w:hRule="atLeast"/>
        </w:trPr>
        <w:tc>
          <w:tcPr>
            <w:tcW w:w="793" w:type="dxa"/>
            <w:vMerge w:val="restart"/>
            <w:tcBorders>
              <w:top w:val="single" w:color="000000" w:sz="4" w:space="0"/>
              <w:left w:val="single" w:color="000000" w:sz="4" w:space="0"/>
              <w:right w:val="single" w:color="000000" w:sz="4" w:space="0"/>
            </w:tcBorders>
            <w:shd w:val="clear" w:color="auto" w:fill="auto"/>
            <w:noWrap/>
            <w:vAlign w:val="center"/>
          </w:tcPr>
          <w:p w14:paraId="69071475">
            <w:pPr>
              <w:widowControl/>
              <w:spacing w:beforeLines="0" w:afterLines="0" w:line="240" w:lineRule="auto"/>
              <w:jc w:val="center"/>
              <w:textAlignment w:val="center"/>
              <w:outlineLvl w:val="9"/>
              <w:rPr>
                <w:rFonts w:hint="eastAsia" w:ascii="宋体" w:hAnsi="宋体" w:eastAsia="宋体" w:cs="宋体"/>
                <w:sz w:val="24"/>
                <w:szCs w:val="24"/>
              </w:rPr>
            </w:pPr>
            <w:r>
              <w:rPr>
                <w:rFonts w:hint="eastAsia" w:ascii="宋体" w:hAnsi="宋体" w:eastAsia="宋体" w:cs="宋体"/>
                <w:sz w:val="24"/>
                <w:szCs w:val="24"/>
              </w:rPr>
              <w:t>标段四</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2AC3E">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sz w:val="24"/>
                <w:szCs w:val="24"/>
              </w:rPr>
              <w:t>助焊剂</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54AB">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1D09">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8402">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5EA3">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082E">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CF7D">
            <w:pPr>
              <w:spacing w:beforeLines="0" w:afterLines="0" w:line="240" w:lineRule="auto"/>
              <w:jc w:val="center"/>
              <w:outlineLvl w:val="9"/>
              <w:rPr>
                <w:rFonts w:hint="eastAsia" w:ascii="宋体" w:hAnsi="宋体" w:eastAsia="宋体" w:cs="宋体"/>
                <w:color w:val="000000"/>
                <w:sz w:val="22"/>
                <w:szCs w:val="22"/>
              </w:rPr>
            </w:pPr>
          </w:p>
        </w:tc>
        <w:tc>
          <w:tcPr>
            <w:tcW w:w="810" w:type="dxa"/>
            <w:vMerge w:val="restart"/>
            <w:tcBorders>
              <w:top w:val="single" w:color="000000" w:sz="4" w:space="0"/>
              <w:left w:val="single" w:color="000000" w:sz="4" w:space="0"/>
              <w:right w:val="single" w:color="000000" w:sz="4" w:space="0"/>
            </w:tcBorders>
            <w:shd w:val="clear" w:color="auto" w:fill="auto"/>
            <w:noWrap/>
            <w:vAlign w:val="center"/>
          </w:tcPr>
          <w:p w14:paraId="26B96133">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7A79">
            <w:pPr>
              <w:spacing w:beforeLines="0" w:afterLines="0" w:line="240" w:lineRule="auto"/>
              <w:jc w:val="center"/>
              <w:outlineLvl w:val="9"/>
              <w:rPr>
                <w:rFonts w:hint="eastAsia" w:ascii="宋体" w:hAnsi="宋体" w:eastAsia="宋体" w:cs="宋体"/>
                <w:color w:val="000000"/>
                <w:sz w:val="22"/>
                <w:szCs w:val="22"/>
              </w:rPr>
            </w:pPr>
          </w:p>
        </w:tc>
      </w:tr>
      <w:tr w14:paraId="052B207E">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3A4921CC">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AF14">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0C9A">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3BB0">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1216">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8EB">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CC11">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3989">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5D8573A1">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011F">
            <w:pPr>
              <w:spacing w:beforeLines="0" w:afterLines="0" w:line="240" w:lineRule="auto"/>
              <w:jc w:val="center"/>
              <w:outlineLvl w:val="9"/>
              <w:rPr>
                <w:rFonts w:hint="eastAsia" w:ascii="宋体" w:hAnsi="宋体" w:eastAsia="宋体" w:cs="宋体"/>
                <w:color w:val="000000"/>
                <w:sz w:val="22"/>
                <w:szCs w:val="22"/>
              </w:rPr>
            </w:pPr>
          </w:p>
        </w:tc>
      </w:tr>
      <w:tr w14:paraId="3C924471">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7C2F190E">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F85C2">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A78B">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2DF0">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A887">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5BF8">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29D4">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64C">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69F7943">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B306">
            <w:pPr>
              <w:spacing w:beforeLines="0" w:afterLines="0" w:line="240" w:lineRule="auto"/>
              <w:jc w:val="center"/>
              <w:outlineLvl w:val="9"/>
              <w:rPr>
                <w:rFonts w:hint="eastAsia" w:ascii="宋体" w:hAnsi="宋体" w:eastAsia="宋体" w:cs="宋体"/>
                <w:color w:val="000000"/>
                <w:sz w:val="22"/>
                <w:szCs w:val="22"/>
              </w:rPr>
            </w:pPr>
          </w:p>
        </w:tc>
      </w:tr>
      <w:tr w14:paraId="24509615">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094B5BF2">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EDD0">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sz w:val="24"/>
                <w:szCs w:val="24"/>
              </w:rPr>
              <w:t>绝缘漆</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D863">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E659">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99C0">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0173">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EB0C">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5E1A">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4471368A">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3698">
            <w:pPr>
              <w:spacing w:beforeLines="0" w:afterLines="0" w:line="240" w:lineRule="auto"/>
              <w:jc w:val="center"/>
              <w:outlineLvl w:val="9"/>
              <w:rPr>
                <w:rFonts w:hint="eastAsia" w:ascii="宋体" w:hAnsi="宋体" w:eastAsia="宋体" w:cs="宋体"/>
                <w:color w:val="000000"/>
                <w:sz w:val="22"/>
                <w:szCs w:val="22"/>
              </w:rPr>
            </w:pPr>
          </w:p>
        </w:tc>
      </w:tr>
      <w:tr w14:paraId="5BAD9801">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2F7FFC37">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105E">
            <w:pPr>
              <w:spacing w:beforeLines="0" w:afterLines="0" w:line="240" w:lineRule="auto"/>
              <w:jc w:val="left"/>
              <w:outlineLvl w:val="9"/>
              <w:rPr>
                <w:rFonts w:hint="eastAsia" w:ascii="宋体" w:hAnsi="宋体" w:eastAsia="宋体" w:cs="宋体"/>
                <w:color w:val="000000"/>
                <w:sz w:val="22"/>
                <w:szCs w:val="22"/>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DC98">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BE28">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8517">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336A">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196A">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7802">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7DCE49E6">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869">
            <w:pPr>
              <w:spacing w:beforeLines="0" w:afterLines="0" w:line="240" w:lineRule="auto"/>
              <w:jc w:val="center"/>
              <w:outlineLvl w:val="9"/>
              <w:rPr>
                <w:rFonts w:hint="eastAsia" w:ascii="宋体" w:hAnsi="宋体" w:eastAsia="宋体" w:cs="宋体"/>
                <w:color w:val="000000"/>
                <w:sz w:val="22"/>
                <w:szCs w:val="22"/>
              </w:rPr>
            </w:pPr>
          </w:p>
        </w:tc>
      </w:tr>
      <w:tr w14:paraId="0761E805">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0988D065">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A228">
            <w:pPr>
              <w:spacing w:beforeLines="0" w:afterLines="0" w:line="240" w:lineRule="auto"/>
              <w:jc w:val="left"/>
              <w:outlineLvl w:val="9"/>
              <w:rPr>
                <w:rFonts w:hint="eastAsia" w:ascii="宋体" w:hAnsi="宋体" w:eastAsia="宋体" w:cs="宋体"/>
                <w:color w:val="000000"/>
                <w:sz w:val="22"/>
                <w:szCs w:val="22"/>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9A04">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D0C1">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EBF3">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6AB5">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BFDD">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D03E">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3447226C">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56BF">
            <w:pPr>
              <w:spacing w:beforeLines="0" w:afterLines="0" w:line="240" w:lineRule="auto"/>
              <w:jc w:val="center"/>
              <w:outlineLvl w:val="9"/>
              <w:rPr>
                <w:rFonts w:hint="eastAsia" w:ascii="宋体" w:hAnsi="宋体" w:eastAsia="宋体" w:cs="宋体"/>
                <w:color w:val="000000"/>
                <w:sz w:val="22"/>
                <w:szCs w:val="22"/>
              </w:rPr>
            </w:pPr>
          </w:p>
        </w:tc>
      </w:tr>
      <w:tr w14:paraId="6BAAC8FF">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0D2B8C65">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857B7">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sz w:val="24"/>
                <w:szCs w:val="24"/>
              </w:rPr>
              <w:t>清洁剂</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CD18">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94D3">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4AF9">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6BE4">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4959">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44A3">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0C8626C4">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CF30">
            <w:pPr>
              <w:spacing w:beforeLines="0" w:afterLines="0" w:line="240" w:lineRule="auto"/>
              <w:jc w:val="center"/>
              <w:outlineLvl w:val="9"/>
              <w:rPr>
                <w:rFonts w:hint="eastAsia" w:ascii="宋体" w:hAnsi="宋体" w:eastAsia="宋体" w:cs="宋体"/>
                <w:color w:val="000000"/>
                <w:sz w:val="22"/>
                <w:szCs w:val="22"/>
              </w:rPr>
            </w:pPr>
          </w:p>
        </w:tc>
      </w:tr>
      <w:tr w14:paraId="68CDCBFF">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3EABA387">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AF237">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4230">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AA8">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5C6D">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7391">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B0FC">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46A8">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7A45235">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E306">
            <w:pPr>
              <w:spacing w:beforeLines="0" w:afterLines="0" w:line="240" w:lineRule="auto"/>
              <w:jc w:val="center"/>
              <w:outlineLvl w:val="9"/>
              <w:rPr>
                <w:rFonts w:hint="eastAsia" w:ascii="宋体" w:hAnsi="宋体" w:eastAsia="宋体" w:cs="宋体"/>
                <w:color w:val="000000"/>
                <w:sz w:val="22"/>
                <w:szCs w:val="22"/>
              </w:rPr>
            </w:pPr>
          </w:p>
        </w:tc>
      </w:tr>
      <w:tr w14:paraId="6D353383">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650ED629">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B2B02">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0ACB">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11FB">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BD9F">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8E2B">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51C4">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8D1A">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8DDC426">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529A">
            <w:pPr>
              <w:spacing w:beforeLines="0" w:afterLines="0" w:line="240" w:lineRule="auto"/>
              <w:jc w:val="center"/>
              <w:outlineLvl w:val="9"/>
              <w:rPr>
                <w:rFonts w:hint="eastAsia" w:ascii="宋体" w:hAnsi="宋体" w:eastAsia="宋体" w:cs="宋体"/>
                <w:color w:val="000000"/>
                <w:sz w:val="22"/>
                <w:szCs w:val="22"/>
              </w:rPr>
            </w:pPr>
          </w:p>
        </w:tc>
      </w:tr>
      <w:tr w14:paraId="6F226B47">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1A6A66AC">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9035F">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sz w:val="24"/>
                <w:szCs w:val="24"/>
              </w:rPr>
              <w:t>稀释剂</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0CBF">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5985">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DFD1">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308F">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4E31">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8D99">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7EFA3409">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1DCC">
            <w:pPr>
              <w:spacing w:beforeLines="0" w:afterLines="0" w:line="240" w:lineRule="auto"/>
              <w:jc w:val="center"/>
              <w:outlineLvl w:val="9"/>
              <w:rPr>
                <w:rFonts w:hint="eastAsia" w:ascii="宋体" w:hAnsi="宋体" w:eastAsia="宋体" w:cs="宋体"/>
                <w:color w:val="000000"/>
                <w:sz w:val="22"/>
                <w:szCs w:val="22"/>
              </w:rPr>
            </w:pPr>
          </w:p>
        </w:tc>
      </w:tr>
      <w:tr w14:paraId="0CD1C9AF">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26861555">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7C53">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9C48">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BF34">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F886">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AC62">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13FF">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C920">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28BD1B1F">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7103">
            <w:pPr>
              <w:spacing w:beforeLines="0" w:afterLines="0" w:line="240" w:lineRule="auto"/>
              <w:jc w:val="center"/>
              <w:outlineLvl w:val="9"/>
              <w:rPr>
                <w:rFonts w:hint="eastAsia" w:ascii="宋体" w:hAnsi="宋体" w:eastAsia="宋体" w:cs="宋体"/>
                <w:color w:val="000000"/>
                <w:sz w:val="22"/>
                <w:szCs w:val="22"/>
              </w:rPr>
            </w:pPr>
          </w:p>
        </w:tc>
      </w:tr>
      <w:tr w14:paraId="0DE7314B">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00539476">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C5BAF">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90A5">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F901">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9034">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354F">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1976">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78DB">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3B020D14">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B3E2">
            <w:pPr>
              <w:spacing w:beforeLines="0" w:afterLines="0" w:line="240" w:lineRule="auto"/>
              <w:jc w:val="center"/>
              <w:outlineLvl w:val="9"/>
              <w:rPr>
                <w:rFonts w:hint="eastAsia" w:ascii="宋体" w:hAnsi="宋体" w:eastAsia="宋体" w:cs="宋体"/>
                <w:color w:val="000000"/>
                <w:sz w:val="22"/>
                <w:szCs w:val="22"/>
              </w:rPr>
            </w:pPr>
          </w:p>
        </w:tc>
      </w:tr>
      <w:tr w14:paraId="12A3FF91">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4A7EE3EB">
            <w:pPr>
              <w:spacing w:beforeLines="0" w:afterLines="0" w:line="240" w:lineRule="auto"/>
              <w:jc w:val="center"/>
              <w:outlineLvl w:val="9"/>
              <w:rPr>
                <w:rFonts w:hint="eastAsia" w:ascii="宋体" w:hAnsi="宋体" w:eastAsia="宋体" w:cs="宋体"/>
                <w:color w:val="000000"/>
                <w:sz w:val="22"/>
                <w:szCs w:val="22"/>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233A2">
            <w:pPr>
              <w:widowControl/>
              <w:spacing w:beforeLines="0" w:afterLines="0" w:line="240" w:lineRule="auto"/>
              <w:jc w:val="center"/>
              <w:textAlignment w:val="center"/>
              <w:outlineLvl w:val="9"/>
              <w:rPr>
                <w:rFonts w:hint="eastAsia" w:ascii="宋体" w:hAnsi="宋体" w:eastAsia="宋体" w:cs="宋体"/>
                <w:color w:val="000000"/>
                <w:sz w:val="24"/>
                <w:szCs w:val="24"/>
              </w:rPr>
            </w:pPr>
            <w:r>
              <w:rPr>
                <w:rFonts w:hint="eastAsia" w:ascii="宋体" w:hAnsi="宋体" w:eastAsia="宋体" w:cs="宋体"/>
                <w:bCs/>
                <w:sz w:val="24"/>
                <w:szCs w:val="24"/>
              </w:rPr>
              <w:t>白胶</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09BA">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B543">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0E1B">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7A08">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CE23">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D9BA">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3ABD5D71">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FE1C">
            <w:pPr>
              <w:spacing w:beforeLines="0" w:afterLines="0" w:line="240" w:lineRule="auto"/>
              <w:jc w:val="center"/>
              <w:outlineLvl w:val="9"/>
              <w:rPr>
                <w:rFonts w:hint="eastAsia" w:ascii="宋体" w:hAnsi="宋体" w:eastAsia="宋体" w:cs="宋体"/>
                <w:color w:val="000000"/>
                <w:sz w:val="22"/>
                <w:szCs w:val="22"/>
              </w:rPr>
            </w:pPr>
          </w:p>
        </w:tc>
      </w:tr>
      <w:tr w14:paraId="491A39DF">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5490B3B3">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972B8">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8063">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C2B3">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C68A">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A321">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A22A">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407">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3995798D">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A122">
            <w:pPr>
              <w:spacing w:beforeLines="0" w:afterLines="0" w:line="240" w:lineRule="auto"/>
              <w:jc w:val="center"/>
              <w:outlineLvl w:val="9"/>
              <w:rPr>
                <w:rFonts w:hint="eastAsia" w:ascii="宋体" w:hAnsi="宋体" w:eastAsia="宋体" w:cs="宋体"/>
                <w:color w:val="000000"/>
                <w:sz w:val="22"/>
                <w:szCs w:val="22"/>
              </w:rPr>
            </w:pPr>
          </w:p>
        </w:tc>
      </w:tr>
      <w:tr w14:paraId="64A616BD">
        <w:tblPrEx>
          <w:tblCellMar>
            <w:top w:w="0" w:type="dxa"/>
            <w:left w:w="108" w:type="dxa"/>
            <w:bottom w:w="0" w:type="dxa"/>
            <w:right w:w="108" w:type="dxa"/>
          </w:tblCellMar>
        </w:tblPrEx>
        <w:trPr>
          <w:trHeight w:val="380" w:hRule="atLeast"/>
        </w:trPr>
        <w:tc>
          <w:tcPr>
            <w:tcW w:w="793" w:type="dxa"/>
            <w:vMerge w:val="continue"/>
            <w:tcBorders>
              <w:left w:val="single" w:color="000000" w:sz="4" w:space="0"/>
              <w:right w:val="single" w:color="000000" w:sz="4" w:space="0"/>
            </w:tcBorders>
            <w:shd w:val="clear" w:color="auto" w:fill="auto"/>
            <w:noWrap/>
            <w:vAlign w:val="center"/>
          </w:tcPr>
          <w:p w14:paraId="36F39DD3">
            <w:pPr>
              <w:spacing w:beforeLines="0" w:afterLines="0" w:line="240" w:lineRule="auto"/>
              <w:jc w:val="center"/>
              <w:outlineLvl w:val="9"/>
              <w:rPr>
                <w:rFonts w:hint="eastAsia" w:ascii="宋体" w:hAnsi="宋体" w:eastAsia="宋体" w:cs="宋体"/>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72E77">
            <w:pPr>
              <w:spacing w:beforeLines="0" w:afterLines="0" w:line="240" w:lineRule="auto"/>
              <w:jc w:val="center"/>
              <w:outlineLvl w:val="9"/>
              <w:rPr>
                <w:rFonts w:hint="eastAsia" w:ascii="宋体" w:hAnsi="宋体" w:eastAsia="宋体" w:cs="宋体"/>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6159">
            <w:pPr>
              <w:widowControl/>
              <w:spacing w:beforeLines="0" w:afterLines="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C587">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B1E0">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86C5">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4DCC">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3425">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right w:val="single" w:color="000000" w:sz="4" w:space="0"/>
            </w:tcBorders>
            <w:shd w:val="clear" w:color="auto" w:fill="auto"/>
            <w:noWrap/>
            <w:vAlign w:val="center"/>
          </w:tcPr>
          <w:p w14:paraId="6709BF0A">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1069">
            <w:pPr>
              <w:spacing w:beforeLines="0" w:afterLines="0" w:line="240" w:lineRule="auto"/>
              <w:jc w:val="center"/>
              <w:outlineLvl w:val="9"/>
              <w:rPr>
                <w:rFonts w:hint="eastAsia" w:ascii="宋体" w:hAnsi="宋体" w:eastAsia="宋体" w:cs="宋体"/>
                <w:color w:val="000000"/>
                <w:sz w:val="22"/>
                <w:szCs w:val="22"/>
              </w:rPr>
            </w:pPr>
          </w:p>
        </w:tc>
      </w:tr>
      <w:tr w14:paraId="5C97BD7C">
        <w:tblPrEx>
          <w:tblCellMar>
            <w:top w:w="0" w:type="dxa"/>
            <w:left w:w="108" w:type="dxa"/>
            <w:bottom w:w="0" w:type="dxa"/>
            <w:right w:w="108" w:type="dxa"/>
          </w:tblCellMar>
        </w:tblPrEx>
        <w:trPr>
          <w:trHeight w:val="380" w:hRule="atLeast"/>
        </w:trPr>
        <w:tc>
          <w:tcPr>
            <w:tcW w:w="793" w:type="dxa"/>
            <w:vMerge w:val="continue"/>
            <w:tcBorders>
              <w:left w:val="single" w:color="000000" w:sz="4" w:space="0"/>
              <w:bottom w:val="single" w:color="000000" w:sz="4" w:space="0"/>
              <w:right w:val="single" w:color="000000" w:sz="4" w:space="0"/>
            </w:tcBorders>
            <w:shd w:val="clear" w:color="auto" w:fill="auto"/>
            <w:noWrap/>
            <w:vAlign w:val="center"/>
          </w:tcPr>
          <w:p w14:paraId="6510ECF5">
            <w:pPr>
              <w:spacing w:beforeLines="0" w:afterLines="0" w:line="240" w:lineRule="auto"/>
              <w:jc w:val="center"/>
              <w:outlineLvl w:val="9"/>
              <w:rPr>
                <w:rFonts w:hint="eastAsia" w:ascii="宋体" w:hAnsi="宋体" w:eastAsia="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F940">
            <w:pPr>
              <w:widowControl/>
              <w:spacing w:beforeLines="0" w:afterLines="0" w:line="240" w:lineRule="auto"/>
              <w:jc w:val="center"/>
              <w:textAlignment w:val="center"/>
              <w:outlineLvl w:val="9"/>
              <w:rPr>
                <w:rFonts w:hint="eastAsia" w:ascii="宋体" w:hAnsi="宋体" w:eastAsia="宋体" w:cs="宋体"/>
                <w:bCs/>
                <w:sz w:val="24"/>
                <w:szCs w:val="24"/>
              </w:rPr>
            </w:pPr>
            <w:r>
              <w:rPr>
                <w:rFonts w:hint="eastAsia" w:ascii="宋体" w:hAnsi="宋体" w:eastAsia="宋体" w:cs="宋体"/>
                <w:bCs/>
                <w:sz w:val="24"/>
                <w:szCs w:val="24"/>
              </w:rPr>
              <w:t>其他</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4DC6">
            <w:pPr>
              <w:spacing w:beforeLines="0" w:afterLines="0" w:line="240" w:lineRule="auto"/>
              <w:jc w:val="center"/>
              <w:outlineLvl w:val="9"/>
              <w:rPr>
                <w:rFonts w:hint="eastAsia" w:ascii="宋体" w:hAnsi="宋体" w:eastAsia="宋体" w:cs="宋体"/>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CCDB">
            <w:pPr>
              <w:spacing w:beforeLines="0" w:afterLines="0" w:line="240" w:lineRule="auto"/>
              <w:jc w:val="center"/>
              <w:outlineLvl w:val="9"/>
              <w:rPr>
                <w:rFonts w:hint="eastAsia" w:ascii="宋体" w:hAnsi="宋体" w:eastAsia="宋体" w:cs="宋体"/>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D10F">
            <w:pPr>
              <w:spacing w:beforeLines="0" w:afterLines="0" w:line="240" w:lineRule="auto"/>
              <w:jc w:val="center"/>
              <w:outlineLvl w:val="9"/>
              <w:rPr>
                <w:rFonts w:hint="eastAsia" w:ascii="宋体" w:hAnsi="宋体" w:eastAsia="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AFBE">
            <w:pPr>
              <w:spacing w:beforeLines="0" w:afterLines="0" w:line="240" w:lineRule="auto"/>
              <w:jc w:val="center"/>
              <w:outlineLvl w:val="9"/>
              <w:rPr>
                <w:rFonts w:hint="eastAsia"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408B">
            <w:pPr>
              <w:spacing w:beforeLines="0" w:afterLines="0" w:line="240" w:lineRule="auto"/>
              <w:jc w:val="center"/>
              <w:outlineLvl w:val="9"/>
              <w:rPr>
                <w:rFonts w:hint="eastAsia" w:ascii="宋体" w:hAnsi="宋体" w:eastAsia="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E22A">
            <w:pPr>
              <w:spacing w:beforeLines="0" w:afterLines="0" w:line="240" w:lineRule="auto"/>
              <w:jc w:val="center"/>
              <w:outlineLvl w:val="9"/>
              <w:rPr>
                <w:rFonts w:hint="eastAsia" w:ascii="宋体" w:hAnsi="宋体" w:eastAsia="宋体" w:cs="宋体"/>
                <w:color w:val="000000"/>
                <w:sz w:val="22"/>
                <w:szCs w:val="22"/>
              </w:rPr>
            </w:pPr>
          </w:p>
        </w:tc>
        <w:tc>
          <w:tcPr>
            <w:tcW w:w="810" w:type="dxa"/>
            <w:vMerge w:val="continue"/>
            <w:tcBorders>
              <w:left w:val="single" w:color="000000" w:sz="4" w:space="0"/>
              <w:bottom w:val="single" w:color="000000" w:sz="4" w:space="0"/>
              <w:right w:val="single" w:color="000000" w:sz="4" w:space="0"/>
            </w:tcBorders>
            <w:shd w:val="clear" w:color="auto" w:fill="auto"/>
            <w:noWrap/>
            <w:vAlign w:val="center"/>
          </w:tcPr>
          <w:p w14:paraId="724A4725">
            <w:pPr>
              <w:spacing w:beforeLines="0" w:afterLines="0" w:line="240" w:lineRule="auto"/>
              <w:jc w:val="center"/>
              <w:outlineLvl w:val="9"/>
              <w:rPr>
                <w:rFonts w:hint="eastAsia" w:ascii="宋体" w:hAnsi="宋体" w:eastAsia="宋体" w:cs="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EA25">
            <w:pPr>
              <w:spacing w:beforeLines="0" w:afterLines="0" w:line="240" w:lineRule="auto"/>
              <w:jc w:val="center"/>
              <w:outlineLvl w:val="9"/>
              <w:rPr>
                <w:rFonts w:hint="eastAsia" w:ascii="宋体" w:hAnsi="宋体" w:eastAsia="宋体" w:cs="宋体"/>
                <w:color w:val="000000"/>
                <w:sz w:val="22"/>
                <w:szCs w:val="22"/>
              </w:rPr>
            </w:pPr>
          </w:p>
        </w:tc>
      </w:tr>
    </w:tbl>
    <w:p w14:paraId="47E9CCF4">
      <w:pPr>
        <w:spacing w:beforeLines="0" w:afterLines="0"/>
        <w:outlineLvl w:val="9"/>
        <w:rPr>
          <w:rFonts w:hint="eastAsia" w:hAnsi="宋体" w:eastAsia="宋体" w:cs="宋体"/>
        </w:rPr>
      </w:pPr>
    </w:p>
    <w:p w14:paraId="119F0FD1">
      <w:pPr>
        <w:spacing w:beforeLines="0" w:afterLines="0"/>
        <w:outlineLvl w:val="9"/>
        <w:rPr>
          <w:rFonts w:hint="eastAsia" w:hAnsi="宋体" w:eastAsia="宋体" w:cs="宋体"/>
        </w:rPr>
      </w:pPr>
    </w:p>
    <w:p w14:paraId="7ECD93B0">
      <w:pPr>
        <w:spacing w:beforeLines="0" w:afterLines="0"/>
        <w:outlineLvl w:val="9"/>
        <w:rPr>
          <w:rFonts w:hint="eastAsia" w:hAnsi="宋体" w:eastAsia="宋体" w:cs="宋体"/>
        </w:rPr>
      </w:pPr>
    </w:p>
    <w:p w14:paraId="0A81F71F">
      <w:pPr>
        <w:spacing w:beforeLines="0" w:afterLines="0"/>
        <w:outlineLvl w:val="9"/>
        <w:rPr>
          <w:rFonts w:hint="eastAsia" w:hAnsi="宋体" w:eastAsia="宋体" w:cs="宋体"/>
        </w:rPr>
      </w:pPr>
    </w:p>
    <w:p w14:paraId="6490812B">
      <w:pPr>
        <w:spacing w:beforeLines="0" w:afterLines="0"/>
        <w:outlineLvl w:val="9"/>
        <w:rPr>
          <w:rFonts w:hint="eastAsia" w:hAnsi="宋体" w:eastAsia="宋体" w:cs="宋体"/>
        </w:rPr>
      </w:pPr>
      <w:r>
        <w:rPr>
          <w:rFonts w:hint="eastAsia" w:hAnsi="宋体" w:eastAsia="宋体" w:cs="宋体"/>
        </w:rPr>
        <w:t>报价表说明：</w:t>
      </w:r>
    </w:p>
    <w:p w14:paraId="11A73F6B">
      <w:pPr>
        <w:snapToGrid w:val="0"/>
        <w:spacing w:beforeLines="0" w:afterLines="0"/>
        <w:ind w:firstLine="480" w:firstLineChars="200"/>
        <w:jc w:val="left"/>
        <w:outlineLvl w:val="9"/>
        <w:rPr>
          <w:rFonts w:hint="eastAsia" w:ascii="宋体" w:hAnsi="宋体" w:eastAsia="宋体" w:cs="宋体"/>
          <w:i/>
          <w:iCs/>
          <w:color w:val="0000FF"/>
          <w:sz w:val="24"/>
          <w:szCs w:val="24"/>
          <w:u w:val="single"/>
        </w:rPr>
      </w:pPr>
      <w:r>
        <w:rPr>
          <w:rFonts w:hint="eastAsia" w:ascii="宋体" w:hAnsi="宋体" w:eastAsia="宋体" w:cs="宋体"/>
          <w:sz w:val="24"/>
          <w:szCs w:val="24"/>
        </w:rPr>
        <w:t>1.供应商按所</w:t>
      </w:r>
      <w:r>
        <w:rPr>
          <w:rFonts w:hint="eastAsia" w:hAnsi="宋体" w:eastAsia="宋体" w:cs="宋体"/>
          <w:sz w:val="24"/>
          <w:szCs w:val="24"/>
          <w:lang w:val="en-US" w:eastAsia="zh-CN"/>
        </w:rPr>
        <w:t>响应</w:t>
      </w:r>
      <w:r>
        <w:rPr>
          <w:rFonts w:hint="eastAsia" w:ascii="宋体" w:hAnsi="宋体" w:eastAsia="宋体" w:cs="宋体"/>
          <w:sz w:val="24"/>
          <w:szCs w:val="24"/>
        </w:rPr>
        <w:t>的标段进行报价，报价涵盖供应商所</w:t>
      </w:r>
      <w:r>
        <w:rPr>
          <w:rFonts w:hint="eastAsia" w:hAnsi="宋体" w:eastAsia="宋体" w:cs="宋体"/>
          <w:sz w:val="24"/>
          <w:szCs w:val="24"/>
          <w:lang w:val="en-US" w:eastAsia="zh-CN"/>
        </w:rPr>
        <w:t>响应</w:t>
      </w:r>
      <w:r>
        <w:rPr>
          <w:rFonts w:hint="eastAsia" w:ascii="宋体" w:hAnsi="宋体" w:eastAsia="宋体" w:cs="宋体"/>
          <w:sz w:val="24"/>
          <w:szCs w:val="24"/>
        </w:rPr>
        <w:t>标段的所有品类可供产品。</w:t>
      </w:r>
      <w:r>
        <w:rPr>
          <w:rFonts w:hint="eastAsia" w:ascii="宋体" w:hAnsi="宋体" w:eastAsia="宋体" w:cs="宋体"/>
          <w:b w:val="0"/>
          <w:bCs/>
          <w:i w:val="0"/>
          <w:iCs w:val="0"/>
          <w:sz w:val="24"/>
          <w:szCs w:val="24"/>
          <w:u w:val="none"/>
        </w:rPr>
        <w:t>供应商提供的产品必须与供应江苏区域市场的产品属同品牌、同型号，不得针对本项目编制单独的产品型号。</w:t>
      </w:r>
    </w:p>
    <w:p w14:paraId="0D4749F4">
      <w:pPr>
        <w:snapToGrid w:val="0"/>
        <w:spacing w:beforeLines="0" w:afterLines="0"/>
        <w:ind w:firstLine="480" w:firstLineChars="200"/>
        <w:jc w:val="left"/>
        <w:outlineLvl w:val="9"/>
        <w:rPr>
          <w:rFonts w:hint="eastAsia" w:ascii="宋体" w:hAnsi="宋体" w:eastAsia="宋体" w:cs="宋体"/>
          <w:b/>
          <w:bCs/>
          <w:sz w:val="24"/>
          <w:szCs w:val="24"/>
        </w:rPr>
      </w:pPr>
      <w:r>
        <w:rPr>
          <w:rFonts w:hint="eastAsia" w:ascii="宋体" w:hAnsi="宋体" w:eastAsia="宋体" w:cs="宋体"/>
          <w:sz w:val="24"/>
          <w:szCs w:val="24"/>
        </w:rPr>
        <w:t>2.</w:t>
      </w:r>
      <w:r>
        <w:rPr>
          <w:rFonts w:hint="eastAsia" w:hAnsi="宋体" w:eastAsia="宋体" w:cs="宋体"/>
          <w:sz w:val="24"/>
          <w:szCs w:val="24"/>
          <w:lang w:val="en-US" w:eastAsia="zh-CN"/>
        </w:rPr>
        <w:t>响应</w:t>
      </w:r>
      <w:r>
        <w:rPr>
          <w:rFonts w:hint="eastAsia" w:ascii="宋体" w:hAnsi="宋体" w:eastAsia="宋体" w:cs="宋体"/>
          <w:color w:val="000000" w:themeColor="text1"/>
          <w:sz w:val="24"/>
          <w:szCs w:val="24"/>
          <w14:textFill>
            <w14:solidFill>
              <w14:schemeClr w14:val="tx1"/>
            </w14:solidFill>
          </w14:textFill>
        </w:rPr>
        <w:t>多个标段时须按标段分别报价</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Cs/>
          <w:sz w:val="24"/>
          <w:szCs w:val="24"/>
        </w:rPr>
        <w:t>报价时须注明品牌、生产厂家等信息。</w:t>
      </w:r>
    </w:p>
    <w:p w14:paraId="0A6BD6CA">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3.产品报价包括材料、生产、人工、运输、安装、损耗、免费维保等所有费用，成交后不得再向采购人</w:t>
      </w:r>
      <w:r>
        <w:rPr>
          <w:rFonts w:hint="eastAsia" w:hAnsi="宋体" w:eastAsia="宋体" w:cs="宋体"/>
          <w:sz w:val="24"/>
          <w:szCs w:val="24"/>
          <w:lang w:val="en-US" w:eastAsia="zh-CN"/>
        </w:rPr>
        <w:t>终端用户</w:t>
      </w:r>
      <w:r>
        <w:rPr>
          <w:rFonts w:hint="eastAsia" w:ascii="宋体" w:hAnsi="宋体" w:eastAsia="宋体" w:cs="宋体"/>
          <w:sz w:val="24"/>
          <w:szCs w:val="24"/>
        </w:rPr>
        <w:t>收取其他任何费用。</w:t>
      </w:r>
    </w:p>
    <w:p w14:paraId="4C287787">
      <w:pPr>
        <w:snapToGrid w:val="0"/>
        <w:spacing w:beforeLines="0" w:afterLines="0"/>
        <w:ind w:firstLine="475" w:firstLineChars="198"/>
        <w:jc w:val="left"/>
        <w:outlineLvl w:val="9"/>
        <w:rPr>
          <w:rFonts w:hint="eastAsia" w:ascii="宋体" w:hAnsi="宋体" w:eastAsia="宋体" w:cs="宋体"/>
          <w:sz w:val="24"/>
          <w:szCs w:val="24"/>
        </w:rPr>
      </w:pPr>
      <w:r>
        <w:rPr>
          <w:rFonts w:hint="eastAsia" w:ascii="宋体" w:hAnsi="宋体" w:eastAsia="宋体" w:cs="宋体"/>
          <w:sz w:val="24"/>
          <w:szCs w:val="24"/>
        </w:rPr>
        <w:t>4.供应商应列出所供产品清单、磋商</w:t>
      </w:r>
      <w:r>
        <w:rPr>
          <w:rFonts w:hint="eastAsia" w:ascii="宋体" w:hAnsi="宋体" w:eastAsia="宋体" w:cs="宋体"/>
          <w:sz w:val="24"/>
          <w:szCs w:val="24"/>
          <w:lang w:val="en-US" w:eastAsia="zh-CN"/>
        </w:rPr>
        <w:t>开启日</w:t>
      </w:r>
      <w:r>
        <w:rPr>
          <w:rFonts w:hint="eastAsia" w:ascii="宋体" w:hAnsi="宋体" w:eastAsia="宋体" w:cs="宋体"/>
          <w:sz w:val="24"/>
          <w:szCs w:val="24"/>
        </w:rPr>
        <w:t>前2年</w:t>
      </w:r>
      <w:r>
        <w:rPr>
          <w:rFonts w:hint="eastAsia" w:ascii="宋体" w:hAnsi="宋体" w:eastAsia="宋体" w:cs="宋体"/>
          <w:sz w:val="24"/>
          <w:szCs w:val="24"/>
          <w:lang w:val="en-US" w:eastAsia="zh-CN"/>
        </w:rPr>
        <w:t>内</w:t>
      </w:r>
      <w:r>
        <w:rPr>
          <w:rFonts w:hint="eastAsia" w:ascii="宋体" w:hAnsi="宋体" w:eastAsia="宋体" w:cs="宋体"/>
          <w:sz w:val="24"/>
          <w:szCs w:val="24"/>
        </w:rPr>
        <w:t>供应江苏区域最新市场销售价格、磋商报价和统一价格折扣比例。价格折扣比例=(产品报价/磋商</w:t>
      </w:r>
      <w:r>
        <w:rPr>
          <w:rFonts w:hint="eastAsia" w:ascii="宋体" w:hAnsi="宋体" w:eastAsia="宋体" w:cs="宋体"/>
          <w:sz w:val="24"/>
          <w:szCs w:val="24"/>
          <w:lang w:val="en-US" w:eastAsia="zh-CN"/>
        </w:rPr>
        <w:t>开启日</w:t>
      </w:r>
      <w:r>
        <w:rPr>
          <w:rFonts w:hint="eastAsia" w:ascii="宋体" w:hAnsi="宋体" w:eastAsia="宋体" w:cs="宋体"/>
          <w:sz w:val="24"/>
          <w:szCs w:val="24"/>
        </w:rPr>
        <w:t>前2年</w:t>
      </w:r>
      <w:r>
        <w:rPr>
          <w:rFonts w:hint="eastAsia" w:ascii="宋体" w:hAnsi="宋体" w:eastAsia="宋体" w:cs="宋体"/>
          <w:sz w:val="24"/>
          <w:szCs w:val="24"/>
          <w:lang w:val="en-US" w:eastAsia="zh-CN"/>
        </w:rPr>
        <w:t>内</w:t>
      </w:r>
      <w:r>
        <w:rPr>
          <w:rFonts w:hint="eastAsia" w:ascii="宋体" w:hAnsi="宋体" w:eastAsia="宋体" w:cs="宋体"/>
          <w:sz w:val="24"/>
          <w:szCs w:val="24"/>
        </w:rPr>
        <w:t>供应江苏区域最新市场销售价格)×100%。</w:t>
      </w:r>
    </w:p>
    <w:p w14:paraId="3DACB76F">
      <w:pPr>
        <w:snapToGrid w:val="0"/>
        <w:spacing w:beforeLines="0" w:afterLines="0"/>
        <w:ind w:firstLine="482" w:firstLineChars="200"/>
        <w:jc w:val="left"/>
        <w:outlineLvl w:val="9"/>
        <w:rPr>
          <w:rFonts w:hint="eastAsia" w:ascii="宋体" w:hAnsi="宋体" w:eastAsia="宋体" w:cs="宋体"/>
          <w:b/>
          <w:bCs/>
          <w:i w:val="0"/>
          <w:iCs w:val="0"/>
          <w:sz w:val="24"/>
          <w:szCs w:val="24"/>
          <w:u w:val="none"/>
        </w:rPr>
      </w:pPr>
      <w:r>
        <w:rPr>
          <w:rFonts w:hint="eastAsia" w:ascii="宋体" w:hAnsi="宋体" w:eastAsia="宋体" w:cs="宋体"/>
          <w:b/>
          <w:bCs/>
          <w:i w:val="0"/>
          <w:iCs w:val="0"/>
          <w:sz w:val="24"/>
          <w:szCs w:val="24"/>
          <w:u w:val="none"/>
        </w:rPr>
        <w:t>5.供应商对</w:t>
      </w:r>
      <w:r>
        <w:rPr>
          <w:rFonts w:hint="eastAsia" w:hAnsi="宋体" w:eastAsia="宋体" w:cs="宋体"/>
          <w:b/>
          <w:bCs/>
          <w:i w:val="0"/>
          <w:iCs w:val="0"/>
          <w:sz w:val="24"/>
          <w:szCs w:val="24"/>
          <w:highlight w:val="none"/>
          <w:u w:val="none"/>
          <w:lang w:val="en-US" w:eastAsia="zh-CN"/>
        </w:rPr>
        <w:t>同一标段</w:t>
      </w:r>
      <w:r>
        <w:rPr>
          <w:rFonts w:hint="eastAsia" w:ascii="宋体" w:hAnsi="宋体" w:eastAsia="宋体" w:cs="宋体"/>
          <w:b/>
          <w:bCs/>
          <w:i w:val="0"/>
          <w:iCs w:val="0"/>
          <w:sz w:val="24"/>
          <w:szCs w:val="24"/>
          <w:highlight w:val="none"/>
          <w:u w:val="none"/>
        </w:rPr>
        <w:t>所供产品</w:t>
      </w:r>
      <w:r>
        <w:rPr>
          <w:rFonts w:hint="eastAsia" w:ascii="宋体" w:hAnsi="宋体" w:eastAsia="宋体" w:cs="宋体"/>
          <w:b/>
          <w:bCs/>
          <w:i w:val="0"/>
          <w:iCs w:val="0"/>
          <w:sz w:val="24"/>
          <w:szCs w:val="24"/>
          <w:u w:val="none"/>
        </w:rPr>
        <w:t>只能报一个唯一的价格折扣比例。</w:t>
      </w:r>
    </w:p>
    <w:p w14:paraId="393AC479">
      <w:pPr>
        <w:snapToGrid w:val="0"/>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6.行数不够，可自行添加。</w:t>
      </w:r>
    </w:p>
    <w:p w14:paraId="30565C39">
      <w:pPr>
        <w:snapToGrid w:val="0"/>
        <w:spacing w:beforeLines="0" w:afterLines="0"/>
        <w:ind w:firstLine="480" w:firstLineChars="200"/>
        <w:jc w:val="left"/>
        <w:outlineLvl w:val="9"/>
        <w:rPr>
          <w:rFonts w:hint="eastAsia" w:ascii="宋体" w:hAnsi="宋体" w:eastAsia="宋体" w:cs="宋体"/>
          <w:b/>
          <w:bCs/>
          <w:sz w:val="24"/>
          <w:szCs w:val="24"/>
        </w:rPr>
      </w:pPr>
      <w:r>
        <w:rPr>
          <w:rFonts w:hint="eastAsia" w:ascii="宋体" w:hAnsi="宋体" w:eastAsia="宋体" w:cs="宋体"/>
          <w:bCs/>
          <w:sz w:val="24"/>
          <w:szCs w:val="24"/>
        </w:rPr>
        <w:t>报价时须注明品牌、生产厂家等信息。</w:t>
      </w:r>
    </w:p>
    <w:p w14:paraId="01922F55">
      <w:pPr>
        <w:spacing w:before="0" w:beforeLines="0" w:after="0" w:afterLines="0" w:line="360" w:lineRule="auto"/>
        <w:outlineLvl w:val="9"/>
        <w:rPr>
          <w:rFonts w:hint="eastAsia" w:ascii="宋体" w:hAnsi="宋体" w:eastAsia="宋体" w:cs="宋体"/>
        </w:rPr>
      </w:pPr>
    </w:p>
    <w:p w14:paraId="2C4FDEED">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供应商全称（加盖公章）：</w:t>
      </w:r>
    </w:p>
    <w:p w14:paraId="4F25D977">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74839E3A">
      <w:pPr>
        <w:snapToGrid w:val="0"/>
        <w:spacing w:beforeLines="0" w:afterLines="0"/>
        <w:ind w:firstLine="204" w:firstLineChars="85"/>
        <w:jc w:val="left"/>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4A24A4AD">
      <w:pPr>
        <w:snapToGrid w:val="0"/>
        <w:spacing w:beforeLines="0" w:afterLines="0"/>
        <w:ind w:firstLine="204" w:firstLineChars="85"/>
        <w:jc w:val="left"/>
        <w:outlineLvl w:val="9"/>
        <w:rPr>
          <w:rFonts w:hint="eastAsia" w:ascii="宋体" w:hAnsi="宋体" w:eastAsia="宋体" w:cs="宋体"/>
          <w:bCs/>
          <w:sz w:val="24"/>
          <w:szCs w:val="24"/>
        </w:rPr>
      </w:pPr>
    </w:p>
    <w:p w14:paraId="4BE6F842">
      <w:pPr>
        <w:spacing w:beforeLines="0" w:afterLine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774645B6">
      <w:pPr>
        <w:spacing w:beforeLines="0" w:afterLines="0" w:line="360" w:lineRule="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格式3</w:t>
      </w:r>
      <w:r>
        <w:rPr>
          <w:rFonts w:hint="eastAsia" w:ascii="宋体" w:hAnsi="宋体" w:eastAsia="宋体" w:cs="宋体"/>
          <w:color w:val="000000" w:themeColor="text1"/>
          <w:sz w:val="24"/>
          <w:szCs w:val="24"/>
          <w14:textFill>
            <w14:solidFill>
              <w14:schemeClr w14:val="tx1"/>
            </w14:solidFill>
          </w14:textFill>
        </w:rPr>
        <w:t xml:space="preserve">                </w:t>
      </w:r>
    </w:p>
    <w:p w14:paraId="6418CD9B">
      <w:pPr>
        <w:spacing w:before="0" w:beforeLines="0" w:after="0" w:afterLines="0" w:line="360" w:lineRule="auto"/>
        <w:jc w:val="center"/>
        <w:outlineLvl w:val="9"/>
        <w:rPr>
          <w:rFonts w:hint="eastAsia" w:ascii="宋体" w:hAnsi="宋体" w:eastAsia="宋体" w:cs="宋体"/>
          <w:b/>
          <w:bCs/>
          <w:i w:val="0"/>
          <w:iCs w:val="0"/>
          <w:sz w:val="30"/>
          <w:szCs w:val="30"/>
          <w:u w:val="none"/>
        </w:rPr>
      </w:pPr>
      <w:r>
        <w:rPr>
          <w:rFonts w:hint="eastAsia" w:ascii="宋体" w:hAnsi="宋体" w:eastAsia="宋体" w:cs="宋体"/>
          <w:b/>
          <w:bCs/>
          <w:i w:val="0"/>
          <w:iCs w:val="0"/>
          <w:sz w:val="30"/>
          <w:szCs w:val="30"/>
          <w:u w:val="none"/>
        </w:rPr>
        <w:t>法定代表人身份证明</w:t>
      </w:r>
    </w:p>
    <w:p w14:paraId="0E396E20">
      <w:pPr>
        <w:snapToGrid w:val="0"/>
        <w:spacing w:beforeLines="0" w:afterLines="0"/>
        <w:ind w:firstLine="480"/>
        <w:jc w:val="left"/>
        <w:outlineLvl w:val="9"/>
        <w:rPr>
          <w:rFonts w:hint="eastAsia" w:ascii="宋体" w:hAnsi="宋体" w:eastAsia="宋体" w:cs="宋体"/>
          <w:sz w:val="24"/>
          <w:szCs w:val="24"/>
        </w:rPr>
      </w:pPr>
    </w:p>
    <w:p w14:paraId="4C95BC06">
      <w:pPr>
        <w:snapToGrid w:val="0"/>
        <w:spacing w:beforeLines="0" w:afterLines="0"/>
        <w:jc w:val="left"/>
        <w:outlineLvl w:val="9"/>
        <w:rPr>
          <w:rFonts w:hint="eastAsia" w:ascii="宋体" w:hAnsi="宋体" w:eastAsia="宋体" w:cs="宋体"/>
          <w:sz w:val="24"/>
          <w:szCs w:val="24"/>
        </w:rPr>
      </w:pPr>
      <w:r>
        <w:rPr>
          <w:rFonts w:hint="eastAsia" w:ascii="宋体" w:hAnsi="宋体" w:eastAsia="宋体" w:cs="宋体"/>
          <w:sz w:val="24"/>
          <w:szCs w:val="24"/>
          <w:u w:val="single"/>
        </w:rPr>
        <w:t>江苏丰之源有限公司：</w:t>
      </w:r>
    </w:p>
    <w:p w14:paraId="4AC257BE">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兹有</w:t>
      </w:r>
      <w:r>
        <w:rPr>
          <w:rFonts w:hint="eastAsia" w:ascii="宋体" w:hAnsi="宋体" w:eastAsia="宋体" w:cs="宋体"/>
          <w:sz w:val="24"/>
          <w:szCs w:val="24"/>
          <w:u w:val="single"/>
        </w:rPr>
        <w:t xml:space="preserve">        </w:t>
      </w:r>
      <w:r>
        <w:rPr>
          <w:rFonts w:hint="eastAsia" w:ascii="宋体" w:hAnsi="宋体" w:eastAsia="宋体" w:cs="宋体"/>
          <w:sz w:val="24"/>
          <w:szCs w:val="24"/>
        </w:rPr>
        <w:t>同志，性别</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，在我单位担任</w:t>
      </w:r>
      <w:r>
        <w:rPr>
          <w:rFonts w:hint="eastAsia" w:ascii="宋体" w:hAnsi="宋体" w:eastAsia="宋体" w:cs="宋体"/>
          <w:sz w:val="24"/>
          <w:szCs w:val="24"/>
          <w:u w:val="single"/>
        </w:rPr>
        <w:t xml:space="preserve">           </w:t>
      </w:r>
      <w:r>
        <w:rPr>
          <w:rFonts w:hint="eastAsia" w:ascii="宋体" w:hAnsi="宋体" w:eastAsia="宋体" w:cs="宋体"/>
          <w:sz w:val="24"/>
          <w:szCs w:val="24"/>
        </w:rPr>
        <w:t>职务，系我单位的法定代表人。</w:t>
      </w:r>
    </w:p>
    <w:p w14:paraId="3754BECD">
      <w:pPr>
        <w:snapToGrid w:val="0"/>
        <w:spacing w:beforeLines="0" w:afterLines="0"/>
        <w:ind w:firstLine="480"/>
        <w:jc w:val="left"/>
        <w:outlineLvl w:val="9"/>
        <w:rPr>
          <w:rFonts w:hint="eastAsia" w:ascii="宋体" w:hAnsi="宋体" w:eastAsia="宋体" w:cs="宋体"/>
          <w:sz w:val="24"/>
          <w:szCs w:val="24"/>
        </w:rPr>
      </w:pPr>
    </w:p>
    <w:p w14:paraId="52743A9E">
      <w:pPr>
        <w:snapToGrid w:val="0"/>
        <w:spacing w:beforeLines="0" w:afterLines="0"/>
        <w:ind w:firstLine="480"/>
        <w:jc w:val="left"/>
        <w:outlineLvl w:val="9"/>
        <w:rPr>
          <w:rFonts w:hint="eastAsia" w:ascii="宋体" w:hAnsi="宋体" w:eastAsia="宋体" w:cs="宋体"/>
          <w:sz w:val="24"/>
          <w:szCs w:val="24"/>
        </w:rPr>
      </w:pPr>
      <w:r>
        <w:rPr>
          <w:rFonts w:hint="eastAsia" w:ascii="宋体" w:hAnsi="宋体" w:eastAsia="宋体" w:cs="宋体"/>
          <w:sz w:val="24"/>
          <w:szCs w:val="24"/>
        </w:rPr>
        <w:t>特此证明。</w:t>
      </w:r>
    </w:p>
    <w:p w14:paraId="60F2B1EC">
      <w:pPr>
        <w:snapToGrid w:val="0"/>
        <w:spacing w:beforeLines="0" w:afterLines="0"/>
        <w:ind w:firstLine="48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rPr>
        <w:t>身份证复印件：</w:t>
      </w:r>
    </w:p>
    <w:p w14:paraId="5E59ACAD">
      <w:pPr>
        <w:snapToGrid w:val="0"/>
        <w:spacing w:beforeLines="0" w:afterLines="0"/>
        <w:ind w:firstLine="480"/>
        <w:jc w:val="left"/>
        <w:outlineLvl w:val="9"/>
        <w:rPr>
          <w:rFonts w:hint="eastAsia" w:ascii="宋体" w:hAnsi="宋体" w:eastAsia="宋体" w:cs="宋体"/>
          <w:sz w:val="24"/>
          <w:szCs w:val="24"/>
        </w:rPr>
      </w:pPr>
    </w:p>
    <w:p w14:paraId="4980CA29">
      <w:pPr>
        <w:snapToGrid w:val="0"/>
        <w:spacing w:beforeLines="0" w:afterLines="0"/>
        <w:jc w:val="left"/>
        <w:outlineLvl w:val="9"/>
        <w:rPr>
          <w:rFonts w:hint="eastAsia" w:ascii="宋体" w:hAnsi="宋体" w:eastAsia="宋体" w:cs="宋体"/>
          <w:sz w:val="24"/>
          <w:szCs w:val="24"/>
        </w:rPr>
      </w:pPr>
    </w:p>
    <w:p w14:paraId="454A351B">
      <w:pPr>
        <w:widowControl/>
        <w:snapToGrid w:val="0"/>
        <w:spacing w:beforeLines="0" w:afterLine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1E60A5A">
      <w:pPr>
        <w:widowControl/>
        <w:snapToGrid w:val="0"/>
        <w:spacing w:beforeLines="0" w:afterLines="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147526A2">
      <w:pPr>
        <w:spacing w:beforeLines="0" w:afterLines="0" w:line="360" w:lineRule="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66CA4E54">
      <w:pPr>
        <w:spacing w:beforeLines="0" w:afterLines="0" w:line="360" w:lineRule="auto"/>
        <w:jc w:val="left"/>
        <w:outlineLvl w:val="9"/>
        <w:rPr>
          <w:rFonts w:hint="eastAsia" w:ascii="宋体" w:hAnsi="宋体" w:eastAsia="宋体" w:cs="宋体"/>
          <w:color w:val="000000" w:themeColor="text1"/>
          <w:sz w:val="24"/>
          <w:szCs w:val="24"/>
          <w14:textFill>
            <w14:solidFill>
              <w14:schemeClr w14:val="tx1"/>
            </w14:solidFill>
          </w14:textFill>
        </w:rPr>
      </w:pPr>
    </w:p>
    <w:p w14:paraId="530535BB">
      <w:pPr>
        <w:spacing w:beforeLines="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14:paraId="2D7EAA58">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格式4</w:t>
      </w:r>
    </w:p>
    <w:p w14:paraId="7236FCBA">
      <w:pPr>
        <w:spacing w:before="0" w:beforeLines="0" w:after="0" w:afterLines="0" w:line="360" w:lineRule="auto"/>
        <w:jc w:val="center"/>
        <w:outlineLvl w:val="9"/>
        <w:rPr>
          <w:rFonts w:hint="eastAsia" w:ascii="宋体" w:hAnsi="宋体" w:eastAsia="宋体" w:cs="宋体"/>
          <w:b/>
          <w:bCs/>
          <w:i w:val="0"/>
          <w:iCs w:val="0"/>
          <w:sz w:val="30"/>
          <w:szCs w:val="30"/>
          <w:u w:val="none"/>
          <w:lang w:val="zh-CN"/>
        </w:rPr>
      </w:pPr>
      <w:r>
        <w:rPr>
          <w:rFonts w:hint="eastAsia" w:ascii="宋体" w:hAnsi="宋体" w:eastAsia="宋体" w:cs="宋体"/>
          <w:b/>
          <w:bCs/>
          <w:i w:val="0"/>
          <w:iCs w:val="0"/>
          <w:sz w:val="30"/>
          <w:szCs w:val="30"/>
          <w:u w:val="none"/>
          <w:lang w:val="zh-CN"/>
        </w:rPr>
        <w:t>授权委托书</w:t>
      </w:r>
    </w:p>
    <w:p w14:paraId="08D089FB">
      <w:pPr>
        <w:spacing w:before="0" w:beforeLines="0" w:after="0" w:afterLines="0" w:line="360" w:lineRule="auto"/>
        <w:jc w:val="center"/>
        <w:outlineLvl w:val="9"/>
        <w:rPr>
          <w:rFonts w:hint="eastAsia" w:ascii="宋体" w:hAnsi="宋体" w:eastAsia="宋体" w:cs="宋体"/>
          <w:b/>
          <w:bCs/>
          <w:i w:val="0"/>
          <w:iCs w:val="0"/>
          <w:sz w:val="30"/>
          <w:szCs w:val="30"/>
          <w:u w:val="none"/>
          <w:lang w:val="zh-CN"/>
        </w:rPr>
      </w:pPr>
    </w:p>
    <w:p w14:paraId="50B59622">
      <w:pPr>
        <w:snapToGrid w:val="0"/>
        <w:spacing w:beforeLines="0" w:afterLines="0"/>
        <w:outlineLvl w:val="9"/>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p w14:paraId="6230B0DC">
      <w:pPr>
        <w:snapToGrid w:val="0"/>
        <w:spacing w:beforeLines="0" w:afterLine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致：江苏丰之源有限公司</w:t>
      </w:r>
    </w:p>
    <w:p w14:paraId="5D5C51BB">
      <w:pPr>
        <w:snapToGrid w:val="0"/>
        <w:spacing w:beforeLines="0" w:afterLines="0"/>
        <w:ind w:firstLine="360" w:firstLineChars="150"/>
        <w:jc w:val="left"/>
        <w:outlineLvl w:val="9"/>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注册于（注册地址）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的（供应商名称）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37DB5DF">
      <w:pPr>
        <w:snapToGrid w:val="0"/>
        <w:spacing w:beforeLines="0" w:afterLine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系中华人民共和国合法企业；本人（授权人姓名）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系该公司的法定代表人。现特授权本单位的（被授权人姓名）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为我公司合法代理人，全权代表我公司办理就</w:t>
      </w:r>
      <w:r>
        <w:rPr>
          <w:rFonts w:hint="eastAsia" w:ascii="宋体" w:hAnsi="宋体" w:eastAsia="宋体" w:cs="宋体"/>
          <w:sz w:val="24"/>
          <w:szCs w:val="24"/>
          <w:u w:val="single"/>
        </w:rPr>
        <w:t xml:space="preserve">                  （项目名称）标段    </w:t>
      </w:r>
      <w:r>
        <w:rPr>
          <w:rFonts w:hint="eastAsia" w:ascii="宋体" w:hAnsi="宋体" w:eastAsia="宋体" w:cs="宋体"/>
          <w:color w:val="000000" w:themeColor="text1"/>
          <w:sz w:val="24"/>
          <w:szCs w:val="24"/>
          <w14:textFill>
            <w14:solidFill>
              <w14:schemeClr w14:val="tx1"/>
            </w14:solidFill>
          </w14:textFill>
        </w:rPr>
        <w:t>项目的响应、磋商、谈判、签约等具体工作，并签署全部有关的文件、协议及合同。</w:t>
      </w:r>
    </w:p>
    <w:p w14:paraId="1CA4732E">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我公司对被授权人的签名负全部责任。</w:t>
      </w:r>
    </w:p>
    <w:p w14:paraId="00077D64">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14:paraId="2C825153">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被授权人无转委托权。特此声明。</w:t>
      </w:r>
    </w:p>
    <w:p w14:paraId="16DB8B66">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被授权人身份证复印件：</w:t>
      </w:r>
    </w:p>
    <w:p w14:paraId="02311B45">
      <w:pPr>
        <w:snapToGrid w:val="0"/>
        <w:spacing w:beforeLines="0" w:afterLines="0"/>
        <w:ind w:firstLine="204" w:firstLineChars="85"/>
        <w:outlineLvl w:val="9"/>
        <w:rPr>
          <w:rFonts w:hint="eastAsia" w:ascii="宋体" w:hAnsi="宋体" w:eastAsia="宋体" w:cs="宋体"/>
          <w:color w:val="000000" w:themeColor="text1"/>
          <w:sz w:val="24"/>
          <w:szCs w:val="24"/>
          <w14:textFill>
            <w14:solidFill>
              <w14:schemeClr w14:val="tx1"/>
            </w14:solidFill>
          </w14:textFill>
        </w:rPr>
      </w:pPr>
    </w:p>
    <w:p w14:paraId="10A1FD53">
      <w:pPr>
        <w:snapToGrid w:val="0"/>
        <w:spacing w:beforeLines="0" w:afterLines="0"/>
        <w:ind w:firstLine="204" w:firstLineChars="85"/>
        <w:outlineLvl w:val="9"/>
        <w:rPr>
          <w:rFonts w:hint="eastAsia" w:ascii="宋体" w:hAnsi="宋体" w:eastAsia="宋体" w:cs="宋体"/>
          <w:color w:val="000000" w:themeColor="text1"/>
          <w:sz w:val="24"/>
          <w:szCs w:val="24"/>
          <w14:textFill>
            <w14:solidFill>
              <w14:schemeClr w14:val="tx1"/>
            </w14:solidFill>
          </w14:textFill>
        </w:rPr>
      </w:pPr>
    </w:p>
    <w:p w14:paraId="3DB3DF4B">
      <w:pPr>
        <w:snapToGrid w:val="0"/>
        <w:spacing w:beforeLines="0" w:afterLine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14:paraId="22406EBA">
      <w:pPr>
        <w:snapToGrid w:val="0"/>
        <w:spacing w:beforeLines="0" w:afterLine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授权人签名：         职 务：</w:t>
      </w:r>
    </w:p>
    <w:p w14:paraId="798FE873">
      <w:pPr>
        <w:snapToGrid w:val="0"/>
        <w:spacing w:beforeLines="0" w:afterLine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被授权人签名：</w:t>
      </w:r>
    </w:p>
    <w:p w14:paraId="6963454F">
      <w:pPr>
        <w:snapToGrid w:val="0"/>
        <w:spacing w:beforeLines="0" w:afterLine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0F73F9D9">
      <w:pPr>
        <w:snapToGrid w:val="0"/>
        <w:spacing w:beforeLines="0" w:afterLines="0"/>
        <w:ind w:firstLine="204" w:firstLineChars="85"/>
        <w:outlineLvl w:val="9"/>
        <w:rPr>
          <w:rFonts w:hint="eastAsia" w:ascii="宋体" w:hAnsi="宋体" w:eastAsia="宋体" w:cs="宋体"/>
          <w:color w:val="000000" w:themeColor="text1"/>
          <w:sz w:val="24"/>
          <w:szCs w:val="24"/>
          <w14:textFill>
            <w14:solidFill>
              <w14:schemeClr w14:val="tx1"/>
            </w14:solidFill>
          </w14:textFill>
        </w:rPr>
      </w:pPr>
    </w:p>
    <w:p w14:paraId="7E538812">
      <w:pPr>
        <w:snapToGrid w:val="0"/>
        <w:spacing w:beforeLines="0" w:afterLine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注：供应商法定代表人参加响应的，提供法定代表人证明和身份证明即可。</w:t>
      </w:r>
    </w:p>
    <w:p w14:paraId="374AA2EB">
      <w:pPr>
        <w:spacing w:before="0" w:beforeLines="0" w:after="0" w:afterLines="0" w:line="360" w:lineRule="auto"/>
        <w:ind w:firstLine="205" w:firstLineChars="85"/>
        <w:jc w:val="left"/>
        <w:outlineLvl w:val="9"/>
        <w:rPr>
          <w:rFonts w:hint="eastAsia" w:ascii="宋体" w:hAnsi="宋体" w:eastAsia="宋体" w:cs="宋体"/>
          <w:b/>
          <w:bCs/>
          <w:color w:val="000000" w:themeColor="text1"/>
          <w:sz w:val="24"/>
          <w:szCs w:val="24"/>
          <w:lang w:val="zh-CN"/>
          <w14:textFill>
            <w14:solidFill>
              <w14:schemeClr w14:val="tx1"/>
            </w14:solidFill>
          </w14:textFill>
        </w:rPr>
      </w:pPr>
    </w:p>
    <w:p w14:paraId="2888F30C">
      <w:pPr>
        <w:spacing w:beforeLines="0" w:afterLines="0" w:line="360" w:lineRule="auto"/>
        <w:jc w:val="left"/>
        <w:outlineLvl w:val="9"/>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79ED1DE7">
      <w:pPr>
        <w:snapToGrid w:val="0"/>
        <w:spacing w:beforeLines="0" w:afterLines="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格式</w:t>
      </w:r>
      <w:r>
        <w:rPr>
          <w:rFonts w:hint="eastAsia" w:ascii="宋体" w:hAnsi="宋体" w:eastAsia="宋体" w:cs="宋体"/>
          <w:b/>
          <w:bCs/>
          <w:color w:val="000000" w:themeColor="text1"/>
          <w:sz w:val="24"/>
          <w:szCs w:val="24"/>
          <w14:textFill>
            <w14:solidFill>
              <w14:schemeClr w14:val="tx1"/>
            </w14:solidFill>
          </w14:textFill>
        </w:rPr>
        <w:t>5</w:t>
      </w:r>
    </w:p>
    <w:p w14:paraId="5DC37F95">
      <w:pPr>
        <w:spacing w:before="0" w:beforeLines="0" w:after="0" w:afterLines="0" w:line="360" w:lineRule="auto"/>
        <w:jc w:val="center"/>
        <w:outlineLvl w:val="9"/>
        <w:rPr>
          <w:rFonts w:hint="eastAsia" w:ascii="宋体" w:hAnsi="宋体" w:eastAsia="宋体" w:cs="宋体"/>
          <w:b/>
          <w:bCs/>
          <w:i w:val="0"/>
          <w:iCs w:val="0"/>
          <w:sz w:val="30"/>
          <w:szCs w:val="30"/>
          <w:u w:val="none"/>
          <w:lang w:val="zh-CN"/>
        </w:rPr>
      </w:pPr>
      <w:r>
        <w:rPr>
          <w:rFonts w:hint="eastAsia" w:ascii="宋体" w:hAnsi="宋体" w:eastAsia="宋体" w:cs="宋体"/>
          <w:b/>
          <w:bCs/>
          <w:i w:val="0"/>
          <w:iCs w:val="0"/>
          <w:sz w:val="30"/>
          <w:szCs w:val="30"/>
          <w:u w:val="none"/>
          <w:lang w:val="zh-CN"/>
        </w:rPr>
        <w:t>售后服务承诺书</w:t>
      </w:r>
    </w:p>
    <w:p w14:paraId="2D042C1F">
      <w:pPr>
        <w:snapToGrid w:val="0"/>
        <w:spacing w:before="0" w:beforeLines="0" w:after="0" w:afterLines="0" w:line="360" w:lineRule="auto"/>
        <w:jc w:val="center"/>
        <w:outlineLvl w:val="9"/>
        <w:rPr>
          <w:rFonts w:hint="eastAsia" w:ascii="宋体" w:hAnsi="宋体" w:eastAsia="宋体" w:cs="宋体"/>
          <w:i/>
          <w:iCs/>
          <w:sz w:val="30"/>
          <w:szCs w:val="30"/>
          <w:u w:val="single"/>
          <w:lang w:val="zh-CN"/>
        </w:rPr>
      </w:pPr>
    </w:p>
    <w:p w14:paraId="7CBBC983">
      <w:pPr>
        <w:snapToGrid w:val="0"/>
        <w:spacing w:beforeLines="0" w:afterLines="0" w:line="360" w:lineRule="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致江苏丰之源有限公司：</w:t>
      </w:r>
    </w:p>
    <w:p w14:paraId="57729180">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我公司就所售产品的售后服务郑重承诺如下：</w:t>
      </w:r>
    </w:p>
    <w:p w14:paraId="0CB304DF">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保证所供产品是全新、未使用过的原装合格正品，并完全符合本磋商文件规定的质量、规格和性能的要求。如采购人在实际测试中或经第三方检测达不到标注性能要求的，采购人有权要求解除合同，因此所产生的损失由本公司承担。　　</w:t>
      </w:r>
    </w:p>
    <w:p w14:paraId="05C22F2B">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2.本公司产品自验收合格之日起，正常条件下（不含天灾及人为造成的损坏），质保期为</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个月（注：标段一、标段二质保期不低于24个月；其余标段质保期为6个月）。质保期</w:t>
      </w:r>
      <w:r>
        <w:rPr>
          <w:rFonts w:hint="eastAsia" w:ascii="宋体" w:hAnsi="宋体" w:eastAsia="宋体" w:cs="宋体"/>
          <w:color w:val="000000" w:themeColor="text1"/>
          <w:sz w:val="24"/>
          <w:szCs w:val="24"/>
          <w14:textFill>
            <w14:solidFill>
              <w14:schemeClr w14:val="tx1"/>
            </w14:solidFill>
          </w14:textFill>
        </w:rPr>
        <w:t>内由本公司提供免费保修服务，因采购人终端</w:t>
      </w:r>
      <w:r>
        <w:rPr>
          <w:rFonts w:hint="eastAsia" w:ascii="宋体" w:hAnsi="宋体" w:eastAsia="宋体" w:cs="宋体"/>
          <w:color w:val="000000" w:themeColor="text1"/>
          <w:sz w:val="24"/>
          <w:szCs w:val="24"/>
          <w:lang w:val="en-US" w:eastAsia="zh-CN"/>
          <w14:textFill>
            <w14:solidFill>
              <w14:schemeClr w14:val="tx1"/>
            </w14:solidFill>
          </w14:textFill>
        </w:rPr>
        <w:t>用户</w:t>
      </w:r>
      <w:r>
        <w:rPr>
          <w:rFonts w:hint="eastAsia" w:ascii="宋体" w:hAnsi="宋体" w:eastAsia="宋体" w:cs="宋体"/>
          <w:color w:val="000000" w:themeColor="text1"/>
          <w:sz w:val="24"/>
          <w:szCs w:val="24"/>
          <w14:textFill>
            <w14:solidFill>
              <w14:schemeClr w14:val="tx1"/>
            </w14:solidFill>
          </w14:textFill>
        </w:rPr>
        <w:t>人为</w:t>
      </w:r>
      <w:r>
        <w:rPr>
          <w:rFonts w:hint="eastAsia" w:hAnsi="宋体" w:eastAsia="宋体" w:cs="宋体"/>
          <w:color w:val="000000" w:themeColor="text1"/>
          <w:sz w:val="24"/>
          <w:szCs w:val="24"/>
          <w:lang w:val="en-US"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出现的故障不在免费保修范围内。</w:t>
      </w:r>
    </w:p>
    <w:p w14:paraId="72109B9E">
      <w:pPr>
        <w:widowControl/>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sz w:val="24"/>
          <w:szCs w:val="24"/>
        </w:rPr>
        <w:t>质保期内，非</w:t>
      </w:r>
      <w:r>
        <w:rPr>
          <w:rFonts w:hint="eastAsia" w:ascii="宋体" w:hAnsi="宋体" w:eastAsia="宋体" w:cs="宋体"/>
          <w:color w:val="000000" w:themeColor="text1"/>
          <w:sz w:val="24"/>
          <w:szCs w:val="24"/>
          <w14:textFill>
            <w14:solidFill>
              <w14:schemeClr w14:val="tx1"/>
            </w14:solidFill>
          </w14:textFill>
        </w:rPr>
        <w:t>采购人终端</w:t>
      </w:r>
      <w:r>
        <w:rPr>
          <w:rFonts w:hint="eastAsia" w:ascii="宋体" w:hAnsi="宋体" w:eastAsia="宋体" w:cs="宋体"/>
          <w:color w:val="000000" w:themeColor="text1"/>
          <w:sz w:val="24"/>
          <w:szCs w:val="24"/>
          <w:lang w:val="en-US" w:eastAsia="zh-CN"/>
          <w14:textFill>
            <w14:solidFill>
              <w14:schemeClr w14:val="tx1"/>
            </w14:solidFill>
          </w14:textFill>
        </w:rPr>
        <w:t>用户</w:t>
      </w:r>
      <w:r>
        <w:rPr>
          <w:rFonts w:hint="eastAsia" w:ascii="宋体" w:hAnsi="宋体" w:eastAsia="宋体" w:cs="宋体"/>
          <w:sz w:val="24"/>
          <w:szCs w:val="24"/>
        </w:rPr>
        <w:t>人为原因而出现产品质量问题的，由本公司负责包修、包退或包换，并承担因此而产生的一切费用。所有维修服务方式均为上门服务，即由本公司派工作人员到</w:t>
      </w:r>
      <w:r>
        <w:rPr>
          <w:rFonts w:hint="eastAsia" w:hAnsi="宋体" w:eastAsia="宋体" w:cs="宋体"/>
          <w:sz w:val="24"/>
          <w:szCs w:val="24"/>
          <w:lang w:val="en-US" w:eastAsia="zh-CN"/>
        </w:rPr>
        <w:t>产品</w:t>
      </w:r>
      <w:r>
        <w:rPr>
          <w:rFonts w:hint="eastAsia" w:ascii="宋体" w:hAnsi="宋体" w:eastAsia="宋体" w:cs="宋体"/>
          <w:sz w:val="24"/>
          <w:szCs w:val="24"/>
        </w:rPr>
        <w:t>使用现场维修，由此产生的一切费用均由本公司承担。</w:t>
      </w:r>
    </w:p>
    <w:p w14:paraId="3D9C1748">
      <w:pPr>
        <w:snapToGrid w:val="0"/>
        <w:spacing w:beforeLines="0" w:afterLines="0"/>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4.</w:t>
      </w:r>
      <w:r>
        <w:rPr>
          <w:rFonts w:hint="eastAsia" w:ascii="宋体" w:hAnsi="宋体" w:eastAsia="宋体" w:cs="宋体"/>
          <w:color w:val="000000" w:themeColor="text1"/>
          <w:sz w:val="24"/>
          <w:szCs w:val="24"/>
          <w14:textFill>
            <w14:solidFill>
              <w14:schemeClr w14:val="tx1"/>
            </w14:solidFill>
          </w14:textFill>
        </w:rPr>
        <w:t>本公司保证在接到用户故障电话后2小时内作出响应，如电话响应无法解决，本公司保证在24小时内到达现场解决问题。</w:t>
      </w:r>
    </w:p>
    <w:p w14:paraId="1C9B8CF0">
      <w:pPr>
        <w:snapToGrid w:val="0"/>
        <w:spacing w:beforeLines="0" w:afterLines="0"/>
        <w:ind w:firstLine="446" w:firstLineChars="185"/>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公司售后服务专线电话：       联系人：</w:t>
      </w:r>
    </w:p>
    <w:p w14:paraId="2173145A">
      <w:pPr>
        <w:pStyle w:val="24"/>
        <w:spacing w:beforeLines="0" w:afterLines="0"/>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5.我公司如成为标段一、标段二成交供应商</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除承诺上述条款外，另外承诺</w:t>
      </w:r>
      <w:r>
        <w:rPr>
          <w:rFonts w:hint="eastAsia" w:hAnsi="宋体" w:eastAsia="宋体" w:cs="宋体"/>
          <w:color w:val="000000" w:themeColor="text1"/>
          <w:sz w:val="24"/>
          <w:szCs w:val="24"/>
          <w:lang w:val="en-US" w:eastAsia="zh-CN"/>
          <w14:textFill>
            <w14:solidFill>
              <w14:schemeClr w14:val="tx1"/>
            </w14:solidFill>
          </w14:textFill>
        </w:rPr>
        <w:t>以下</w:t>
      </w:r>
      <w:r>
        <w:rPr>
          <w:rFonts w:hint="eastAsia" w:ascii="宋体" w:hAnsi="宋体" w:eastAsia="宋体" w:cs="宋体"/>
          <w:color w:val="000000" w:themeColor="text1"/>
          <w:sz w:val="24"/>
          <w:szCs w:val="24"/>
          <w14:textFill>
            <w14:solidFill>
              <w14:schemeClr w14:val="tx1"/>
            </w14:solidFill>
          </w14:textFill>
        </w:rPr>
        <w:t>售后服务条款：</w:t>
      </w:r>
    </w:p>
    <w:p w14:paraId="61CEB133">
      <w:pPr>
        <w:pStyle w:val="24"/>
        <w:spacing w:beforeLines="0" w:afterLines="0"/>
        <w:ind w:firstLine="480" w:firstLineChars="200"/>
        <w:outlineLvl w:val="9"/>
        <w:rPr>
          <w:rFonts w:hint="eastAsia" w:hAnsi="宋体" w:eastAsia="宋体" w:cs="宋体"/>
        </w:rPr>
      </w:pPr>
      <w:r>
        <w:rPr>
          <w:rFonts w:hint="eastAsia" w:ascii="宋体" w:hAnsi="宋体" w:eastAsia="宋体" w:cs="宋体"/>
          <w:color w:val="000000" w:themeColor="text1"/>
          <w:sz w:val="24"/>
          <w:szCs w:val="24"/>
          <w14:textFill>
            <w14:solidFill>
              <w14:schemeClr w14:val="tx1"/>
            </w14:solidFill>
          </w14:textFill>
        </w:rPr>
        <w:t>①负责所供产品的安装调试服务并确保通过采购人终端</w:t>
      </w:r>
      <w:r>
        <w:rPr>
          <w:rFonts w:hint="eastAsia" w:ascii="宋体" w:hAnsi="宋体" w:eastAsia="宋体" w:cs="宋体"/>
          <w:color w:val="000000" w:themeColor="text1"/>
          <w:sz w:val="24"/>
          <w:szCs w:val="24"/>
          <w:lang w:val="en-US" w:eastAsia="zh-CN"/>
          <w14:textFill>
            <w14:solidFill>
              <w14:schemeClr w14:val="tx1"/>
            </w14:solidFill>
          </w14:textFill>
        </w:rPr>
        <w:t>用户</w:t>
      </w:r>
      <w:r>
        <w:rPr>
          <w:rFonts w:hint="eastAsia" w:ascii="宋体" w:hAnsi="宋体" w:eastAsia="宋体" w:cs="宋体"/>
          <w:color w:val="000000" w:themeColor="text1"/>
          <w:sz w:val="24"/>
          <w:szCs w:val="24"/>
          <w14:textFill>
            <w14:solidFill>
              <w14:schemeClr w14:val="tx1"/>
            </w14:solidFill>
          </w14:textFill>
        </w:rPr>
        <w:t>的验收。如产品存在质量问题，实行1个月（自安装调试验收合格之日起)包换。</w:t>
      </w:r>
    </w:p>
    <w:p w14:paraId="0BF0073A">
      <w:pPr>
        <w:pStyle w:val="24"/>
        <w:spacing w:beforeLines="0" w:afterLines="0"/>
        <w:ind w:firstLine="480" w:firstLineChars="200"/>
        <w:outlineLvl w:val="9"/>
        <w:rPr>
          <w:rFonts w:hint="eastAsia" w:hAnsi="宋体" w:eastAsia="宋体" w:cs="宋体"/>
        </w:rPr>
      </w:pPr>
      <w:r>
        <w:rPr>
          <w:rFonts w:hint="eastAsia" w:ascii="宋体" w:hAnsi="宋体" w:eastAsia="宋体" w:cs="宋体"/>
          <w:color w:val="000000" w:themeColor="text1"/>
          <w:sz w:val="24"/>
          <w:szCs w:val="24"/>
          <w14:textFill>
            <w14:solidFill>
              <w14:schemeClr w14:val="tx1"/>
            </w14:solidFill>
          </w14:textFill>
        </w:rPr>
        <w:t>②根据采购人终端用户的需求，为其提供产品线规划方案并协助实施。</w:t>
      </w:r>
    </w:p>
    <w:p w14:paraId="1A4159DF">
      <w:pPr>
        <w:widowControl/>
        <w:shd w:val="clear" w:color="auto" w:fill="FFFFFF"/>
        <w:snapToGrid w:val="0"/>
        <w:spacing w:beforeLines="0" w:afterLines="0"/>
        <w:ind w:firstLine="480" w:firstLineChars="200"/>
        <w:jc w:val="left"/>
        <w:outlineLvl w:val="9"/>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③</w:t>
      </w:r>
      <w:r>
        <w:rPr>
          <w:rFonts w:hint="eastAsia" w:ascii="宋体" w:hAnsi="宋体" w:eastAsia="宋体" w:cs="宋体"/>
          <w:sz w:val="24"/>
          <w:szCs w:val="24"/>
        </w:rPr>
        <w:t>提供对设备</w:t>
      </w:r>
      <w:r>
        <w:rPr>
          <w:rFonts w:hint="eastAsia" w:ascii="宋体" w:hAnsi="宋体" w:eastAsia="宋体" w:cs="宋体"/>
          <w:color w:val="000000" w:themeColor="text1"/>
          <w:sz w:val="24"/>
          <w:szCs w:val="24"/>
          <w14:textFill>
            <w14:solidFill>
              <w14:schemeClr w14:val="tx1"/>
            </w14:solidFill>
          </w14:textFill>
        </w:rPr>
        <w:t>终身售后服务</w:t>
      </w:r>
      <w:r>
        <w:rPr>
          <w:rFonts w:hint="eastAsia" w:ascii="宋体" w:hAnsi="宋体" w:eastAsia="宋体" w:cs="宋体"/>
          <w:sz w:val="24"/>
          <w:szCs w:val="24"/>
        </w:rPr>
        <w:t>，在设备的设计使用寿命周期内，保证采购人终端用户更换到原厂正宗的备件材料，以确保设备的正常使用。</w:t>
      </w:r>
      <w:r>
        <w:rPr>
          <w:rFonts w:hint="eastAsia" w:ascii="宋体" w:hAnsi="宋体" w:eastAsia="宋体" w:cs="宋体"/>
          <w:color w:val="000000" w:themeColor="text1"/>
          <w:sz w:val="24"/>
          <w:szCs w:val="24"/>
          <w14:textFill>
            <w14:solidFill>
              <w14:schemeClr w14:val="tx1"/>
            </w14:solidFill>
          </w14:textFill>
        </w:rPr>
        <w:t>保修范围外的零部件、配件损坏，如需更换零部件、配件，按不高于市场价</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hAnsi="宋体" w:eastAsia="宋体" w:cs="宋体"/>
          <w:b w:val="0"/>
          <w:bCs w:val="0"/>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收取。</w:t>
      </w:r>
    </w:p>
    <w:p w14:paraId="60A145FB">
      <w:pPr>
        <w:widowControl/>
        <w:shd w:val="clear" w:color="auto" w:fill="FFFFFF"/>
        <w:snapToGrid w:val="0"/>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④</w:t>
      </w:r>
      <w:r>
        <w:rPr>
          <w:rFonts w:hint="eastAsia" w:ascii="宋体" w:hAnsi="宋体" w:eastAsia="宋体" w:cs="宋体"/>
          <w:sz w:val="24"/>
          <w:szCs w:val="24"/>
        </w:rPr>
        <w:t>免费对采购人</w:t>
      </w:r>
      <w:r>
        <w:rPr>
          <w:rFonts w:hint="eastAsia" w:hAnsi="宋体" w:eastAsia="宋体" w:cs="宋体"/>
          <w:sz w:val="24"/>
          <w:szCs w:val="24"/>
          <w:lang w:val="en-US" w:eastAsia="zh-CN"/>
        </w:rPr>
        <w:t>终端用户</w:t>
      </w:r>
      <w:r>
        <w:rPr>
          <w:rFonts w:hint="eastAsia" w:ascii="宋体" w:hAnsi="宋体" w:eastAsia="宋体" w:cs="宋体"/>
          <w:sz w:val="24"/>
          <w:szCs w:val="24"/>
        </w:rPr>
        <w:t>指定人员（不少于2人）进行现场培训，并直至正常使用设备。根据采购人</w:t>
      </w:r>
      <w:r>
        <w:rPr>
          <w:rFonts w:hint="eastAsia" w:ascii="宋体" w:hAnsi="宋体" w:eastAsia="宋体" w:cs="宋体"/>
          <w:sz w:val="24"/>
          <w:szCs w:val="24"/>
          <w:lang w:eastAsia="zh-CN"/>
        </w:rPr>
        <w:t>终端用户</w:t>
      </w:r>
      <w:r>
        <w:rPr>
          <w:rFonts w:hint="eastAsia" w:ascii="宋体" w:hAnsi="宋体" w:eastAsia="宋体" w:cs="宋体"/>
          <w:sz w:val="24"/>
          <w:szCs w:val="24"/>
        </w:rPr>
        <w:t>需要，供应商应提供详细的培训方案、计划、课程、人员及期限，培训的内容应包括但不限于：设备正常操作和使用方法、日常维护和保养方法、安全操作规程、安全注意事项等。</w:t>
      </w:r>
    </w:p>
    <w:p w14:paraId="75846134">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⑤免费向采购人</w:t>
      </w:r>
      <w:r>
        <w:rPr>
          <w:rFonts w:hint="eastAsia" w:hAnsi="宋体" w:eastAsia="宋体" w:cs="宋体"/>
          <w:sz w:val="24"/>
          <w:szCs w:val="24"/>
          <w:lang w:val="en-US" w:eastAsia="zh-CN"/>
        </w:rPr>
        <w:t>终端用户</w:t>
      </w:r>
      <w:r>
        <w:rPr>
          <w:rFonts w:hint="eastAsia" w:ascii="宋体" w:hAnsi="宋体" w:eastAsia="宋体" w:cs="宋体"/>
          <w:color w:val="000000" w:themeColor="text1"/>
          <w:sz w:val="24"/>
          <w:szCs w:val="24"/>
          <w14:textFill>
            <w14:solidFill>
              <w14:schemeClr w14:val="tx1"/>
            </w14:solidFill>
          </w14:textFill>
        </w:rPr>
        <w:t>提供产品售前培训和售后技术指导。采购人</w:t>
      </w:r>
      <w:r>
        <w:rPr>
          <w:rFonts w:hint="eastAsia" w:hAnsi="宋体" w:eastAsia="宋体" w:cs="宋体"/>
          <w:sz w:val="24"/>
          <w:szCs w:val="24"/>
          <w:lang w:val="en-US" w:eastAsia="zh-CN"/>
        </w:rPr>
        <w:t>终端用户</w:t>
      </w:r>
      <w:r>
        <w:rPr>
          <w:rFonts w:hint="eastAsia" w:ascii="宋体" w:hAnsi="宋体" w:eastAsia="宋体" w:cs="宋体"/>
          <w:color w:val="000000" w:themeColor="text1"/>
          <w:sz w:val="24"/>
          <w:szCs w:val="24"/>
          <w14:textFill>
            <w14:solidFill>
              <w14:schemeClr w14:val="tx1"/>
            </w14:solidFill>
          </w14:textFill>
        </w:rPr>
        <w:t>可根据自身的需求，定期组织技术人员至供应商进行学习和培训，成交供应商有义务利用自身资源对采购人及其终端用户人员进行技术培训。</w:t>
      </w:r>
    </w:p>
    <w:p w14:paraId="585B75FA">
      <w:pPr>
        <w:snapToGrid w:val="0"/>
        <w:spacing w:beforeLines="0" w:afterLines="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⑥</w:t>
      </w:r>
      <w:r>
        <w:rPr>
          <w:rFonts w:hint="eastAsia" w:ascii="宋体" w:hAnsi="宋体" w:eastAsia="宋体" w:cs="宋体"/>
          <w:color w:val="000000" w:themeColor="text1"/>
          <w:sz w:val="24"/>
          <w:szCs w:val="24"/>
          <w14:textFill>
            <w14:solidFill>
              <w14:schemeClr w14:val="tx1"/>
            </w14:solidFill>
          </w14:textFill>
        </w:rPr>
        <w:t>本公司保证为采购</w:t>
      </w:r>
      <w:r>
        <w:rPr>
          <w:rFonts w:hint="eastAsia"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每年提供不少于一次的新产品推广服务活动</w:t>
      </w:r>
      <w:r>
        <w:rPr>
          <w:rFonts w:hint="eastAsia"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参与</w:t>
      </w:r>
      <w:r>
        <w:rPr>
          <w:rFonts w:hint="eastAsia" w:ascii="宋体" w:hAnsi="宋体" w:eastAsia="宋体" w:cs="宋体"/>
          <w:sz w:val="24"/>
          <w:szCs w:val="24"/>
        </w:rPr>
        <w:t>采购人不定期组织的供应商新产品展示活动。</w:t>
      </w:r>
    </w:p>
    <w:p w14:paraId="05B714AB">
      <w:pPr>
        <w:widowControl/>
        <w:shd w:val="clear" w:color="auto" w:fill="FFFFFF"/>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p>
    <w:p w14:paraId="7118C4C1">
      <w:pPr>
        <w:snapToGrid w:val="0"/>
        <w:spacing w:beforeLines="0" w:afterLines="0" w:line="360" w:lineRule="auto"/>
        <w:ind w:firstLine="444" w:firstLineChars="185"/>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供应商（公章）：  　</w:t>
      </w:r>
    </w:p>
    <w:p w14:paraId="131F466F">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sz w:val="24"/>
          <w:szCs w:val="24"/>
        </w:rPr>
        <w:t>法定代表人或授权代表签字：</w:t>
      </w:r>
    </w:p>
    <w:p w14:paraId="38925D68">
      <w:pPr>
        <w:snapToGrid w:val="0"/>
        <w:spacing w:beforeLines="0" w:afterLines="0" w:line="360" w:lineRule="auto"/>
        <w:ind w:firstLine="444" w:firstLineChars="185"/>
        <w:outlineLvl w:val="9"/>
        <w:rPr>
          <w:rFonts w:hint="eastAsia" w:ascii="宋体" w:hAnsi="宋体" w:eastAsia="宋体" w:cs="宋体"/>
          <w:color w:val="000000" w:themeColor="text1"/>
          <w:sz w:val="24"/>
          <w:szCs w:val="24"/>
          <w14:textFill>
            <w14:solidFill>
              <w14:schemeClr w14:val="tx1"/>
            </w14:solidFill>
          </w14:textFill>
        </w:rPr>
      </w:pPr>
    </w:p>
    <w:p w14:paraId="79944660">
      <w:pPr>
        <w:snapToGrid w:val="0"/>
        <w:spacing w:beforeLines="0" w:afterLines="0" w:line="360" w:lineRule="auto"/>
        <w:ind w:firstLine="681" w:firstLineChars="284"/>
        <w:outlineLvl w:val="9"/>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5E762794">
      <w:pPr>
        <w:spacing w:before="0" w:beforeLines="0" w:after="0" w:afterLines="0" w:line="360" w:lineRule="auto"/>
        <w:jc w:val="left"/>
        <w:outlineLvl w:val="9"/>
        <w:rPr>
          <w:rFonts w:hint="eastAsia" w:ascii="宋体" w:hAnsi="宋体" w:eastAsia="宋体" w:cs="宋体"/>
          <w:b/>
          <w:bCs/>
          <w:color w:val="000000" w:themeColor="text1"/>
          <w:sz w:val="24"/>
          <w:szCs w:val="24"/>
          <w:lang w:val="zh-CN"/>
          <w14:textFill>
            <w14:solidFill>
              <w14:schemeClr w14:val="tx1"/>
            </w14:solidFill>
          </w14:textFill>
        </w:rPr>
      </w:pPr>
    </w:p>
    <w:p w14:paraId="77E01372">
      <w:pPr>
        <w:spacing w:before="0" w:beforeLines="0" w:after="0" w:afterLines="0" w:line="360" w:lineRule="auto"/>
        <w:jc w:val="left"/>
        <w:outlineLvl w:val="9"/>
        <w:rPr>
          <w:rFonts w:hint="eastAsia" w:ascii="宋体" w:hAnsi="宋体" w:eastAsia="宋体" w:cs="宋体"/>
          <w:b/>
          <w:bCs/>
          <w:color w:val="000000" w:themeColor="text1"/>
          <w:sz w:val="24"/>
          <w:szCs w:val="24"/>
          <w:lang w:val="zh-CN"/>
          <w14:textFill>
            <w14:solidFill>
              <w14:schemeClr w14:val="tx1"/>
            </w14:solidFill>
          </w14:textFill>
        </w:rPr>
      </w:pPr>
    </w:p>
    <w:p w14:paraId="3D7EE4A0">
      <w:pPr>
        <w:spacing w:before="0" w:beforeLines="0" w:after="0" w:afterLines="0" w:line="360" w:lineRule="auto"/>
        <w:jc w:val="left"/>
        <w:outlineLvl w:val="9"/>
        <w:rPr>
          <w:rFonts w:hint="eastAsia" w:ascii="宋体" w:hAnsi="宋体" w:eastAsia="宋体" w:cs="宋体"/>
          <w:b/>
          <w:bCs/>
          <w:color w:val="000000" w:themeColor="text1"/>
          <w:sz w:val="24"/>
          <w:szCs w:val="24"/>
          <w:lang w:val="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7182F0D6">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格式</w:t>
      </w:r>
      <w:r>
        <w:rPr>
          <w:rFonts w:hint="eastAsia" w:ascii="宋体" w:hAnsi="宋体" w:eastAsia="宋体" w:cs="宋体"/>
          <w:b/>
          <w:bCs/>
          <w:color w:val="000000" w:themeColor="text1"/>
          <w:sz w:val="24"/>
          <w:szCs w:val="24"/>
          <w14:textFill>
            <w14:solidFill>
              <w14:schemeClr w14:val="tx1"/>
            </w14:solidFill>
          </w14:textFill>
        </w:rPr>
        <w:t>6</w:t>
      </w:r>
    </w:p>
    <w:p w14:paraId="7BE81BC0">
      <w:pPr>
        <w:spacing w:before="0" w:beforeLines="0" w:after="0" w:afterLines="0" w:line="360" w:lineRule="auto"/>
        <w:jc w:val="center"/>
        <w:outlineLvl w:val="9"/>
        <w:rPr>
          <w:rFonts w:hint="eastAsia" w:ascii="宋体" w:hAnsi="宋体" w:eastAsia="宋体" w:cs="宋体"/>
          <w:b/>
          <w:bCs/>
          <w:i w:val="0"/>
          <w:iCs w:val="0"/>
          <w:sz w:val="30"/>
          <w:szCs w:val="30"/>
          <w:u w:val="none"/>
          <w:lang w:val="zh-CN"/>
        </w:rPr>
      </w:pPr>
      <w:r>
        <w:rPr>
          <w:rFonts w:hint="eastAsia" w:ascii="宋体" w:hAnsi="宋体" w:eastAsia="宋体" w:cs="宋体"/>
          <w:b/>
          <w:bCs/>
          <w:i w:val="0"/>
          <w:iCs w:val="0"/>
          <w:sz w:val="30"/>
          <w:szCs w:val="30"/>
          <w:u w:val="none"/>
          <w:lang w:val="zh-CN"/>
        </w:rPr>
        <w:t>报价承诺书</w:t>
      </w:r>
    </w:p>
    <w:p w14:paraId="0D20CC30">
      <w:pPr>
        <w:spacing w:before="0" w:beforeLines="0" w:after="0" w:afterLines="0" w:line="360" w:lineRule="auto"/>
        <w:jc w:val="center"/>
        <w:outlineLvl w:val="9"/>
        <w:rPr>
          <w:rFonts w:hint="eastAsia" w:ascii="宋体" w:hAnsi="宋体" w:eastAsia="宋体" w:cs="宋体"/>
          <w:i/>
          <w:iCs/>
          <w:sz w:val="30"/>
          <w:szCs w:val="30"/>
          <w:u w:val="single"/>
          <w:lang w:val="zh-CN"/>
        </w:rPr>
      </w:pPr>
    </w:p>
    <w:p w14:paraId="50F1DBB7">
      <w:pPr>
        <w:snapToGrid w:val="0"/>
        <w:spacing w:beforeLines="0" w:afterLine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致江苏丰之源有限公司：</w:t>
      </w:r>
    </w:p>
    <w:p w14:paraId="7B4BAC81">
      <w:pPr>
        <w:snapToGrid w:val="0"/>
        <w:spacing w:beforeLines="0" w:afterLines="0"/>
        <w:ind w:firstLine="480" w:firstLineChars="200"/>
        <w:jc w:val="left"/>
        <w:outlineLvl w:val="9"/>
        <w:rPr>
          <w:rFonts w:hint="eastAsia" w:ascii="宋体" w:hAnsi="宋体" w:eastAsia="宋体" w:cs="宋体"/>
          <w:bCs/>
          <w:sz w:val="24"/>
        </w:rPr>
      </w:pPr>
      <w:r>
        <w:rPr>
          <w:rFonts w:hint="eastAsia" w:ascii="宋体" w:hAnsi="宋体" w:eastAsia="宋体" w:cs="宋体"/>
          <w:bCs/>
          <w:sz w:val="24"/>
        </w:rPr>
        <w:t>本公司</w:t>
      </w:r>
      <w:r>
        <w:rPr>
          <w:rFonts w:hint="eastAsia" w:ascii="宋体" w:hAnsi="宋体" w:eastAsia="宋体" w:cs="宋体"/>
          <w:bCs/>
          <w:sz w:val="24"/>
          <w:szCs w:val="24"/>
          <w:u w:val="single"/>
        </w:rPr>
        <w:t xml:space="preserve">                 </w:t>
      </w:r>
      <w:r>
        <w:rPr>
          <w:rFonts w:hint="eastAsia" w:ascii="宋体" w:hAnsi="宋体" w:eastAsia="宋体" w:cs="宋体"/>
          <w:bCs/>
          <w:sz w:val="24"/>
        </w:rPr>
        <w:t>（供应商名称）参加贵司组织的</w:t>
      </w:r>
      <w:r>
        <w:rPr>
          <w:rFonts w:hint="eastAsia" w:ascii="宋体" w:hAnsi="宋体" w:eastAsia="宋体" w:cs="宋体"/>
          <w:bCs/>
          <w:sz w:val="24"/>
          <w:szCs w:val="24"/>
          <w:u w:val="single"/>
        </w:rPr>
        <w:t xml:space="preserve">                 </w:t>
      </w:r>
      <w:r>
        <w:rPr>
          <w:rFonts w:hint="eastAsia" w:ascii="宋体" w:hAnsi="宋体" w:eastAsia="宋体" w:cs="宋体"/>
          <w:color w:val="000000" w:themeColor="text1"/>
          <w:sz w:val="24"/>
          <w:szCs w:val="24"/>
          <w14:textFill>
            <w14:solidFill>
              <w14:schemeClr w14:val="tx1"/>
            </w14:solidFill>
          </w14:textFill>
        </w:rPr>
        <w:t xml:space="preserve">项目（项目名称、编号） </w:t>
      </w:r>
      <w:r>
        <w:rPr>
          <w:rFonts w:hint="eastAsia" w:ascii="宋体" w:hAnsi="宋体" w:eastAsia="宋体" w:cs="宋体"/>
          <w:color w:val="000000" w:themeColor="text1"/>
          <w:sz w:val="24"/>
          <w:szCs w:val="24"/>
          <w:u w:val="single"/>
          <w14:textFill>
            <w14:solidFill>
              <w14:schemeClr w14:val="tx1"/>
            </w14:solidFill>
          </w14:textFill>
        </w:rPr>
        <w:t xml:space="preserve"> 标段            </w:t>
      </w:r>
      <w:r>
        <w:rPr>
          <w:rFonts w:hint="eastAsia" w:ascii="宋体" w:hAnsi="宋体" w:eastAsia="宋体" w:cs="宋体"/>
          <w:color w:val="000000" w:themeColor="text1"/>
          <w:sz w:val="24"/>
          <w:szCs w:val="24"/>
          <w14:textFill>
            <w14:solidFill>
              <w14:schemeClr w14:val="tx1"/>
            </w14:solidFill>
          </w14:textFill>
        </w:rPr>
        <w:t>的磋商，如果</w:t>
      </w:r>
      <w:r>
        <w:rPr>
          <w:rFonts w:hint="eastAsia" w:ascii="宋体" w:hAnsi="宋体" w:eastAsia="宋体" w:cs="宋体"/>
          <w:bCs/>
          <w:sz w:val="24"/>
        </w:rPr>
        <w:t>本公司成为成交供应商，承诺：</w:t>
      </w:r>
    </w:p>
    <w:p w14:paraId="2A6618CD">
      <w:pPr>
        <w:snapToGrid w:val="0"/>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1.提供的产品</w:t>
      </w:r>
      <w:r>
        <w:rPr>
          <w:rFonts w:hint="eastAsia" w:ascii="宋体" w:hAnsi="宋体" w:eastAsia="宋体" w:cs="宋体"/>
          <w:sz w:val="24"/>
          <w:szCs w:val="24"/>
        </w:rPr>
        <w:t>与供应江苏区域市场的产品属同品牌、同型号，不针对本项目编制单独的产品型号；</w:t>
      </w:r>
    </w:p>
    <w:p w14:paraId="4B24834B">
      <w:pPr>
        <w:snapToGrid w:val="0"/>
        <w:spacing w:beforeLines="0" w:afterLines="0"/>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2.响应文件中所报价格为江苏区域市场最新销售价格均为真实价格，如所报价格虚高，贵方一经查实，有权取消本公司成交资格。</w:t>
      </w:r>
    </w:p>
    <w:p w14:paraId="4B209BB5">
      <w:pPr>
        <w:snapToGrid w:val="0"/>
        <w:spacing w:beforeLines="0" w:afterLines="0"/>
        <w:ind w:firstLine="204" w:firstLineChars="85"/>
        <w:outlineLvl w:val="9"/>
        <w:rPr>
          <w:rFonts w:hint="eastAsia" w:ascii="宋体" w:hAnsi="宋体" w:eastAsia="宋体" w:cs="宋体"/>
          <w:sz w:val="24"/>
          <w:szCs w:val="24"/>
        </w:rPr>
      </w:pPr>
    </w:p>
    <w:p w14:paraId="6BE057AF">
      <w:pPr>
        <w:snapToGrid w:val="0"/>
        <w:spacing w:beforeLines="0" w:afterLines="0"/>
        <w:ind w:firstLine="204" w:firstLineChars="85"/>
        <w:outlineLvl w:val="9"/>
        <w:rPr>
          <w:rFonts w:hint="eastAsia" w:ascii="宋体" w:hAnsi="宋体" w:eastAsia="宋体" w:cs="宋体"/>
          <w:sz w:val="24"/>
          <w:szCs w:val="24"/>
        </w:rPr>
      </w:pPr>
    </w:p>
    <w:p w14:paraId="7496A4C7">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供应商全称（加盖公章）：</w:t>
      </w:r>
    </w:p>
    <w:p w14:paraId="6B762C86">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5572EE45">
      <w:pPr>
        <w:snapToGrid w:val="0"/>
        <w:spacing w:beforeLines="0" w:afterLines="0"/>
        <w:ind w:firstLine="204" w:firstLineChars="85"/>
        <w:jc w:val="left"/>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4115EE27">
      <w:pPr>
        <w:spacing w:before="0" w:beforeLines="0" w:after="0" w:afterLines="0" w:line="360" w:lineRule="auto"/>
        <w:jc w:val="left"/>
        <w:outlineLvl w:val="9"/>
        <w:rPr>
          <w:rFonts w:hint="eastAsia" w:ascii="宋体" w:hAnsi="宋体" w:eastAsia="宋体" w:cs="宋体"/>
          <w:b/>
          <w:bCs/>
          <w:color w:val="000000" w:themeColor="text1"/>
          <w:sz w:val="24"/>
          <w:szCs w:val="24"/>
          <w:lang w:val="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4168B6E">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格式</w:t>
      </w:r>
      <w:r>
        <w:rPr>
          <w:rFonts w:hint="eastAsia" w:ascii="宋体" w:hAnsi="宋体" w:eastAsia="宋体" w:cs="宋体"/>
          <w:b/>
          <w:bCs/>
          <w:color w:val="000000" w:themeColor="text1"/>
          <w:sz w:val="24"/>
          <w:szCs w:val="24"/>
          <w14:textFill>
            <w14:solidFill>
              <w14:schemeClr w14:val="tx1"/>
            </w14:solidFill>
          </w14:textFill>
        </w:rPr>
        <w:t>7</w:t>
      </w:r>
    </w:p>
    <w:p w14:paraId="67C4F244">
      <w:pPr>
        <w:spacing w:beforeLines="0" w:afterLines="0"/>
        <w:outlineLvl w:val="9"/>
        <w:rPr>
          <w:rFonts w:hint="eastAsia" w:ascii="宋体" w:hAnsi="宋体" w:eastAsia="宋体" w:cs="宋体"/>
          <w:b/>
          <w:bCs/>
          <w:color w:val="000000" w:themeColor="text1"/>
          <w:sz w:val="24"/>
          <w:szCs w:val="24"/>
          <w:lang w:val="zh-CN"/>
          <w14:textFill>
            <w14:solidFill>
              <w14:schemeClr w14:val="tx1"/>
            </w14:solidFill>
          </w14:textFill>
        </w:rPr>
      </w:pPr>
    </w:p>
    <w:p w14:paraId="360E4627">
      <w:pPr>
        <w:spacing w:before="0" w:beforeLines="0" w:after="0" w:afterLines="0" w:line="360" w:lineRule="auto"/>
        <w:jc w:val="center"/>
        <w:outlineLvl w:val="9"/>
        <w:rPr>
          <w:rFonts w:hint="eastAsia" w:ascii="宋体" w:hAnsi="宋体" w:eastAsia="宋体" w:cs="宋体"/>
          <w:b/>
          <w:bCs/>
          <w:i w:val="0"/>
          <w:iCs w:val="0"/>
          <w:sz w:val="30"/>
          <w:szCs w:val="30"/>
          <w:u w:val="none"/>
          <w:lang w:val="zh-CN"/>
        </w:rPr>
      </w:pPr>
      <w:r>
        <w:rPr>
          <w:rFonts w:hint="eastAsia" w:ascii="宋体" w:hAnsi="宋体" w:eastAsia="宋体" w:cs="宋体"/>
          <w:b/>
          <w:bCs/>
          <w:i w:val="0"/>
          <w:iCs w:val="0"/>
          <w:sz w:val="30"/>
          <w:szCs w:val="30"/>
          <w:u w:val="none"/>
          <w:lang w:val="zh-CN"/>
        </w:rPr>
        <w:t>交货期承诺书</w:t>
      </w:r>
    </w:p>
    <w:p w14:paraId="4B77E33A">
      <w:pPr>
        <w:spacing w:before="0" w:beforeLines="0" w:after="0" w:afterLines="0" w:line="360" w:lineRule="auto"/>
        <w:jc w:val="center"/>
        <w:outlineLvl w:val="9"/>
        <w:rPr>
          <w:rFonts w:hint="eastAsia" w:ascii="宋体" w:hAnsi="宋体" w:eastAsia="宋体" w:cs="宋体"/>
          <w:i/>
          <w:iCs/>
          <w:sz w:val="30"/>
          <w:szCs w:val="30"/>
          <w:u w:val="single"/>
        </w:rPr>
      </w:pPr>
    </w:p>
    <w:p w14:paraId="1BF8E8BE">
      <w:pPr>
        <w:snapToGrid w:val="0"/>
        <w:spacing w:before="0" w:beforeLines="0" w:after="0" w:afterLines="0"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rPr>
        <w:t>江苏丰之源有限公司：</w:t>
      </w:r>
    </w:p>
    <w:p w14:paraId="63DEE12F">
      <w:pPr>
        <w:snapToGrid w:val="0"/>
        <w:spacing w:beforeLines="0" w:afterLines="0"/>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本公司</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（供应商名称）参加贵司组织的</w:t>
      </w:r>
      <w:r>
        <w:rPr>
          <w:rFonts w:hint="eastAsia" w:ascii="宋体" w:hAnsi="宋体" w:eastAsia="宋体" w:cs="宋体"/>
          <w:bCs/>
          <w:sz w:val="24"/>
          <w:szCs w:val="24"/>
          <w:u w:val="single"/>
        </w:rPr>
        <w:t xml:space="preserve">                 </w:t>
      </w:r>
      <w:r>
        <w:rPr>
          <w:rFonts w:hint="eastAsia" w:ascii="宋体" w:hAnsi="宋体" w:eastAsia="宋体" w:cs="宋体"/>
          <w:color w:val="000000" w:themeColor="text1"/>
          <w:sz w:val="24"/>
          <w:szCs w:val="24"/>
          <w14:textFill>
            <w14:solidFill>
              <w14:schemeClr w14:val="tx1"/>
            </w14:solidFill>
          </w14:textFill>
        </w:rPr>
        <w:t xml:space="preserve">项目（项目名称、编号） </w:t>
      </w:r>
      <w:r>
        <w:rPr>
          <w:rFonts w:hint="eastAsia" w:ascii="宋体" w:hAnsi="宋体" w:eastAsia="宋体" w:cs="宋体"/>
          <w:color w:val="000000" w:themeColor="text1"/>
          <w:sz w:val="24"/>
          <w:szCs w:val="24"/>
          <w:u w:val="single"/>
          <w14:textFill>
            <w14:solidFill>
              <w14:schemeClr w14:val="tx1"/>
            </w14:solidFill>
          </w14:textFill>
        </w:rPr>
        <w:t xml:space="preserve"> 标段            </w:t>
      </w:r>
      <w:r>
        <w:rPr>
          <w:rFonts w:hint="eastAsia" w:ascii="宋体" w:hAnsi="宋体" w:eastAsia="宋体" w:cs="宋体"/>
          <w:color w:val="000000" w:themeColor="text1"/>
          <w:sz w:val="24"/>
          <w:szCs w:val="24"/>
          <w14:textFill>
            <w14:solidFill>
              <w14:schemeClr w14:val="tx1"/>
            </w14:solidFill>
          </w14:textFill>
        </w:rPr>
        <w:t>的磋商，如果</w:t>
      </w:r>
      <w:r>
        <w:rPr>
          <w:rFonts w:hint="eastAsia" w:ascii="宋体" w:hAnsi="宋体" w:eastAsia="宋体" w:cs="宋体"/>
          <w:bCs/>
          <w:sz w:val="24"/>
          <w:szCs w:val="24"/>
        </w:rPr>
        <w:t>本公司成为成交供应商，承诺：</w:t>
      </w:r>
    </w:p>
    <w:p w14:paraId="4DD49C3D">
      <w:pPr>
        <w:snapToGrid w:val="0"/>
        <w:spacing w:before="0" w:beforeLines="0" w:after="0" w:afterLines="0" w:line="360" w:lineRule="auto"/>
        <w:ind w:firstLine="480" w:firstLineChars="200"/>
        <w:outlineLvl w:val="9"/>
        <w:rPr>
          <w:rFonts w:hint="eastAsia" w:ascii="宋体" w:hAnsi="宋体" w:eastAsia="宋体" w:cs="宋体"/>
          <w:b w:val="0"/>
          <w:sz w:val="24"/>
          <w:szCs w:val="24"/>
        </w:rPr>
      </w:pPr>
      <w:r>
        <w:rPr>
          <w:rFonts w:hint="eastAsia" w:ascii="宋体" w:hAnsi="宋体" w:eastAsia="宋体" w:cs="宋体"/>
          <w:b w:val="0"/>
          <w:sz w:val="24"/>
          <w:szCs w:val="24"/>
        </w:rPr>
        <w:t>将严格按照合同要求的时间，收到贵方采购清单后于</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日内</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注：标段一、标段二15天内；其余标段7天内</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val="0"/>
          <w:sz w:val="24"/>
          <w:szCs w:val="24"/>
        </w:rPr>
        <w:t>将产品运至指定的地点，按时交货和提供服务。</w:t>
      </w:r>
    </w:p>
    <w:p w14:paraId="1F905BE4">
      <w:pPr>
        <w:snapToGrid w:val="0"/>
        <w:spacing w:beforeLines="0" w:afterLines="0"/>
        <w:ind w:firstLine="492"/>
        <w:outlineLvl w:val="9"/>
        <w:rPr>
          <w:rFonts w:hint="eastAsia" w:ascii="宋体" w:hAnsi="宋体" w:eastAsia="宋体" w:cs="宋体"/>
          <w:bCs/>
          <w:sz w:val="24"/>
        </w:rPr>
      </w:pPr>
    </w:p>
    <w:p w14:paraId="502F3157">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供应商全称（加盖公章）：</w:t>
      </w:r>
    </w:p>
    <w:p w14:paraId="3EBA1636">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0C91809B">
      <w:pPr>
        <w:snapToGrid w:val="0"/>
        <w:spacing w:beforeLines="0" w:afterLines="0"/>
        <w:ind w:firstLine="204" w:firstLineChars="85"/>
        <w:jc w:val="left"/>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70ADC9DC">
      <w:pPr>
        <w:spacing w:beforeLines="0" w:afterLines="0"/>
        <w:outlineLvl w:val="9"/>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60A13EA4">
      <w:pPr>
        <w:spacing w:before="0" w:beforeLines="0" w:after="0" w:afterLines="0" w:line="360" w:lineRule="auto"/>
        <w:ind w:firstLine="205" w:firstLineChars="85"/>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格式</w:t>
      </w:r>
      <w:r>
        <w:rPr>
          <w:rFonts w:hint="eastAsia" w:ascii="宋体" w:hAnsi="宋体" w:eastAsia="宋体" w:cs="宋体"/>
          <w:b/>
          <w:bCs/>
          <w:color w:val="000000" w:themeColor="text1"/>
          <w:sz w:val="24"/>
          <w:szCs w:val="24"/>
          <w14:textFill>
            <w14:solidFill>
              <w14:schemeClr w14:val="tx1"/>
            </w14:solidFill>
          </w14:textFill>
        </w:rPr>
        <w:t>8</w:t>
      </w:r>
    </w:p>
    <w:p w14:paraId="23D03BAE">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p>
    <w:p w14:paraId="27F1881A">
      <w:pPr>
        <w:spacing w:before="0" w:beforeLines="0" w:after="0" w:afterLines="0" w:line="360" w:lineRule="auto"/>
        <w:jc w:val="center"/>
        <w:outlineLvl w:val="9"/>
        <w:rPr>
          <w:rFonts w:hint="eastAsia" w:ascii="宋体" w:hAnsi="宋体" w:eastAsia="宋体" w:cs="宋体"/>
          <w:b/>
          <w:bCs/>
          <w:i w:val="0"/>
          <w:iCs w:val="0"/>
          <w:sz w:val="30"/>
          <w:szCs w:val="30"/>
          <w:u w:val="none"/>
          <w:lang w:val="zh-CN"/>
        </w:rPr>
      </w:pPr>
      <w:r>
        <w:rPr>
          <w:rFonts w:hint="eastAsia" w:ascii="宋体" w:hAnsi="宋体" w:eastAsia="宋体" w:cs="宋体"/>
          <w:b/>
          <w:bCs/>
          <w:i w:val="0"/>
          <w:iCs w:val="0"/>
          <w:sz w:val="30"/>
          <w:szCs w:val="30"/>
          <w:u w:val="none"/>
          <w:lang w:val="zh-CN"/>
        </w:rPr>
        <w:t>付款方式承诺书</w:t>
      </w:r>
    </w:p>
    <w:p w14:paraId="06D47D77">
      <w:pPr>
        <w:spacing w:beforeLines="0" w:afterLines="0"/>
        <w:jc w:val="center"/>
        <w:outlineLvl w:val="9"/>
        <w:rPr>
          <w:rFonts w:hint="eastAsia" w:hAnsi="宋体" w:eastAsia="宋体" w:cs="宋体"/>
          <w:lang w:val="zh-CN"/>
        </w:rPr>
      </w:pPr>
      <w:r>
        <w:rPr>
          <w:rFonts w:hint="eastAsia" w:hAnsi="宋体" w:eastAsia="宋体" w:cs="宋体"/>
          <w:sz w:val="30"/>
          <w:szCs w:val="30"/>
          <w:lang w:val="zh-CN"/>
        </w:rPr>
        <w:t>（</w:t>
      </w:r>
      <w:r>
        <w:rPr>
          <w:rFonts w:hint="eastAsia" w:hAnsi="宋体" w:eastAsia="宋体" w:cs="宋体"/>
          <w:sz w:val="30"/>
          <w:szCs w:val="30"/>
        </w:rPr>
        <w:t>适用标段一、标段二</w:t>
      </w:r>
      <w:r>
        <w:rPr>
          <w:rFonts w:hint="eastAsia" w:hAnsi="宋体" w:eastAsia="宋体" w:cs="宋体"/>
          <w:sz w:val="30"/>
          <w:szCs w:val="30"/>
          <w:lang w:val="zh-CN"/>
        </w:rPr>
        <w:t>）</w:t>
      </w:r>
    </w:p>
    <w:p w14:paraId="36A4DB08">
      <w:pPr>
        <w:spacing w:before="0" w:beforeLines="0" w:after="0" w:afterLines="0" w:line="360" w:lineRule="auto"/>
        <w:ind w:firstLine="205" w:firstLineChars="85"/>
        <w:jc w:val="left"/>
        <w:outlineLvl w:val="9"/>
        <w:rPr>
          <w:rFonts w:hint="eastAsia" w:ascii="宋体" w:hAnsi="宋体" w:eastAsia="宋体" w:cs="宋体"/>
          <w:b/>
          <w:bCs/>
          <w:color w:val="000000" w:themeColor="text1"/>
          <w:sz w:val="24"/>
          <w:szCs w:val="24"/>
          <w14:textFill>
            <w14:solidFill>
              <w14:schemeClr w14:val="tx1"/>
            </w14:solidFill>
          </w14:textFill>
        </w:rPr>
      </w:pPr>
    </w:p>
    <w:p w14:paraId="206E8A39">
      <w:pPr>
        <w:snapToGrid w:val="0"/>
        <w:spacing w:beforeLines="0" w:afterLine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本公司郑重承诺： </w:t>
      </w:r>
    </w:p>
    <w:p w14:paraId="734A0732">
      <w:pPr>
        <w:snapToGrid w:val="0"/>
        <w:spacing w:beforeLines="0" w:afterLines="0"/>
        <w:ind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采购人不</w:t>
      </w:r>
      <w:r>
        <w:rPr>
          <w:rFonts w:hint="eastAsia" w:ascii="宋体" w:hAnsi="宋体" w:eastAsia="宋体" w:cs="宋体"/>
          <w:color w:val="000000" w:themeColor="text1"/>
          <w:sz w:val="24"/>
          <w:szCs w:val="24"/>
          <w14:textFill>
            <w14:solidFill>
              <w14:schemeClr w14:val="tx1"/>
            </w14:solidFill>
          </w14:textFill>
        </w:rPr>
        <w:t>预付货款；采购人收到本公司所供产品安装验收合格单和发票后，</w:t>
      </w:r>
      <w:r>
        <w:rPr>
          <w:rFonts w:hint="eastAsia" w:ascii="宋体" w:hAnsi="宋体" w:eastAsia="宋体" w:cs="宋体"/>
          <w:sz w:val="24"/>
          <w:szCs w:val="24"/>
        </w:rPr>
        <w:t>在第二个月（收到发票当月为第1月）25日前支付应付款项的90%，余款（10%）于次年同月（发票开具月）25日前付清。</w:t>
      </w:r>
    </w:p>
    <w:p w14:paraId="67087F2E">
      <w:pPr>
        <w:spacing w:beforeLines="0" w:afterLines="0" w:line="360" w:lineRule="auto"/>
        <w:ind w:firstLine="204" w:firstLineChars="85"/>
        <w:outlineLvl w:val="9"/>
        <w:rPr>
          <w:rFonts w:hint="eastAsia" w:ascii="宋体" w:hAnsi="宋体" w:eastAsia="宋体" w:cs="宋体"/>
          <w:color w:val="000000" w:themeColor="text1"/>
          <w:sz w:val="24"/>
          <w:szCs w:val="24"/>
          <w14:textFill>
            <w14:solidFill>
              <w14:schemeClr w14:val="tx1"/>
            </w14:solidFill>
          </w14:textFill>
        </w:rPr>
      </w:pPr>
    </w:p>
    <w:p w14:paraId="023C9CB1">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供应商全称（加盖公章）：</w:t>
      </w:r>
    </w:p>
    <w:p w14:paraId="3D2ABE10">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290C5552">
      <w:pPr>
        <w:snapToGrid w:val="0"/>
        <w:spacing w:beforeLines="0" w:afterLines="0"/>
        <w:ind w:firstLine="204" w:firstLineChars="85"/>
        <w:jc w:val="left"/>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15116240">
      <w:pPr>
        <w:spacing w:beforeLines="0" w:afterLines="0" w:line="360" w:lineRule="auto"/>
        <w:ind w:firstLine="204" w:firstLineChars="85"/>
        <w:outlineLvl w:val="9"/>
        <w:rPr>
          <w:rFonts w:hint="eastAsia" w:ascii="宋体" w:hAnsi="宋体" w:eastAsia="宋体" w:cs="宋体"/>
          <w:color w:val="000000" w:themeColor="text1"/>
          <w:sz w:val="24"/>
          <w:szCs w:val="24"/>
          <w14:textFill>
            <w14:solidFill>
              <w14:schemeClr w14:val="tx1"/>
            </w14:solidFill>
          </w14:textFill>
        </w:rPr>
      </w:pPr>
    </w:p>
    <w:p w14:paraId="3AD22329">
      <w:pPr>
        <w:spacing w:before="0" w:beforeLines="0" w:after="0" w:afterLines="0" w:line="360" w:lineRule="auto"/>
        <w:jc w:val="center"/>
        <w:outlineLvl w:val="9"/>
        <w:rPr>
          <w:rFonts w:hint="eastAsia" w:ascii="宋体" w:hAnsi="宋体" w:eastAsia="宋体" w:cs="宋体"/>
          <w:b/>
          <w:bCs/>
          <w:i w:val="0"/>
          <w:iCs w:val="0"/>
          <w:sz w:val="30"/>
          <w:szCs w:val="30"/>
          <w:u w:val="none"/>
          <w:lang w:val="zh-CN"/>
        </w:rPr>
      </w:pPr>
    </w:p>
    <w:p w14:paraId="245C0683">
      <w:pPr>
        <w:spacing w:before="0" w:beforeLines="0" w:after="0" w:afterLines="0" w:line="360" w:lineRule="auto"/>
        <w:jc w:val="center"/>
        <w:outlineLvl w:val="9"/>
        <w:rPr>
          <w:rFonts w:hint="eastAsia" w:ascii="宋体" w:hAnsi="宋体" w:eastAsia="宋体" w:cs="宋体"/>
          <w:b/>
          <w:bCs/>
          <w:i w:val="0"/>
          <w:iCs w:val="0"/>
          <w:sz w:val="30"/>
          <w:szCs w:val="30"/>
          <w:u w:val="none"/>
          <w:lang w:val="zh-CN"/>
        </w:rPr>
      </w:pPr>
      <w:r>
        <w:rPr>
          <w:rFonts w:hint="eastAsia" w:ascii="宋体" w:hAnsi="宋体" w:eastAsia="宋体" w:cs="宋体"/>
          <w:b/>
          <w:bCs/>
          <w:i w:val="0"/>
          <w:iCs w:val="0"/>
          <w:sz w:val="30"/>
          <w:szCs w:val="30"/>
          <w:u w:val="none"/>
          <w:lang w:val="zh-CN"/>
        </w:rPr>
        <w:t>付款方式承诺书</w:t>
      </w:r>
    </w:p>
    <w:p w14:paraId="2750A5EB">
      <w:pPr>
        <w:spacing w:beforeLines="0" w:afterLines="0"/>
        <w:jc w:val="center"/>
        <w:outlineLvl w:val="9"/>
        <w:rPr>
          <w:rFonts w:hint="eastAsia" w:hAnsi="宋体" w:eastAsia="宋体" w:cs="宋体"/>
          <w:lang w:val="zh-CN"/>
        </w:rPr>
      </w:pPr>
      <w:r>
        <w:rPr>
          <w:rFonts w:hint="eastAsia" w:hAnsi="宋体" w:eastAsia="宋体" w:cs="宋体"/>
          <w:sz w:val="30"/>
          <w:szCs w:val="30"/>
          <w:lang w:val="zh-CN"/>
        </w:rPr>
        <w:t>（</w:t>
      </w:r>
      <w:r>
        <w:rPr>
          <w:rFonts w:hint="eastAsia" w:hAnsi="宋体" w:eastAsia="宋体" w:cs="宋体"/>
          <w:sz w:val="30"/>
          <w:szCs w:val="30"/>
        </w:rPr>
        <w:t>适用标段三、标段四</w:t>
      </w:r>
      <w:r>
        <w:rPr>
          <w:rFonts w:hint="eastAsia" w:hAnsi="宋体" w:eastAsia="宋体" w:cs="宋体"/>
          <w:sz w:val="30"/>
          <w:szCs w:val="30"/>
          <w:lang w:val="zh-CN"/>
        </w:rPr>
        <w:t>）</w:t>
      </w:r>
    </w:p>
    <w:p w14:paraId="7D80D0EE">
      <w:pPr>
        <w:spacing w:before="0" w:beforeLines="0" w:after="0" w:afterLines="0" w:line="360" w:lineRule="auto"/>
        <w:ind w:firstLine="205" w:firstLineChars="85"/>
        <w:jc w:val="left"/>
        <w:outlineLvl w:val="9"/>
        <w:rPr>
          <w:rFonts w:hint="eastAsia" w:ascii="宋体" w:hAnsi="宋体" w:eastAsia="宋体" w:cs="宋体"/>
          <w:b/>
          <w:bCs/>
          <w:color w:val="000000" w:themeColor="text1"/>
          <w:sz w:val="24"/>
          <w:szCs w:val="24"/>
          <w14:textFill>
            <w14:solidFill>
              <w14:schemeClr w14:val="tx1"/>
            </w14:solidFill>
          </w14:textFill>
        </w:rPr>
      </w:pPr>
    </w:p>
    <w:p w14:paraId="68774229">
      <w:pPr>
        <w:snapToGrid w:val="0"/>
        <w:spacing w:beforeLines="0" w:afterLine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本公司郑重承诺： </w:t>
      </w:r>
    </w:p>
    <w:p w14:paraId="7B84DED5">
      <w:pPr>
        <w:snapToGrid w:val="0"/>
        <w:spacing w:beforeLines="0" w:afterLines="0"/>
        <w:ind w:firstLine="480" w:firstLineChars="200"/>
        <w:jc w:val="left"/>
        <w:outlineLvl w:val="9"/>
        <w:rPr>
          <w:rFonts w:hint="eastAsia" w:ascii="宋体" w:hAnsi="宋体" w:eastAsia="宋体" w:cs="宋体"/>
          <w:color w:val="FF0000"/>
          <w:sz w:val="24"/>
          <w:szCs w:val="24"/>
        </w:rPr>
      </w:pPr>
      <w:r>
        <w:rPr>
          <w:rFonts w:hint="eastAsia" w:ascii="宋体" w:hAnsi="宋体" w:eastAsia="宋体" w:cs="宋体"/>
          <w:sz w:val="24"/>
          <w:szCs w:val="24"/>
        </w:rPr>
        <w:t>采购人不</w:t>
      </w:r>
      <w:r>
        <w:rPr>
          <w:rFonts w:hint="eastAsia" w:ascii="宋体" w:hAnsi="宋体" w:eastAsia="宋体" w:cs="宋体"/>
          <w:color w:val="000000" w:themeColor="text1"/>
          <w:sz w:val="24"/>
          <w:szCs w:val="24"/>
          <w14:textFill>
            <w14:solidFill>
              <w14:schemeClr w14:val="tx1"/>
            </w14:solidFill>
          </w14:textFill>
        </w:rPr>
        <w:t>预付货款；采购人收到本公司所供产品验收合格单和发票后，在第二个月（</w:t>
      </w:r>
      <w:r>
        <w:rPr>
          <w:rFonts w:hint="eastAsia" w:ascii="宋体" w:hAnsi="宋体" w:eastAsia="宋体" w:cs="宋体"/>
          <w:sz w:val="24"/>
          <w:szCs w:val="24"/>
        </w:rPr>
        <w:t>收到发票当月为第1月</w:t>
      </w:r>
      <w:r>
        <w:rPr>
          <w:rFonts w:hint="eastAsia" w:ascii="宋体" w:hAnsi="宋体" w:eastAsia="宋体" w:cs="宋体"/>
          <w:color w:val="000000" w:themeColor="text1"/>
          <w:sz w:val="24"/>
          <w:szCs w:val="24"/>
          <w14:textFill>
            <w14:solidFill>
              <w14:schemeClr w14:val="tx1"/>
            </w14:solidFill>
          </w14:textFill>
        </w:rPr>
        <w:t>）25日前支付应付款项的100%。</w:t>
      </w:r>
    </w:p>
    <w:p w14:paraId="2D4F554B">
      <w:pPr>
        <w:spacing w:beforeLines="0" w:afterLines="0" w:line="360" w:lineRule="auto"/>
        <w:ind w:firstLine="204" w:firstLineChars="85"/>
        <w:outlineLvl w:val="9"/>
        <w:rPr>
          <w:rFonts w:hint="eastAsia" w:ascii="宋体" w:hAnsi="宋体" w:eastAsia="宋体" w:cs="宋体"/>
          <w:color w:val="000000" w:themeColor="text1"/>
          <w:sz w:val="24"/>
          <w:szCs w:val="24"/>
          <w14:textFill>
            <w14:solidFill>
              <w14:schemeClr w14:val="tx1"/>
            </w14:solidFill>
          </w14:textFill>
        </w:rPr>
      </w:pPr>
    </w:p>
    <w:p w14:paraId="2933C32C">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供应商全称（加盖公章）：</w:t>
      </w:r>
    </w:p>
    <w:p w14:paraId="475C9EAD">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3ECA335D">
      <w:pPr>
        <w:snapToGrid w:val="0"/>
        <w:spacing w:beforeLines="0" w:afterLines="0"/>
        <w:ind w:firstLine="204" w:firstLineChars="85"/>
        <w:jc w:val="left"/>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1A846F5B">
      <w:pPr>
        <w:spacing w:beforeLines="0" w:afterLines="0" w:line="360" w:lineRule="auto"/>
        <w:ind w:firstLine="204" w:firstLineChars="85"/>
        <w:outlineLvl w:val="9"/>
        <w:rPr>
          <w:rFonts w:hint="eastAsia" w:ascii="宋体" w:hAnsi="宋体" w:eastAsia="宋体" w:cs="宋体"/>
          <w:color w:val="000000" w:themeColor="text1"/>
          <w:sz w:val="24"/>
          <w:szCs w:val="24"/>
          <w14:textFill>
            <w14:solidFill>
              <w14:schemeClr w14:val="tx1"/>
            </w14:solidFill>
          </w14:textFill>
        </w:rPr>
      </w:pPr>
    </w:p>
    <w:p w14:paraId="7E772030">
      <w:pPr>
        <w:spacing w:beforeLines="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p>
    <w:p w14:paraId="6CE6E1B4">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9752EF2">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格式9</w:t>
      </w:r>
    </w:p>
    <w:p w14:paraId="2729022C">
      <w:pPr>
        <w:spacing w:before="0" w:beforeLines="0" w:after="0" w:afterLines="0" w:line="360" w:lineRule="auto"/>
        <w:jc w:val="center"/>
        <w:outlineLvl w:val="9"/>
        <w:rPr>
          <w:rFonts w:hint="eastAsia" w:ascii="宋体" w:hAnsi="宋体" w:eastAsia="宋体" w:cs="宋体"/>
          <w:b/>
          <w:bCs/>
          <w:i w:val="0"/>
          <w:iCs w:val="0"/>
          <w:sz w:val="30"/>
          <w:szCs w:val="30"/>
          <w:u w:val="none"/>
        </w:rPr>
      </w:pPr>
      <w:r>
        <w:rPr>
          <w:rFonts w:hint="eastAsia" w:ascii="宋体" w:hAnsi="宋体" w:eastAsia="宋体" w:cs="宋体"/>
          <w:b/>
          <w:bCs/>
          <w:i w:val="0"/>
          <w:iCs w:val="0"/>
          <w:sz w:val="30"/>
          <w:szCs w:val="30"/>
          <w:u w:val="none"/>
        </w:rPr>
        <w:t>具备履行合同所必需的设备和专业技术能力承诺函</w:t>
      </w:r>
    </w:p>
    <w:p w14:paraId="476AFB31">
      <w:pPr>
        <w:spacing w:before="0" w:beforeLines="0" w:after="0" w:afterLines="0" w:line="360" w:lineRule="auto"/>
        <w:jc w:val="center"/>
        <w:outlineLvl w:val="9"/>
        <w:rPr>
          <w:rFonts w:hint="eastAsia" w:ascii="宋体" w:hAnsi="宋体" w:eastAsia="宋体" w:cs="宋体"/>
          <w:b/>
          <w:bCs/>
          <w:i w:val="0"/>
          <w:iCs w:val="0"/>
          <w:sz w:val="30"/>
          <w:szCs w:val="30"/>
          <w:u w:val="none"/>
        </w:rPr>
      </w:pPr>
    </w:p>
    <w:p w14:paraId="5920649A">
      <w:pPr>
        <w:spacing w:beforeLines="0" w:afterLines="0"/>
        <w:ind w:firstLine="492"/>
        <w:outlineLvl w:val="9"/>
        <w:rPr>
          <w:rFonts w:hint="eastAsia" w:ascii="宋体" w:hAnsi="宋体" w:eastAsia="宋体" w:cs="宋体"/>
          <w:bCs/>
          <w:sz w:val="24"/>
        </w:rPr>
      </w:pPr>
      <w:r>
        <w:rPr>
          <w:rFonts w:hint="eastAsia" w:ascii="宋体" w:hAnsi="宋体" w:eastAsia="宋体" w:cs="宋体"/>
          <w:bCs/>
          <w:sz w:val="24"/>
          <w:szCs w:val="24"/>
        </w:rPr>
        <w:t xml:space="preserve">我公司 </w:t>
      </w:r>
      <w:r>
        <w:rPr>
          <w:rFonts w:hint="eastAsia" w:ascii="宋体" w:hAnsi="宋体" w:eastAsia="宋体" w:cs="宋体"/>
          <w:bCs/>
          <w:sz w:val="24"/>
          <w:szCs w:val="24"/>
          <w:u w:val="single"/>
        </w:rPr>
        <w:t xml:space="preserve">                 </w:t>
      </w:r>
      <w:r>
        <w:rPr>
          <w:rFonts w:hint="eastAsia" w:ascii="宋体" w:hAnsi="宋体" w:eastAsia="宋体" w:cs="宋体"/>
          <w:sz w:val="24"/>
          <w:szCs w:val="24"/>
        </w:rPr>
        <w:t>（供应商名称）</w:t>
      </w:r>
      <w:r>
        <w:rPr>
          <w:rFonts w:hint="eastAsia" w:ascii="宋体" w:hAnsi="宋体" w:eastAsia="宋体" w:cs="宋体"/>
          <w:bCs/>
          <w:sz w:val="24"/>
          <w:szCs w:val="24"/>
        </w:rPr>
        <w:t>郑重承诺：我公司</w:t>
      </w:r>
      <w:r>
        <w:rPr>
          <w:rFonts w:hint="eastAsia" w:ascii="宋体" w:hAnsi="宋体" w:eastAsia="宋体" w:cs="宋体"/>
          <w:bCs/>
          <w:sz w:val="24"/>
        </w:rPr>
        <w:t>具备履行本项采购合同所必需的设备和专业技术能力，为履行本项采购合同我公司</w:t>
      </w:r>
      <w:r>
        <w:rPr>
          <w:rFonts w:hint="eastAsia" w:ascii="宋体" w:hAnsi="宋体" w:eastAsia="宋体" w:cs="宋体"/>
          <w:bCs/>
          <w:sz w:val="24"/>
          <w:szCs w:val="24"/>
        </w:rPr>
        <w:t>具备</w:t>
      </w:r>
      <w:r>
        <w:rPr>
          <w:rFonts w:hint="eastAsia" w:ascii="宋体" w:hAnsi="宋体" w:eastAsia="宋体" w:cs="宋体"/>
          <w:bCs/>
          <w:sz w:val="24"/>
        </w:rPr>
        <w:t>如下主要设备和主要专业技术能力：</w:t>
      </w:r>
    </w:p>
    <w:p w14:paraId="5D082A78">
      <w:pPr>
        <w:spacing w:beforeLines="0" w:afterLines="0"/>
        <w:ind w:firstLine="492"/>
        <w:outlineLvl w:val="9"/>
        <w:rPr>
          <w:rFonts w:hint="eastAsia" w:ascii="宋体" w:hAnsi="宋体" w:eastAsia="宋体" w:cs="宋体"/>
          <w:bCs/>
          <w:sz w:val="24"/>
          <w:szCs w:val="24"/>
        </w:rPr>
      </w:pPr>
      <w:r>
        <w:rPr>
          <w:rFonts w:hint="eastAsia" w:ascii="宋体" w:hAnsi="宋体" w:eastAsia="宋体" w:cs="宋体"/>
          <w:bCs/>
          <w:sz w:val="24"/>
        </w:rPr>
        <w:t>1、主要设备有：</w:t>
      </w:r>
      <w:r>
        <w:rPr>
          <w:rFonts w:hint="eastAsia" w:ascii="宋体" w:hAnsi="宋体" w:eastAsia="宋体" w:cs="宋体"/>
          <w:bCs/>
          <w:sz w:val="24"/>
          <w:u w:val="single"/>
        </w:rPr>
        <w:t xml:space="preserve">                  </w:t>
      </w:r>
      <w:r>
        <w:rPr>
          <w:rFonts w:hint="eastAsia" w:ascii="宋体" w:hAnsi="宋体" w:eastAsia="宋体" w:cs="宋体"/>
          <w:bCs/>
          <w:sz w:val="24"/>
          <w:szCs w:val="24"/>
        </w:rPr>
        <w:t>。</w:t>
      </w:r>
    </w:p>
    <w:p w14:paraId="580C3F9C">
      <w:pPr>
        <w:spacing w:beforeLines="0" w:afterLines="0"/>
        <w:ind w:firstLine="492"/>
        <w:outlineLvl w:val="9"/>
        <w:rPr>
          <w:rFonts w:hint="eastAsia" w:ascii="宋体" w:hAnsi="宋体" w:eastAsia="宋体" w:cs="宋体"/>
          <w:bCs/>
          <w:sz w:val="24"/>
          <w:szCs w:val="24"/>
        </w:rPr>
      </w:pPr>
      <w:r>
        <w:rPr>
          <w:rFonts w:hint="eastAsia" w:ascii="宋体" w:hAnsi="宋体" w:eastAsia="宋体" w:cs="宋体"/>
          <w:bCs/>
          <w:sz w:val="24"/>
        </w:rPr>
        <w:t>2、主要专业技术能力有：</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szCs w:val="24"/>
        </w:rPr>
        <w:t xml:space="preserve">    </w:t>
      </w:r>
    </w:p>
    <w:p w14:paraId="2CEC14B4">
      <w:pPr>
        <w:spacing w:beforeLines="0" w:afterLines="0"/>
        <w:ind w:firstLine="492"/>
        <w:outlineLvl w:val="9"/>
        <w:rPr>
          <w:rFonts w:hint="eastAsia" w:ascii="宋体" w:hAnsi="宋体" w:eastAsia="宋体" w:cs="宋体"/>
          <w:bCs/>
          <w:sz w:val="24"/>
          <w:szCs w:val="24"/>
        </w:rPr>
      </w:pPr>
      <w:r>
        <w:rPr>
          <w:rFonts w:hint="eastAsia" w:ascii="宋体" w:hAnsi="宋体" w:eastAsia="宋体" w:cs="宋体"/>
          <w:bCs/>
          <w:sz w:val="24"/>
          <w:szCs w:val="24"/>
        </w:rPr>
        <w:t xml:space="preserve">                          </w:t>
      </w:r>
    </w:p>
    <w:p w14:paraId="4D270FBD">
      <w:pPr>
        <w:snapToGrid w:val="0"/>
        <w:spacing w:beforeLines="0" w:afterLines="0"/>
        <w:ind w:firstLine="204" w:firstLineChars="85"/>
        <w:outlineLvl w:val="9"/>
        <w:rPr>
          <w:rFonts w:hint="eastAsia" w:ascii="宋体" w:hAnsi="宋体" w:eastAsia="宋体" w:cs="宋体"/>
          <w:sz w:val="24"/>
          <w:szCs w:val="24"/>
        </w:rPr>
      </w:pPr>
    </w:p>
    <w:p w14:paraId="2ACD6F15">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供应商全称（加盖公章）：</w:t>
      </w:r>
    </w:p>
    <w:p w14:paraId="00077D9A">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40175FFD">
      <w:pPr>
        <w:snapToGrid w:val="0"/>
        <w:spacing w:beforeLines="0" w:afterLines="0"/>
        <w:ind w:firstLine="204" w:firstLineChars="85"/>
        <w:jc w:val="left"/>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259DB52F">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p>
    <w:p w14:paraId="5EF37B67">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5BDF8AF1">
      <w:pPr>
        <w:spacing w:before="0" w:beforeLines="0" w:after="0" w:afterLines="0" w:line="360" w:lineRule="auto"/>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格式10</w:t>
      </w:r>
    </w:p>
    <w:p w14:paraId="68B15071">
      <w:pPr>
        <w:spacing w:before="0" w:beforeLines="0" w:after="0" w:afterLines="0" w:line="360" w:lineRule="auto"/>
        <w:jc w:val="center"/>
        <w:outlineLvl w:val="9"/>
        <w:rPr>
          <w:rFonts w:hint="eastAsia" w:ascii="宋体" w:hAnsi="宋体" w:eastAsia="宋体" w:cs="宋体"/>
          <w:b/>
          <w:bCs/>
          <w:i w:val="0"/>
          <w:iCs w:val="0"/>
          <w:sz w:val="30"/>
          <w:szCs w:val="30"/>
          <w:u w:val="none"/>
          <w:lang w:val="zh-CN"/>
        </w:rPr>
      </w:pPr>
      <w:r>
        <w:rPr>
          <w:rFonts w:hint="eastAsia" w:ascii="宋体" w:hAnsi="宋体" w:eastAsia="宋体" w:cs="宋体"/>
          <w:b/>
          <w:bCs/>
          <w:i w:val="0"/>
          <w:iCs w:val="0"/>
          <w:sz w:val="30"/>
          <w:szCs w:val="30"/>
          <w:u w:val="none"/>
          <w:lang w:val="zh-CN"/>
        </w:rPr>
        <w:t>类似业绩情况表</w:t>
      </w:r>
    </w:p>
    <w:p w14:paraId="2CF23F49">
      <w:pPr>
        <w:pStyle w:val="57"/>
        <w:spacing w:beforeLines="0" w:afterLines="0" w:line="360" w:lineRule="auto"/>
        <w:ind w:firstLine="480"/>
        <w:jc w:val="center"/>
        <w:outlineLvl w:val="9"/>
        <w:rPr>
          <w:rFonts w:hint="eastAsia" w:ascii="宋体" w:hAnsi="宋体" w:eastAsia="宋体" w:cs="宋体"/>
          <w:sz w:val="24"/>
          <w:szCs w:val="24"/>
        </w:rPr>
      </w:pPr>
    </w:p>
    <w:p w14:paraId="3DA214F7">
      <w:pPr>
        <w:pStyle w:val="57"/>
        <w:spacing w:beforeLines="0" w:afterLines="0"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 xml:space="preserve">项目名称： </w:t>
      </w:r>
      <w:r>
        <w:rPr>
          <w:rFonts w:hint="eastAsia" w:hAnsi="宋体" w:eastAsia="宋体" w:cs="宋体"/>
          <w:sz w:val="24"/>
          <w:szCs w:val="24"/>
          <w:lang w:val="en-US" w:eastAsia="zh-CN"/>
        </w:rPr>
        <w:t xml:space="preserve">                                 </w:t>
      </w:r>
      <w:r>
        <w:rPr>
          <w:rFonts w:hint="eastAsia" w:ascii="宋体" w:hAnsi="宋体" w:eastAsia="宋体" w:cs="宋体"/>
          <w:sz w:val="24"/>
          <w:szCs w:val="24"/>
        </w:rPr>
        <w:t>项目编号：</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013"/>
        <w:gridCol w:w="1204"/>
        <w:gridCol w:w="1135"/>
        <w:gridCol w:w="1313"/>
        <w:gridCol w:w="1318"/>
        <w:gridCol w:w="1098"/>
        <w:gridCol w:w="840"/>
      </w:tblGrid>
      <w:tr w14:paraId="788F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14:paraId="349A4E0A">
            <w:pPr>
              <w:pStyle w:val="57"/>
              <w:spacing w:beforeLines="0" w:afterLines="0" w:line="360" w:lineRule="auto"/>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594" w:type="pct"/>
            <w:vAlign w:val="center"/>
          </w:tcPr>
          <w:p w14:paraId="6329059B">
            <w:pPr>
              <w:pStyle w:val="57"/>
              <w:spacing w:beforeLines="0" w:afterLines="0" w:line="360" w:lineRule="auto"/>
              <w:ind w:firstLine="0" w:firstLineChars="0"/>
              <w:outlineLvl w:val="9"/>
              <w:rPr>
                <w:rFonts w:hint="eastAsia" w:ascii="宋体" w:hAnsi="宋体" w:eastAsia="宋体" w:cs="宋体"/>
                <w:sz w:val="24"/>
                <w:szCs w:val="24"/>
              </w:rPr>
            </w:pPr>
            <w:r>
              <w:rPr>
                <w:rFonts w:hint="eastAsia" w:ascii="宋体" w:hAnsi="宋体" w:eastAsia="宋体" w:cs="宋体"/>
                <w:sz w:val="24"/>
                <w:szCs w:val="24"/>
              </w:rPr>
              <w:t>项目名称</w:t>
            </w:r>
          </w:p>
        </w:tc>
        <w:tc>
          <w:tcPr>
            <w:tcW w:w="706" w:type="pct"/>
            <w:vAlign w:val="center"/>
          </w:tcPr>
          <w:p w14:paraId="38EBF8BF">
            <w:pPr>
              <w:pStyle w:val="57"/>
              <w:spacing w:beforeLines="0" w:afterLines="0" w:line="360" w:lineRule="auto"/>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业主单位</w:t>
            </w:r>
          </w:p>
        </w:tc>
        <w:tc>
          <w:tcPr>
            <w:tcW w:w="666" w:type="pct"/>
            <w:vAlign w:val="center"/>
          </w:tcPr>
          <w:p w14:paraId="5EADEA98">
            <w:pPr>
              <w:pStyle w:val="57"/>
              <w:spacing w:beforeLines="0" w:afterLines="0" w:line="360" w:lineRule="auto"/>
              <w:ind w:firstLine="0" w:firstLineChars="0"/>
              <w:outlineLvl w:val="9"/>
              <w:rPr>
                <w:rFonts w:hint="eastAsia" w:ascii="宋体" w:hAnsi="宋体" w:eastAsia="宋体" w:cs="宋体"/>
                <w:sz w:val="24"/>
                <w:szCs w:val="24"/>
              </w:rPr>
            </w:pPr>
            <w:r>
              <w:rPr>
                <w:rFonts w:hint="eastAsia" w:ascii="宋体" w:hAnsi="宋体" w:eastAsia="宋体" w:cs="宋体"/>
                <w:sz w:val="24"/>
                <w:szCs w:val="24"/>
              </w:rPr>
              <w:t>合同金额</w:t>
            </w:r>
          </w:p>
        </w:tc>
        <w:tc>
          <w:tcPr>
            <w:tcW w:w="770" w:type="pct"/>
            <w:vAlign w:val="center"/>
          </w:tcPr>
          <w:p w14:paraId="46486766">
            <w:pPr>
              <w:pStyle w:val="57"/>
              <w:spacing w:beforeLines="0" w:afterLines="0" w:line="360" w:lineRule="auto"/>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项目内容</w:t>
            </w:r>
          </w:p>
        </w:tc>
        <w:tc>
          <w:tcPr>
            <w:tcW w:w="773" w:type="pct"/>
            <w:vAlign w:val="center"/>
          </w:tcPr>
          <w:p w14:paraId="4D55B865">
            <w:pPr>
              <w:pStyle w:val="57"/>
              <w:spacing w:beforeLines="0" w:afterLines="0" w:line="360" w:lineRule="auto"/>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签约及服务时间</w:t>
            </w:r>
          </w:p>
        </w:tc>
        <w:tc>
          <w:tcPr>
            <w:tcW w:w="644" w:type="pct"/>
            <w:vAlign w:val="center"/>
          </w:tcPr>
          <w:p w14:paraId="180D60D6">
            <w:pPr>
              <w:pStyle w:val="57"/>
              <w:spacing w:beforeLines="0" w:afterLines="0" w:line="360" w:lineRule="auto"/>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联系人及电话</w:t>
            </w:r>
          </w:p>
        </w:tc>
        <w:tc>
          <w:tcPr>
            <w:tcW w:w="493" w:type="pct"/>
            <w:vAlign w:val="center"/>
          </w:tcPr>
          <w:p w14:paraId="231D8B3B">
            <w:pPr>
              <w:pStyle w:val="57"/>
              <w:spacing w:beforeLines="0" w:afterLines="0" w:line="360" w:lineRule="auto"/>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备注</w:t>
            </w:r>
          </w:p>
        </w:tc>
      </w:tr>
      <w:tr w14:paraId="6F35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Pr>
          <w:p w14:paraId="629A972E">
            <w:pPr>
              <w:pStyle w:val="57"/>
              <w:spacing w:beforeLines="0" w:afterLines="0" w:line="360" w:lineRule="auto"/>
              <w:ind w:firstLine="480"/>
              <w:jc w:val="left"/>
              <w:outlineLvl w:val="9"/>
              <w:rPr>
                <w:rFonts w:hint="eastAsia" w:ascii="宋体" w:hAnsi="宋体" w:eastAsia="宋体" w:cs="宋体"/>
                <w:sz w:val="24"/>
                <w:szCs w:val="24"/>
              </w:rPr>
            </w:pPr>
          </w:p>
        </w:tc>
        <w:tc>
          <w:tcPr>
            <w:tcW w:w="594" w:type="pct"/>
          </w:tcPr>
          <w:p w14:paraId="1E9B89BE">
            <w:pPr>
              <w:pStyle w:val="57"/>
              <w:spacing w:beforeLines="0" w:afterLines="0" w:line="360" w:lineRule="auto"/>
              <w:ind w:firstLine="480"/>
              <w:jc w:val="left"/>
              <w:outlineLvl w:val="9"/>
              <w:rPr>
                <w:rFonts w:hint="eastAsia" w:ascii="宋体" w:hAnsi="宋体" w:eastAsia="宋体" w:cs="宋体"/>
                <w:sz w:val="24"/>
                <w:szCs w:val="24"/>
              </w:rPr>
            </w:pPr>
          </w:p>
        </w:tc>
        <w:tc>
          <w:tcPr>
            <w:tcW w:w="706" w:type="pct"/>
          </w:tcPr>
          <w:p w14:paraId="608D3715">
            <w:pPr>
              <w:pStyle w:val="57"/>
              <w:spacing w:beforeLines="0" w:afterLines="0" w:line="360" w:lineRule="auto"/>
              <w:ind w:firstLine="480"/>
              <w:jc w:val="left"/>
              <w:outlineLvl w:val="9"/>
              <w:rPr>
                <w:rFonts w:hint="eastAsia" w:ascii="宋体" w:hAnsi="宋体" w:eastAsia="宋体" w:cs="宋体"/>
                <w:sz w:val="24"/>
                <w:szCs w:val="24"/>
              </w:rPr>
            </w:pPr>
          </w:p>
        </w:tc>
        <w:tc>
          <w:tcPr>
            <w:tcW w:w="666" w:type="pct"/>
          </w:tcPr>
          <w:p w14:paraId="564FAED6">
            <w:pPr>
              <w:pStyle w:val="57"/>
              <w:spacing w:beforeLines="0" w:afterLines="0" w:line="360" w:lineRule="auto"/>
              <w:ind w:firstLine="480"/>
              <w:jc w:val="left"/>
              <w:outlineLvl w:val="9"/>
              <w:rPr>
                <w:rFonts w:hint="eastAsia" w:ascii="宋体" w:hAnsi="宋体" w:eastAsia="宋体" w:cs="宋体"/>
                <w:sz w:val="24"/>
                <w:szCs w:val="24"/>
              </w:rPr>
            </w:pPr>
          </w:p>
        </w:tc>
        <w:tc>
          <w:tcPr>
            <w:tcW w:w="770" w:type="pct"/>
          </w:tcPr>
          <w:p w14:paraId="43839679">
            <w:pPr>
              <w:pStyle w:val="57"/>
              <w:spacing w:beforeLines="0" w:afterLines="0" w:line="360" w:lineRule="auto"/>
              <w:ind w:firstLine="480"/>
              <w:jc w:val="left"/>
              <w:outlineLvl w:val="9"/>
              <w:rPr>
                <w:rFonts w:hint="eastAsia" w:ascii="宋体" w:hAnsi="宋体" w:eastAsia="宋体" w:cs="宋体"/>
                <w:sz w:val="24"/>
                <w:szCs w:val="24"/>
              </w:rPr>
            </w:pPr>
          </w:p>
        </w:tc>
        <w:tc>
          <w:tcPr>
            <w:tcW w:w="773" w:type="pct"/>
          </w:tcPr>
          <w:p w14:paraId="6F01C445">
            <w:pPr>
              <w:pStyle w:val="57"/>
              <w:spacing w:beforeLines="0" w:afterLines="0" w:line="360" w:lineRule="auto"/>
              <w:ind w:firstLine="480"/>
              <w:jc w:val="left"/>
              <w:outlineLvl w:val="9"/>
              <w:rPr>
                <w:rFonts w:hint="eastAsia" w:ascii="宋体" w:hAnsi="宋体" w:eastAsia="宋体" w:cs="宋体"/>
                <w:sz w:val="24"/>
                <w:szCs w:val="24"/>
              </w:rPr>
            </w:pPr>
          </w:p>
        </w:tc>
        <w:tc>
          <w:tcPr>
            <w:tcW w:w="644" w:type="pct"/>
          </w:tcPr>
          <w:p w14:paraId="0949A2C3">
            <w:pPr>
              <w:pStyle w:val="57"/>
              <w:spacing w:beforeLines="0" w:afterLines="0" w:line="360" w:lineRule="auto"/>
              <w:ind w:firstLine="480"/>
              <w:jc w:val="left"/>
              <w:outlineLvl w:val="9"/>
              <w:rPr>
                <w:rFonts w:hint="eastAsia" w:ascii="宋体" w:hAnsi="宋体" w:eastAsia="宋体" w:cs="宋体"/>
                <w:sz w:val="24"/>
                <w:szCs w:val="24"/>
              </w:rPr>
            </w:pPr>
          </w:p>
        </w:tc>
        <w:tc>
          <w:tcPr>
            <w:tcW w:w="493" w:type="pct"/>
          </w:tcPr>
          <w:p w14:paraId="1E5685E6">
            <w:pPr>
              <w:pStyle w:val="57"/>
              <w:spacing w:beforeLines="0" w:afterLines="0" w:line="360" w:lineRule="auto"/>
              <w:ind w:firstLine="480"/>
              <w:jc w:val="left"/>
              <w:outlineLvl w:val="9"/>
              <w:rPr>
                <w:rFonts w:hint="eastAsia" w:ascii="宋体" w:hAnsi="宋体" w:eastAsia="宋体" w:cs="宋体"/>
                <w:sz w:val="24"/>
                <w:szCs w:val="24"/>
              </w:rPr>
            </w:pPr>
          </w:p>
        </w:tc>
      </w:tr>
      <w:tr w14:paraId="524C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Pr>
          <w:p w14:paraId="6ACC571F">
            <w:pPr>
              <w:pStyle w:val="57"/>
              <w:spacing w:beforeLines="0" w:afterLines="0" w:line="360" w:lineRule="auto"/>
              <w:ind w:firstLine="480"/>
              <w:jc w:val="left"/>
              <w:outlineLvl w:val="9"/>
              <w:rPr>
                <w:rFonts w:hint="eastAsia" w:ascii="宋体" w:hAnsi="宋体" w:eastAsia="宋体" w:cs="宋体"/>
                <w:sz w:val="24"/>
                <w:szCs w:val="24"/>
              </w:rPr>
            </w:pPr>
          </w:p>
        </w:tc>
        <w:tc>
          <w:tcPr>
            <w:tcW w:w="594" w:type="pct"/>
          </w:tcPr>
          <w:p w14:paraId="6F4E0925">
            <w:pPr>
              <w:pStyle w:val="57"/>
              <w:spacing w:beforeLines="0" w:afterLines="0" w:line="360" w:lineRule="auto"/>
              <w:ind w:firstLine="480"/>
              <w:jc w:val="left"/>
              <w:outlineLvl w:val="9"/>
              <w:rPr>
                <w:rFonts w:hint="eastAsia" w:ascii="宋体" w:hAnsi="宋体" w:eastAsia="宋体" w:cs="宋体"/>
                <w:sz w:val="24"/>
                <w:szCs w:val="24"/>
              </w:rPr>
            </w:pPr>
          </w:p>
        </w:tc>
        <w:tc>
          <w:tcPr>
            <w:tcW w:w="706" w:type="pct"/>
          </w:tcPr>
          <w:p w14:paraId="12E842A3">
            <w:pPr>
              <w:pStyle w:val="57"/>
              <w:spacing w:beforeLines="0" w:afterLines="0" w:line="360" w:lineRule="auto"/>
              <w:ind w:firstLine="480"/>
              <w:jc w:val="left"/>
              <w:outlineLvl w:val="9"/>
              <w:rPr>
                <w:rFonts w:hint="eastAsia" w:ascii="宋体" w:hAnsi="宋体" w:eastAsia="宋体" w:cs="宋体"/>
                <w:sz w:val="24"/>
                <w:szCs w:val="24"/>
              </w:rPr>
            </w:pPr>
          </w:p>
        </w:tc>
        <w:tc>
          <w:tcPr>
            <w:tcW w:w="666" w:type="pct"/>
          </w:tcPr>
          <w:p w14:paraId="7E848A4D">
            <w:pPr>
              <w:pStyle w:val="57"/>
              <w:spacing w:beforeLines="0" w:afterLines="0" w:line="360" w:lineRule="auto"/>
              <w:ind w:firstLine="480"/>
              <w:jc w:val="left"/>
              <w:outlineLvl w:val="9"/>
              <w:rPr>
                <w:rFonts w:hint="eastAsia" w:ascii="宋体" w:hAnsi="宋体" w:eastAsia="宋体" w:cs="宋体"/>
                <w:sz w:val="24"/>
                <w:szCs w:val="24"/>
              </w:rPr>
            </w:pPr>
          </w:p>
        </w:tc>
        <w:tc>
          <w:tcPr>
            <w:tcW w:w="770" w:type="pct"/>
          </w:tcPr>
          <w:p w14:paraId="20294563">
            <w:pPr>
              <w:pStyle w:val="57"/>
              <w:spacing w:beforeLines="0" w:afterLines="0" w:line="360" w:lineRule="auto"/>
              <w:ind w:firstLine="480"/>
              <w:jc w:val="left"/>
              <w:outlineLvl w:val="9"/>
              <w:rPr>
                <w:rFonts w:hint="eastAsia" w:ascii="宋体" w:hAnsi="宋体" w:eastAsia="宋体" w:cs="宋体"/>
                <w:sz w:val="24"/>
                <w:szCs w:val="24"/>
              </w:rPr>
            </w:pPr>
          </w:p>
        </w:tc>
        <w:tc>
          <w:tcPr>
            <w:tcW w:w="773" w:type="pct"/>
          </w:tcPr>
          <w:p w14:paraId="3007C371">
            <w:pPr>
              <w:pStyle w:val="57"/>
              <w:spacing w:beforeLines="0" w:afterLines="0" w:line="360" w:lineRule="auto"/>
              <w:ind w:firstLine="480"/>
              <w:jc w:val="left"/>
              <w:outlineLvl w:val="9"/>
              <w:rPr>
                <w:rFonts w:hint="eastAsia" w:ascii="宋体" w:hAnsi="宋体" w:eastAsia="宋体" w:cs="宋体"/>
                <w:sz w:val="24"/>
                <w:szCs w:val="24"/>
              </w:rPr>
            </w:pPr>
          </w:p>
        </w:tc>
        <w:tc>
          <w:tcPr>
            <w:tcW w:w="644" w:type="pct"/>
          </w:tcPr>
          <w:p w14:paraId="079C1781">
            <w:pPr>
              <w:pStyle w:val="57"/>
              <w:spacing w:beforeLines="0" w:afterLines="0" w:line="360" w:lineRule="auto"/>
              <w:ind w:firstLine="480"/>
              <w:jc w:val="left"/>
              <w:outlineLvl w:val="9"/>
              <w:rPr>
                <w:rFonts w:hint="eastAsia" w:ascii="宋体" w:hAnsi="宋体" w:eastAsia="宋体" w:cs="宋体"/>
                <w:sz w:val="24"/>
                <w:szCs w:val="24"/>
              </w:rPr>
            </w:pPr>
          </w:p>
        </w:tc>
        <w:tc>
          <w:tcPr>
            <w:tcW w:w="493" w:type="pct"/>
          </w:tcPr>
          <w:p w14:paraId="289389BD">
            <w:pPr>
              <w:pStyle w:val="57"/>
              <w:spacing w:beforeLines="0" w:afterLines="0" w:line="360" w:lineRule="auto"/>
              <w:ind w:firstLine="480"/>
              <w:jc w:val="left"/>
              <w:outlineLvl w:val="9"/>
              <w:rPr>
                <w:rFonts w:hint="eastAsia" w:ascii="宋体" w:hAnsi="宋体" w:eastAsia="宋体" w:cs="宋体"/>
                <w:sz w:val="24"/>
                <w:szCs w:val="24"/>
              </w:rPr>
            </w:pPr>
          </w:p>
        </w:tc>
      </w:tr>
      <w:tr w14:paraId="523B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Pr>
          <w:p w14:paraId="3F7E8136">
            <w:pPr>
              <w:pStyle w:val="57"/>
              <w:spacing w:beforeLines="0" w:afterLines="0" w:line="360" w:lineRule="auto"/>
              <w:ind w:firstLine="480"/>
              <w:jc w:val="left"/>
              <w:outlineLvl w:val="9"/>
              <w:rPr>
                <w:rFonts w:hint="eastAsia" w:ascii="宋体" w:hAnsi="宋体" w:eastAsia="宋体" w:cs="宋体"/>
                <w:sz w:val="24"/>
                <w:szCs w:val="24"/>
              </w:rPr>
            </w:pPr>
          </w:p>
        </w:tc>
        <w:tc>
          <w:tcPr>
            <w:tcW w:w="594" w:type="pct"/>
          </w:tcPr>
          <w:p w14:paraId="7CF86FD0">
            <w:pPr>
              <w:pStyle w:val="57"/>
              <w:spacing w:beforeLines="0" w:afterLines="0" w:line="360" w:lineRule="auto"/>
              <w:ind w:firstLine="480"/>
              <w:jc w:val="left"/>
              <w:outlineLvl w:val="9"/>
              <w:rPr>
                <w:rFonts w:hint="eastAsia" w:ascii="宋体" w:hAnsi="宋体" w:eastAsia="宋体" w:cs="宋体"/>
                <w:sz w:val="24"/>
                <w:szCs w:val="24"/>
              </w:rPr>
            </w:pPr>
          </w:p>
        </w:tc>
        <w:tc>
          <w:tcPr>
            <w:tcW w:w="706" w:type="pct"/>
          </w:tcPr>
          <w:p w14:paraId="1C219EDE">
            <w:pPr>
              <w:pStyle w:val="57"/>
              <w:spacing w:beforeLines="0" w:afterLines="0" w:line="360" w:lineRule="auto"/>
              <w:ind w:firstLine="480"/>
              <w:jc w:val="left"/>
              <w:outlineLvl w:val="9"/>
              <w:rPr>
                <w:rFonts w:hint="eastAsia" w:ascii="宋体" w:hAnsi="宋体" w:eastAsia="宋体" w:cs="宋体"/>
                <w:sz w:val="24"/>
                <w:szCs w:val="24"/>
              </w:rPr>
            </w:pPr>
          </w:p>
        </w:tc>
        <w:tc>
          <w:tcPr>
            <w:tcW w:w="666" w:type="pct"/>
          </w:tcPr>
          <w:p w14:paraId="7083DC34">
            <w:pPr>
              <w:pStyle w:val="57"/>
              <w:spacing w:beforeLines="0" w:afterLines="0" w:line="360" w:lineRule="auto"/>
              <w:ind w:firstLine="480"/>
              <w:jc w:val="left"/>
              <w:outlineLvl w:val="9"/>
              <w:rPr>
                <w:rFonts w:hint="eastAsia" w:ascii="宋体" w:hAnsi="宋体" w:eastAsia="宋体" w:cs="宋体"/>
                <w:sz w:val="24"/>
                <w:szCs w:val="24"/>
              </w:rPr>
            </w:pPr>
          </w:p>
        </w:tc>
        <w:tc>
          <w:tcPr>
            <w:tcW w:w="770" w:type="pct"/>
          </w:tcPr>
          <w:p w14:paraId="4EEE8CD2">
            <w:pPr>
              <w:pStyle w:val="57"/>
              <w:spacing w:beforeLines="0" w:afterLines="0" w:line="360" w:lineRule="auto"/>
              <w:ind w:firstLine="480"/>
              <w:jc w:val="left"/>
              <w:outlineLvl w:val="9"/>
              <w:rPr>
                <w:rFonts w:hint="eastAsia" w:ascii="宋体" w:hAnsi="宋体" w:eastAsia="宋体" w:cs="宋体"/>
                <w:sz w:val="24"/>
                <w:szCs w:val="24"/>
              </w:rPr>
            </w:pPr>
          </w:p>
        </w:tc>
        <w:tc>
          <w:tcPr>
            <w:tcW w:w="773" w:type="pct"/>
          </w:tcPr>
          <w:p w14:paraId="7C3A61F3">
            <w:pPr>
              <w:pStyle w:val="57"/>
              <w:spacing w:beforeLines="0" w:afterLines="0" w:line="360" w:lineRule="auto"/>
              <w:ind w:firstLine="480"/>
              <w:jc w:val="left"/>
              <w:outlineLvl w:val="9"/>
              <w:rPr>
                <w:rFonts w:hint="eastAsia" w:ascii="宋体" w:hAnsi="宋体" w:eastAsia="宋体" w:cs="宋体"/>
                <w:sz w:val="24"/>
                <w:szCs w:val="24"/>
              </w:rPr>
            </w:pPr>
          </w:p>
        </w:tc>
        <w:tc>
          <w:tcPr>
            <w:tcW w:w="644" w:type="pct"/>
          </w:tcPr>
          <w:p w14:paraId="576617E4">
            <w:pPr>
              <w:pStyle w:val="57"/>
              <w:spacing w:beforeLines="0" w:afterLines="0" w:line="360" w:lineRule="auto"/>
              <w:ind w:firstLine="480"/>
              <w:jc w:val="left"/>
              <w:outlineLvl w:val="9"/>
              <w:rPr>
                <w:rFonts w:hint="eastAsia" w:ascii="宋体" w:hAnsi="宋体" w:eastAsia="宋体" w:cs="宋体"/>
                <w:sz w:val="24"/>
                <w:szCs w:val="24"/>
              </w:rPr>
            </w:pPr>
          </w:p>
        </w:tc>
        <w:tc>
          <w:tcPr>
            <w:tcW w:w="493" w:type="pct"/>
          </w:tcPr>
          <w:p w14:paraId="7DA54CDA">
            <w:pPr>
              <w:pStyle w:val="57"/>
              <w:spacing w:beforeLines="0" w:afterLines="0" w:line="360" w:lineRule="auto"/>
              <w:ind w:firstLine="480"/>
              <w:jc w:val="left"/>
              <w:outlineLvl w:val="9"/>
              <w:rPr>
                <w:rFonts w:hint="eastAsia" w:ascii="宋体" w:hAnsi="宋体" w:eastAsia="宋体" w:cs="宋体"/>
                <w:sz w:val="24"/>
                <w:szCs w:val="24"/>
              </w:rPr>
            </w:pPr>
          </w:p>
        </w:tc>
      </w:tr>
      <w:tr w14:paraId="1F2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Pr>
          <w:p w14:paraId="20793194">
            <w:pPr>
              <w:pStyle w:val="57"/>
              <w:spacing w:beforeLines="0" w:afterLines="0" w:line="360" w:lineRule="auto"/>
              <w:ind w:firstLine="480"/>
              <w:jc w:val="left"/>
              <w:outlineLvl w:val="9"/>
              <w:rPr>
                <w:rFonts w:hint="eastAsia" w:ascii="宋体" w:hAnsi="宋体" w:eastAsia="宋体" w:cs="宋体"/>
                <w:sz w:val="24"/>
                <w:szCs w:val="24"/>
              </w:rPr>
            </w:pPr>
          </w:p>
        </w:tc>
        <w:tc>
          <w:tcPr>
            <w:tcW w:w="594" w:type="pct"/>
          </w:tcPr>
          <w:p w14:paraId="4EF1D9F3">
            <w:pPr>
              <w:pStyle w:val="57"/>
              <w:spacing w:beforeLines="0" w:afterLines="0" w:line="360" w:lineRule="auto"/>
              <w:ind w:firstLine="480"/>
              <w:jc w:val="left"/>
              <w:outlineLvl w:val="9"/>
              <w:rPr>
                <w:rFonts w:hint="eastAsia" w:ascii="宋体" w:hAnsi="宋体" w:eastAsia="宋体" w:cs="宋体"/>
                <w:sz w:val="24"/>
                <w:szCs w:val="24"/>
              </w:rPr>
            </w:pPr>
          </w:p>
        </w:tc>
        <w:tc>
          <w:tcPr>
            <w:tcW w:w="706" w:type="pct"/>
          </w:tcPr>
          <w:p w14:paraId="22A7D6F4">
            <w:pPr>
              <w:pStyle w:val="57"/>
              <w:spacing w:beforeLines="0" w:afterLines="0" w:line="360" w:lineRule="auto"/>
              <w:ind w:firstLine="480"/>
              <w:jc w:val="left"/>
              <w:outlineLvl w:val="9"/>
              <w:rPr>
                <w:rFonts w:hint="eastAsia" w:ascii="宋体" w:hAnsi="宋体" w:eastAsia="宋体" w:cs="宋体"/>
                <w:sz w:val="24"/>
                <w:szCs w:val="24"/>
              </w:rPr>
            </w:pPr>
          </w:p>
        </w:tc>
        <w:tc>
          <w:tcPr>
            <w:tcW w:w="666" w:type="pct"/>
          </w:tcPr>
          <w:p w14:paraId="581E4E0A">
            <w:pPr>
              <w:pStyle w:val="57"/>
              <w:spacing w:beforeLines="0" w:afterLines="0" w:line="360" w:lineRule="auto"/>
              <w:ind w:firstLine="480"/>
              <w:jc w:val="left"/>
              <w:outlineLvl w:val="9"/>
              <w:rPr>
                <w:rFonts w:hint="eastAsia" w:ascii="宋体" w:hAnsi="宋体" w:eastAsia="宋体" w:cs="宋体"/>
                <w:sz w:val="24"/>
                <w:szCs w:val="24"/>
              </w:rPr>
            </w:pPr>
          </w:p>
        </w:tc>
        <w:tc>
          <w:tcPr>
            <w:tcW w:w="770" w:type="pct"/>
          </w:tcPr>
          <w:p w14:paraId="31F77BEA">
            <w:pPr>
              <w:pStyle w:val="57"/>
              <w:spacing w:beforeLines="0" w:afterLines="0" w:line="360" w:lineRule="auto"/>
              <w:ind w:firstLine="480"/>
              <w:jc w:val="left"/>
              <w:outlineLvl w:val="9"/>
              <w:rPr>
                <w:rFonts w:hint="eastAsia" w:ascii="宋体" w:hAnsi="宋体" w:eastAsia="宋体" w:cs="宋体"/>
                <w:sz w:val="24"/>
                <w:szCs w:val="24"/>
              </w:rPr>
            </w:pPr>
          </w:p>
        </w:tc>
        <w:tc>
          <w:tcPr>
            <w:tcW w:w="773" w:type="pct"/>
          </w:tcPr>
          <w:p w14:paraId="3E536933">
            <w:pPr>
              <w:pStyle w:val="57"/>
              <w:spacing w:beforeLines="0" w:afterLines="0" w:line="360" w:lineRule="auto"/>
              <w:ind w:firstLine="480"/>
              <w:jc w:val="left"/>
              <w:outlineLvl w:val="9"/>
              <w:rPr>
                <w:rFonts w:hint="eastAsia" w:ascii="宋体" w:hAnsi="宋体" w:eastAsia="宋体" w:cs="宋体"/>
                <w:sz w:val="24"/>
                <w:szCs w:val="24"/>
              </w:rPr>
            </w:pPr>
          </w:p>
        </w:tc>
        <w:tc>
          <w:tcPr>
            <w:tcW w:w="644" w:type="pct"/>
          </w:tcPr>
          <w:p w14:paraId="0E89FDC4">
            <w:pPr>
              <w:pStyle w:val="57"/>
              <w:spacing w:beforeLines="0" w:afterLines="0" w:line="360" w:lineRule="auto"/>
              <w:ind w:firstLine="480"/>
              <w:jc w:val="left"/>
              <w:outlineLvl w:val="9"/>
              <w:rPr>
                <w:rFonts w:hint="eastAsia" w:ascii="宋体" w:hAnsi="宋体" w:eastAsia="宋体" w:cs="宋体"/>
                <w:sz w:val="24"/>
                <w:szCs w:val="24"/>
              </w:rPr>
            </w:pPr>
          </w:p>
        </w:tc>
        <w:tc>
          <w:tcPr>
            <w:tcW w:w="493" w:type="pct"/>
          </w:tcPr>
          <w:p w14:paraId="18247E85">
            <w:pPr>
              <w:pStyle w:val="57"/>
              <w:spacing w:beforeLines="0" w:afterLines="0" w:line="360" w:lineRule="auto"/>
              <w:ind w:firstLine="480"/>
              <w:jc w:val="left"/>
              <w:outlineLvl w:val="9"/>
              <w:rPr>
                <w:rFonts w:hint="eastAsia" w:ascii="宋体" w:hAnsi="宋体" w:eastAsia="宋体" w:cs="宋体"/>
                <w:sz w:val="24"/>
                <w:szCs w:val="24"/>
              </w:rPr>
            </w:pPr>
          </w:p>
        </w:tc>
      </w:tr>
      <w:tr w14:paraId="2E09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Pr>
          <w:p w14:paraId="7A1D8FB5">
            <w:pPr>
              <w:pStyle w:val="57"/>
              <w:spacing w:beforeLines="0" w:afterLines="0" w:line="360" w:lineRule="auto"/>
              <w:ind w:firstLine="480"/>
              <w:jc w:val="left"/>
              <w:outlineLvl w:val="9"/>
              <w:rPr>
                <w:rFonts w:hint="eastAsia" w:ascii="宋体" w:hAnsi="宋体" w:eastAsia="宋体" w:cs="宋体"/>
                <w:sz w:val="24"/>
                <w:szCs w:val="24"/>
              </w:rPr>
            </w:pPr>
          </w:p>
        </w:tc>
        <w:tc>
          <w:tcPr>
            <w:tcW w:w="594" w:type="pct"/>
          </w:tcPr>
          <w:p w14:paraId="4D381F45">
            <w:pPr>
              <w:pStyle w:val="57"/>
              <w:spacing w:beforeLines="0" w:afterLines="0" w:line="360" w:lineRule="auto"/>
              <w:ind w:firstLine="480"/>
              <w:jc w:val="left"/>
              <w:outlineLvl w:val="9"/>
              <w:rPr>
                <w:rFonts w:hint="eastAsia" w:ascii="宋体" w:hAnsi="宋体" w:eastAsia="宋体" w:cs="宋体"/>
                <w:sz w:val="24"/>
                <w:szCs w:val="24"/>
              </w:rPr>
            </w:pPr>
          </w:p>
        </w:tc>
        <w:tc>
          <w:tcPr>
            <w:tcW w:w="706" w:type="pct"/>
          </w:tcPr>
          <w:p w14:paraId="015378A4">
            <w:pPr>
              <w:pStyle w:val="57"/>
              <w:spacing w:beforeLines="0" w:afterLines="0" w:line="360" w:lineRule="auto"/>
              <w:ind w:firstLine="480"/>
              <w:jc w:val="left"/>
              <w:outlineLvl w:val="9"/>
              <w:rPr>
                <w:rFonts w:hint="eastAsia" w:ascii="宋体" w:hAnsi="宋体" w:eastAsia="宋体" w:cs="宋体"/>
                <w:sz w:val="24"/>
                <w:szCs w:val="24"/>
              </w:rPr>
            </w:pPr>
          </w:p>
        </w:tc>
        <w:tc>
          <w:tcPr>
            <w:tcW w:w="666" w:type="pct"/>
          </w:tcPr>
          <w:p w14:paraId="40BEFD2E">
            <w:pPr>
              <w:pStyle w:val="57"/>
              <w:spacing w:beforeLines="0" w:afterLines="0" w:line="360" w:lineRule="auto"/>
              <w:ind w:firstLine="480"/>
              <w:jc w:val="left"/>
              <w:outlineLvl w:val="9"/>
              <w:rPr>
                <w:rFonts w:hint="eastAsia" w:ascii="宋体" w:hAnsi="宋体" w:eastAsia="宋体" w:cs="宋体"/>
                <w:sz w:val="24"/>
                <w:szCs w:val="24"/>
              </w:rPr>
            </w:pPr>
          </w:p>
        </w:tc>
        <w:tc>
          <w:tcPr>
            <w:tcW w:w="770" w:type="pct"/>
          </w:tcPr>
          <w:p w14:paraId="469AC4B1">
            <w:pPr>
              <w:pStyle w:val="57"/>
              <w:spacing w:beforeLines="0" w:afterLines="0" w:line="360" w:lineRule="auto"/>
              <w:ind w:firstLine="480"/>
              <w:jc w:val="left"/>
              <w:outlineLvl w:val="9"/>
              <w:rPr>
                <w:rFonts w:hint="eastAsia" w:ascii="宋体" w:hAnsi="宋体" w:eastAsia="宋体" w:cs="宋体"/>
                <w:sz w:val="24"/>
                <w:szCs w:val="24"/>
              </w:rPr>
            </w:pPr>
          </w:p>
        </w:tc>
        <w:tc>
          <w:tcPr>
            <w:tcW w:w="773" w:type="pct"/>
          </w:tcPr>
          <w:p w14:paraId="6DB13C03">
            <w:pPr>
              <w:pStyle w:val="57"/>
              <w:spacing w:beforeLines="0" w:afterLines="0" w:line="360" w:lineRule="auto"/>
              <w:ind w:firstLine="480"/>
              <w:jc w:val="left"/>
              <w:outlineLvl w:val="9"/>
              <w:rPr>
                <w:rFonts w:hint="eastAsia" w:ascii="宋体" w:hAnsi="宋体" w:eastAsia="宋体" w:cs="宋体"/>
                <w:sz w:val="24"/>
                <w:szCs w:val="24"/>
              </w:rPr>
            </w:pPr>
          </w:p>
        </w:tc>
        <w:tc>
          <w:tcPr>
            <w:tcW w:w="644" w:type="pct"/>
          </w:tcPr>
          <w:p w14:paraId="23824CC1">
            <w:pPr>
              <w:pStyle w:val="57"/>
              <w:spacing w:beforeLines="0" w:afterLines="0" w:line="360" w:lineRule="auto"/>
              <w:ind w:firstLine="480"/>
              <w:jc w:val="left"/>
              <w:outlineLvl w:val="9"/>
              <w:rPr>
                <w:rFonts w:hint="eastAsia" w:ascii="宋体" w:hAnsi="宋体" w:eastAsia="宋体" w:cs="宋体"/>
                <w:sz w:val="24"/>
                <w:szCs w:val="24"/>
              </w:rPr>
            </w:pPr>
          </w:p>
        </w:tc>
        <w:tc>
          <w:tcPr>
            <w:tcW w:w="493" w:type="pct"/>
          </w:tcPr>
          <w:p w14:paraId="45FFD57F">
            <w:pPr>
              <w:pStyle w:val="57"/>
              <w:spacing w:beforeLines="0" w:afterLines="0" w:line="360" w:lineRule="auto"/>
              <w:ind w:firstLine="480"/>
              <w:jc w:val="left"/>
              <w:outlineLvl w:val="9"/>
              <w:rPr>
                <w:rFonts w:hint="eastAsia" w:ascii="宋体" w:hAnsi="宋体" w:eastAsia="宋体" w:cs="宋体"/>
                <w:sz w:val="24"/>
                <w:szCs w:val="24"/>
              </w:rPr>
            </w:pPr>
          </w:p>
        </w:tc>
      </w:tr>
      <w:tr w14:paraId="60FA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Pr>
          <w:p w14:paraId="0214A317">
            <w:pPr>
              <w:pStyle w:val="57"/>
              <w:spacing w:beforeLines="0" w:afterLines="0" w:line="360" w:lineRule="auto"/>
              <w:ind w:firstLine="480"/>
              <w:jc w:val="left"/>
              <w:outlineLvl w:val="9"/>
              <w:rPr>
                <w:rFonts w:hint="eastAsia" w:ascii="宋体" w:hAnsi="宋体" w:eastAsia="宋体" w:cs="宋体"/>
                <w:sz w:val="24"/>
                <w:szCs w:val="24"/>
              </w:rPr>
            </w:pPr>
          </w:p>
        </w:tc>
        <w:tc>
          <w:tcPr>
            <w:tcW w:w="594" w:type="pct"/>
          </w:tcPr>
          <w:p w14:paraId="3B0A8F81">
            <w:pPr>
              <w:pStyle w:val="57"/>
              <w:spacing w:beforeLines="0" w:afterLines="0" w:line="360" w:lineRule="auto"/>
              <w:ind w:firstLine="480"/>
              <w:jc w:val="left"/>
              <w:outlineLvl w:val="9"/>
              <w:rPr>
                <w:rFonts w:hint="eastAsia" w:ascii="宋体" w:hAnsi="宋体" w:eastAsia="宋体" w:cs="宋体"/>
                <w:sz w:val="24"/>
                <w:szCs w:val="24"/>
              </w:rPr>
            </w:pPr>
          </w:p>
        </w:tc>
        <w:tc>
          <w:tcPr>
            <w:tcW w:w="706" w:type="pct"/>
          </w:tcPr>
          <w:p w14:paraId="2344EB2C">
            <w:pPr>
              <w:pStyle w:val="57"/>
              <w:spacing w:beforeLines="0" w:afterLines="0" w:line="360" w:lineRule="auto"/>
              <w:ind w:firstLine="480"/>
              <w:jc w:val="left"/>
              <w:outlineLvl w:val="9"/>
              <w:rPr>
                <w:rFonts w:hint="eastAsia" w:ascii="宋体" w:hAnsi="宋体" w:eastAsia="宋体" w:cs="宋体"/>
                <w:sz w:val="24"/>
                <w:szCs w:val="24"/>
              </w:rPr>
            </w:pPr>
          </w:p>
        </w:tc>
        <w:tc>
          <w:tcPr>
            <w:tcW w:w="666" w:type="pct"/>
          </w:tcPr>
          <w:p w14:paraId="5C339C4D">
            <w:pPr>
              <w:pStyle w:val="57"/>
              <w:spacing w:beforeLines="0" w:afterLines="0" w:line="360" w:lineRule="auto"/>
              <w:ind w:firstLine="480"/>
              <w:jc w:val="left"/>
              <w:outlineLvl w:val="9"/>
              <w:rPr>
                <w:rFonts w:hint="eastAsia" w:ascii="宋体" w:hAnsi="宋体" w:eastAsia="宋体" w:cs="宋体"/>
                <w:sz w:val="24"/>
                <w:szCs w:val="24"/>
              </w:rPr>
            </w:pPr>
          </w:p>
        </w:tc>
        <w:tc>
          <w:tcPr>
            <w:tcW w:w="770" w:type="pct"/>
          </w:tcPr>
          <w:p w14:paraId="466CC4A9">
            <w:pPr>
              <w:pStyle w:val="57"/>
              <w:spacing w:beforeLines="0" w:afterLines="0" w:line="360" w:lineRule="auto"/>
              <w:ind w:firstLine="480"/>
              <w:jc w:val="left"/>
              <w:outlineLvl w:val="9"/>
              <w:rPr>
                <w:rFonts w:hint="eastAsia" w:ascii="宋体" w:hAnsi="宋体" w:eastAsia="宋体" w:cs="宋体"/>
                <w:sz w:val="24"/>
                <w:szCs w:val="24"/>
              </w:rPr>
            </w:pPr>
          </w:p>
        </w:tc>
        <w:tc>
          <w:tcPr>
            <w:tcW w:w="773" w:type="pct"/>
          </w:tcPr>
          <w:p w14:paraId="7E160788">
            <w:pPr>
              <w:pStyle w:val="57"/>
              <w:spacing w:beforeLines="0" w:afterLines="0" w:line="360" w:lineRule="auto"/>
              <w:ind w:firstLine="480"/>
              <w:jc w:val="left"/>
              <w:outlineLvl w:val="9"/>
              <w:rPr>
                <w:rFonts w:hint="eastAsia" w:ascii="宋体" w:hAnsi="宋体" w:eastAsia="宋体" w:cs="宋体"/>
                <w:sz w:val="24"/>
                <w:szCs w:val="24"/>
              </w:rPr>
            </w:pPr>
          </w:p>
        </w:tc>
        <w:tc>
          <w:tcPr>
            <w:tcW w:w="644" w:type="pct"/>
          </w:tcPr>
          <w:p w14:paraId="5AC98E6E">
            <w:pPr>
              <w:pStyle w:val="57"/>
              <w:spacing w:beforeLines="0" w:afterLines="0" w:line="360" w:lineRule="auto"/>
              <w:ind w:firstLine="480"/>
              <w:jc w:val="left"/>
              <w:outlineLvl w:val="9"/>
              <w:rPr>
                <w:rFonts w:hint="eastAsia" w:ascii="宋体" w:hAnsi="宋体" w:eastAsia="宋体" w:cs="宋体"/>
                <w:sz w:val="24"/>
                <w:szCs w:val="24"/>
              </w:rPr>
            </w:pPr>
          </w:p>
        </w:tc>
        <w:tc>
          <w:tcPr>
            <w:tcW w:w="493" w:type="pct"/>
          </w:tcPr>
          <w:p w14:paraId="7C1DA002">
            <w:pPr>
              <w:pStyle w:val="57"/>
              <w:spacing w:beforeLines="0" w:afterLines="0" w:line="360" w:lineRule="auto"/>
              <w:ind w:firstLine="480"/>
              <w:jc w:val="left"/>
              <w:outlineLvl w:val="9"/>
              <w:rPr>
                <w:rFonts w:hint="eastAsia" w:ascii="宋体" w:hAnsi="宋体" w:eastAsia="宋体" w:cs="宋体"/>
                <w:sz w:val="24"/>
                <w:szCs w:val="24"/>
              </w:rPr>
            </w:pPr>
          </w:p>
        </w:tc>
      </w:tr>
    </w:tbl>
    <w:p w14:paraId="2C7FA33C">
      <w:pPr>
        <w:snapToGrid w:val="0"/>
        <w:spacing w:beforeLines="0" w:afterLines="0"/>
        <w:ind w:firstLine="204" w:firstLineChars="85"/>
        <w:outlineLvl w:val="9"/>
        <w:rPr>
          <w:rFonts w:hint="eastAsia" w:ascii="宋体" w:hAnsi="宋体" w:eastAsia="宋体" w:cs="宋体"/>
          <w:sz w:val="24"/>
          <w:szCs w:val="24"/>
        </w:rPr>
      </w:pPr>
    </w:p>
    <w:p w14:paraId="5505CFC0">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供应商全称（加盖公章）：</w:t>
      </w:r>
    </w:p>
    <w:p w14:paraId="52236C4C">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16D3EEAB">
      <w:pPr>
        <w:snapToGrid w:val="0"/>
        <w:spacing w:beforeLines="0" w:afterLines="0"/>
        <w:ind w:firstLine="204" w:firstLineChars="85"/>
        <w:jc w:val="left"/>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0AC901E2">
      <w:pPr>
        <w:spacing w:beforeLines="0" w:afterLines="0"/>
        <w:jc w:val="left"/>
        <w:outlineLvl w:val="9"/>
        <w:rPr>
          <w:rFonts w:hint="eastAsia" w:ascii="宋体" w:hAnsi="宋体" w:eastAsia="宋体" w:cs="宋体"/>
          <w:bCs/>
          <w:sz w:val="24"/>
        </w:rPr>
      </w:pPr>
    </w:p>
    <w:p w14:paraId="3D7F3892">
      <w:pPr>
        <w:pStyle w:val="24"/>
        <w:spacing w:beforeLines="0" w:afterLines="0"/>
        <w:outlineLvl w:val="9"/>
        <w:rPr>
          <w:rFonts w:hint="eastAsia" w:ascii="宋体" w:hAnsi="宋体" w:eastAsia="宋体" w:cs="宋体"/>
          <w:bCs/>
          <w:sz w:val="24"/>
          <w:szCs w:val="24"/>
        </w:rPr>
      </w:pPr>
    </w:p>
    <w:p w14:paraId="7BA06006">
      <w:pPr>
        <w:pStyle w:val="24"/>
        <w:spacing w:beforeLines="0" w:afterLines="0"/>
        <w:outlineLvl w:val="9"/>
        <w:rPr>
          <w:rFonts w:hint="eastAsia" w:ascii="宋体" w:hAnsi="宋体" w:eastAsia="宋体" w:cs="宋体"/>
          <w:bCs/>
          <w:sz w:val="24"/>
          <w:szCs w:val="24"/>
        </w:rPr>
      </w:pPr>
    </w:p>
    <w:p w14:paraId="1FB26F04">
      <w:pPr>
        <w:pStyle w:val="24"/>
        <w:spacing w:beforeLines="0" w:afterLines="0"/>
        <w:ind w:firstLine="0"/>
        <w:outlineLvl w:val="9"/>
        <w:rPr>
          <w:rFonts w:hint="eastAsia" w:ascii="宋体" w:hAnsi="宋体" w:eastAsia="宋体" w:cs="宋体"/>
          <w:b/>
          <w:sz w:val="24"/>
          <w:szCs w:val="24"/>
        </w:rPr>
      </w:pPr>
    </w:p>
    <w:p w14:paraId="155F9ECE">
      <w:pPr>
        <w:pStyle w:val="24"/>
        <w:spacing w:beforeLines="0" w:afterLines="0"/>
        <w:ind w:firstLine="0"/>
        <w:outlineLvl w:val="9"/>
        <w:rPr>
          <w:rFonts w:hint="eastAsia" w:ascii="宋体" w:hAnsi="宋体" w:eastAsia="宋体" w:cs="宋体"/>
          <w:b/>
          <w:sz w:val="24"/>
          <w:szCs w:val="24"/>
        </w:rPr>
        <w:sectPr>
          <w:pgSz w:w="11906" w:h="16838"/>
          <w:pgMar w:top="1440" w:right="1800" w:bottom="1440" w:left="1800" w:header="851" w:footer="992" w:gutter="0"/>
          <w:cols w:space="425" w:num="1"/>
          <w:docGrid w:type="lines" w:linePitch="312" w:charSpace="0"/>
        </w:sectPr>
      </w:pPr>
    </w:p>
    <w:p w14:paraId="0BC8CC52">
      <w:pPr>
        <w:pStyle w:val="24"/>
        <w:spacing w:beforeLines="0" w:afterLines="0"/>
        <w:ind w:firstLine="0"/>
        <w:outlineLvl w:val="9"/>
        <w:rPr>
          <w:rFonts w:hint="eastAsia" w:ascii="宋体" w:hAnsi="宋体" w:eastAsia="宋体" w:cs="宋体"/>
          <w:b/>
          <w:sz w:val="24"/>
          <w:szCs w:val="24"/>
        </w:rPr>
      </w:pPr>
      <w:r>
        <w:rPr>
          <w:rFonts w:hint="eastAsia" w:ascii="宋体" w:hAnsi="宋体" w:eastAsia="宋体" w:cs="宋体"/>
          <w:b/>
          <w:sz w:val="24"/>
          <w:szCs w:val="24"/>
        </w:rPr>
        <w:t>格式11</w:t>
      </w:r>
    </w:p>
    <w:p w14:paraId="7A18C4FA">
      <w:pPr>
        <w:spacing w:beforeLines="0" w:afterLines="0"/>
        <w:jc w:val="center"/>
        <w:outlineLvl w:val="9"/>
        <w:rPr>
          <w:rFonts w:hint="eastAsia" w:ascii="宋体" w:hAnsi="宋体" w:eastAsia="宋体" w:cs="宋体"/>
          <w:b/>
          <w:bCs/>
          <w:sz w:val="30"/>
          <w:szCs w:val="30"/>
        </w:rPr>
      </w:pPr>
      <w:r>
        <w:rPr>
          <w:rFonts w:hint="eastAsia" w:ascii="宋体" w:hAnsi="宋体" w:eastAsia="宋体" w:cs="宋体"/>
          <w:b/>
          <w:bCs/>
          <w:sz w:val="30"/>
          <w:szCs w:val="30"/>
          <w:lang w:val="zh-CN"/>
        </w:rPr>
        <w:t>增值服务</w:t>
      </w:r>
      <w:r>
        <w:rPr>
          <w:rFonts w:hint="eastAsia" w:ascii="宋体" w:hAnsi="宋体" w:eastAsia="宋体" w:cs="宋体"/>
          <w:b/>
          <w:bCs/>
          <w:sz w:val="30"/>
          <w:szCs w:val="30"/>
        </w:rPr>
        <w:t>承诺（标段一、标段二）</w:t>
      </w:r>
    </w:p>
    <w:p w14:paraId="3A01CDF1">
      <w:pPr>
        <w:snapToGrid w:val="0"/>
        <w:spacing w:beforeLines="0" w:afterLines="0"/>
        <w:outlineLvl w:val="9"/>
        <w:rPr>
          <w:rFonts w:hint="eastAsia" w:ascii="宋体" w:hAnsi="宋体" w:eastAsia="宋体" w:cs="宋体"/>
          <w:color w:val="000000" w:themeColor="text1"/>
          <w:sz w:val="24"/>
          <w:szCs w:val="24"/>
          <w14:textFill>
            <w14:solidFill>
              <w14:schemeClr w14:val="tx1"/>
            </w14:solidFill>
          </w14:textFill>
        </w:rPr>
      </w:pPr>
    </w:p>
    <w:p w14:paraId="056314FB">
      <w:pPr>
        <w:snapToGrid w:val="0"/>
        <w:spacing w:beforeLines="0" w:afterLine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本公司郑重承诺： </w:t>
      </w:r>
    </w:p>
    <w:p w14:paraId="1B0952E1">
      <w:pPr>
        <w:snapToGrid w:val="0"/>
        <w:spacing w:beforeLines="0" w:afterLines="0"/>
        <w:outlineLvl w:val="9"/>
        <w:rPr>
          <w:rFonts w:hint="eastAsia" w:ascii="宋体" w:hAnsi="宋体" w:eastAsia="宋体" w:cs="宋体"/>
          <w:sz w:val="24"/>
          <w:szCs w:val="24"/>
        </w:rPr>
      </w:pPr>
      <w:r>
        <w:rPr>
          <w:rFonts w:hint="eastAsia" w:ascii="宋体" w:hAnsi="宋体" w:eastAsia="宋体" w:cs="宋体"/>
          <w:sz w:val="24"/>
          <w:szCs w:val="24"/>
        </w:rPr>
        <w:t>（1）设备质保期满后，提供在产品全生命周期内维保服务及原厂易损零配件供应，承诺零配件价格不高于市场价</w:t>
      </w:r>
      <w:r>
        <w:rPr>
          <w:rFonts w:hint="eastAsia" w:hAnsi="宋体" w:eastAsia="宋体" w:cs="宋体"/>
          <w:sz w:val="24"/>
          <w:szCs w:val="24"/>
          <w:lang w:val="en-US" w:eastAsia="zh-CN"/>
        </w:rPr>
        <w:t>的</w:t>
      </w:r>
      <w:r>
        <w:rPr>
          <w:rFonts w:hint="eastAsia" w:ascii="宋体" w:hAnsi="宋体" w:eastAsia="宋体" w:cs="宋体"/>
          <w:sz w:val="24"/>
          <w:szCs w:val="24"/>
          <w:u w:val="single"/>
        </w:rPr>
        <w:t xml:space="preserve">   </w:t>
      </w:r>
      <w:r>
        <w:rPr>
          <w:rFonts w:hint="eastAsia" w:hAnsi="宋体" w:eastAsia="宋体" w:cs="宋体"/>
          <w:sz w:val="24"/>
          <w:szCs w:val="24"/>
          <w:u w:val="none"/>
          <w:lang w:val="en-US" w:eastAsia="zh-CN"/>
        </w:rPr>
        <w:t>%</w:t>
      </w:r>
      <w:r>
        <w:rPr>
          <w:rFonts w:hint="eastAsia" w:ascii="宋体" w:hAnsi="宋体" w:eastAsia="宋体" w:cs="宋体"/>
          <w:sz w:val="24"/>
          <w:szCs w:val="24"/>
        </w:rPr>
        <w:t>。（附清单，清单见格式12）</w:t>
      </w:r>
    </w:p>
    <w:p w14:paraId="3B021C22">
      <w:pPr>
        <w:autoSpaceDE w:val="0"/>
        <w:autoSpaceDN w:val="0"/>
        <w:snapToGrid w:val="0"/>
        <w:spacing w:beforeLines="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设备</w:t>
      </w:r>
      <w:r>
        <w:rPr>
          <w:rFonts w:hint="eastAsia" w:hAnsi="宋体" w:eastAsia="宋体" w:cs="宋体"/>
          <w:color w:val="auto"/>
          <w:sz w:val="24"/>
          <w:szCs w:val="24"/>
          <w:lang w:val="en-US" w:eastAsia="zh-CN"/>
        </w:rPr>
        <w:t>整机</w:t>
      </w:r>
      <w:r>
        <w:rPr>
          <w:rFonts w:hint="eastAsia" w:ascii="宋体" w:hAnsi="宋体" w:eastAsia="宋体" w:cs="宋体"/>
          <w:color w:val="auto"/>
          <w:sz w:val="24"/>
          <w:szCs w:val="24"/>
        </w:rPr>
        <w:t>2年</w:t>
      </w:r>
      <w:r>
        <w:rPr>
          <w:rFonts w:hint="eastAsia" w:hAnsi="宋体" w:eastAsia="宋体" w:cs="宋体"/>
          <w:color w:val="auto"/>
          <w:sz w:val="24"/>
          <w:szCs w:val="24"/>
          <w:lang w:val="en-US" w:eastAsia="zh-CN"/>
        </w:rPr>
        <w:t>免费</w:t>
      </w:r>
      <w:r>
        <w:rPr>
          <w:rFonts w:hint="eastAsia" w:ascii="宋体" w:hAnsi="宋体" w:eastAsia="宋体" w:cs="宋体"/>
          <w:color w:val="auto"/>
          <w:sz w:val="24"/>
          <w:szCs w:val="24"/>
        </w:rPr>
        <w:t>质保期</w:t>
      </w:r>
      <w:r>
        <w:rPr>
          <w:rFonts w:hint="eastAsia" w:ascii="宋体" w:hAnsi="宋体" w:eastAsia="宋体" w:cs="宋体"/>
          <w:sz w:val="24"/>
          <w:szCs w:val="24"/>
        </w:rPr>
        <w:t>基础上，再延长</w:t>
      </w:r>
      <w:r>
        <w:rPr>
          <w:rFonts w:hint="eastAsia" w:ascii="宋体" w:hAnsi="宋体" w:eastAsia="宋体" w:cs="宋体"/>
          <w:sz w:val="24"/>
          <w:szCs w:val="24"/>
          <w:u w:val="single"/>
        </w:rPr>
        <w:t xml:space="preserve">   </w:t>
      </w:r>
      <w:r>
        <w:rPr>
          <w:rFonts w:hint="eastAsia" w:ascii="宋体" w:hAnsi="宋体" w:eastAsia="宋体" w:cs="宋体"/>
          <w:sz w:val="24"/>
          <w:szCs w:val="24"/>
        </w:rPr>
        <w:t>年质保期。</w:t>
      </w:r>
    </w:p>
    <w:p w14:paraId="6F90C940">
      <w:pPr>
        <w:autoSpaceDE w:val="0"/>
        <w:autoSpaceDN w:val="0"/>
        <w:snapToGrid w:val="0"/>
        <w:spacing w:beforeLines="0" w:afterLines="0" w:line="360" w:lineRule="auto"/>
        <w:outlineLvl w:val="9"/>
        <w:rPr>
          <w:rFonts w:hint="eastAsia" w:ascii="宋体" w:hAnsi="宋体" w:eastAsia="宋体" w:cs="宋体"/>
          <w:sz w:val="24"/>
          <w:szCs w:val="24"/>
        </w:rPr>
      </w:pPr>
      <w:r>
        <w:rPr>
          <w:rFonts w:hint="eastAsia" w:ascii="宋体" w:hAnsi="宋体" w:eastAsia="宋体" w:cs="宋体"/>
          <w:sz w:val="24"/>
          <w:szCs w:val="24"/>
        </w:rPr>
        <w:t>（3）能全品类供应所</w:t>
      </w:r>
      <w:r>
        <w:rPr>
          <w:rFonts w:hint="eastAsia" w:hAnsi="宋体" w:eastAsia="宋体" w:cs="宋体"/>
          <w:sz w:val="24"/>
          <w:szCs w:val="24"/>
          <w:lang w:val="en-US" w:eastAsia="zh-CN"/>
        </w:rPr>
        <w:t>响应</w:t>
      </w:r>
      <w:r>
        <w:rPr>
          <w:rFonts w:hint="eastAsia" w:ascii="宋体" w:hAnsi="宋体" w:eastAsia="宋体" w:cs="宋体"/>
          <w:sz w:val="24"/>
          <w:szCs w:val="24"/>
        </w:rPr>
        <w:t>标段</w:t>
      </w:r>
      <w:r>
        <w:rPr>
          <w:rFonts w:hint="eastAsia" w:hAnsi="宋体" w:eastAsia="宋体" w:cs="宋体"/>
          <w:sz w:val="24"/>
          <w:szCs w:val="24"/>
          <w:lang w:val="en-US" w:eastAsia="zh-CN"/>
        </w:rPr>
        <w:t>全品类</w:t>
      </w:r>
      <w:r>
        <w:rPr>
          <w:rFonts w:hint="eastAsia" w:ascii="宋体" w:hAnsi="宋体" w:eastAsia="宋体" w:cs="宋体"/>
          <w:sz w:val="24"/>
          <w:szCs w:val="24"/>
        </w:rPr>
        <w:t>设备。</w:t>
      </w:r>
    </w:p>
    <w:p w14:paraId="42A8133C">
      <w:pPr>
        <w:spacing w:beforeLines="0" w:afterLines="0"/>
        <w:jc w:val="left"/>
        <w:outlineLvl w:val="9"/>
        <w:rPr>
          <w:rFonts w:hint="eastAsia" w:ascii="宋体" w:hAnsi="宋体" w:eastAsia="宋体" w:cs="宋体"/>
          <w:bCs/>
          <w:sz w:val="24"/>
        </w:rPr>
      </w:pPr>
    </w:p>
    <w:p w14:paraId="1C05BD24">
      <w:pPr>
        <w:snapToGrid w:val="0"/>
        <w:spacing w:beforeLines="0" w:afterLines="0"/>
        <w:ind w:firstLine="204" w:firstLineChars="85"/>
        <w:outlineLvl w:val="9"/>
        <w:rPr>
          <w:rFonts w:hint="eastAsia" w:ascii="宋体" w:hAnsi="宋体" w:eastAsia="宋体" w:cs="宋体"/>
          <w:sz w:val="24"/>
          <w:szCs w:val="24"/>
        </w:rPr>
      </w:pPr>
    </w:p>
    <w:p w14:paraId="4D0FD278">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供应商全称（加盖公章）：</w:t>
      </w:r>
    </w:p>
    <w:p w14:paraId="3AD6CED2">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3F6C0A78">
      <w:pPr>
        <w:snapToGrid w:val="0"/>
        <w:spacing w:beforeLines="0" w:afterLines="0"/>
        <w:ind w:firstLine="204" w:firstLineChars="85"/>
        <w:jc w:val="left"/>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14B1DB6C">
      <w:pPr>
        <w:spacing w:beforeLines="0" w:afterLines="0"/>
        <w:jc w:val="left"/>
        <w:outlineLvl w:val="9"/>
        <w:rPr>
          <w:rFonts w:hint="eastAsia" w:ascii="宋体" w:hAnsi="宋体" w:eastAsia="宋体" w:cs="宋体"/>
          <w:bCs/>
          <w:sz w:val="24"/>
          <w:highlight w:val="red"/>
        </w:rPr>
      </w:pPr>
      <w:r>
        <w:rPr>
          <w:rFonts w:hint="eastAsia" w:ascii="宋体" w:hAnsi="宋体" w:eastAsia="宋体" w:cs="宋体"/>
          <w:bCs/>
          <w:sz w:val="24"/>
        </w:rPr>
        <w:t>（供应商根据自身情况，酌情承诺以上部分或全部条款；其中如承诺上述第（1）条的需附相应易损零配件报价清单。）</w:t>
      </w:r>
    </w:p>
    <w:p w14:paraId="65AFE6BA">
      <w:pPr>
        <w:pStyle w:val="57"/>
        <w:spacing w:beforeLines="0" w:afterLines="0" w:line="360" w:lineRule="auto"/>
        <w:ind w:firstLine="480"/>
        <w:outlineLvl w:val="9"/>
        <w:rPr>
          <w:rFonts w:hint="eastAsia" w:ascii="宋体" w:hAnsi="宋体" w:eastAsia="宋体" w:cs="宋体"/>
          <w:sz w:val="24"/>
          <w:szCs w:val="24"/>
        </w:rPr>
      </w:pPr>
    </w:p>
    <w:p w14:paraId="07A447F9">
      <w:pPr>
        <w:widowControl/>
        <w:spacing w:beforeLines="0" w:afterLines="0" w:line="360" w:lineRule="auto"/>
        <w:jc w:val="left"/>
        <w:outlineLvl w:val="9"/>
        <w:rPr>
          <w:rFonts w:hint="eastAsia" w:ascii="宋体" w:hAnsi="宋体" w:eastAsia="宋体" w:cs="宋体"/>
          <w:sz w:val="24"/>
          <w:szCs w:val="24"/>
        </w:rPr>
      </w:pPr>
    </w:p>
    <w:p w14:paraId="2BCCDA20">
      <w:pPr>
        <w:widowControl/>
        <w:spacing w:beforeLines="0" w:afterLines="0" w:line="360" w:lineRule="auto"/>
        <w:jc w:val="left"/>
        <w:outlineLvl w:val="9"/>
        <w:rPr>
          <w:rFonts w:hint="eastAsia" w:ascii="宋体" w:hAnsi="宋体" w:eastAsia="宋体" w:cs="宋体"/>
          <w:sz w:val="24"/>
          <w:szCs w:val="24"/>
        </w:rPr>
      </w:pPr>
    </w:p>
    <w:p w14:paraId="4BE46577">
      <w:pPr>
        <w:widowControl/>
        <w:spacing w:beforeLines="0" w:afterLines="0" w:line="360" w:lineRule="auto"/>
        <w:jc w:val="left"/>
        <w:outlineLvl w:val="9"/>
        <w:rPr>
          <w:rFonts w:hint="eastAsia" w:ascii="宋体" w:hAnsi="宋体" w:eastAsia="宋体" w:cs="宋体"/>
          <w:sz w:val="24"/>
          <w:szCs w:val="24"/>
        </w:rPr>
      </w:pPr>
    </w:p>
    <w:p w14:paraId="78500758">
      <w:pPr>
        <w:spacing w:beforeLines="0" w:afterLines="0"/>
        <w:jc w:val="left"/>
        <w:outlineLvl w:val="9"/>
        <w:rPr>
          <w:rFonts w:hint="eastAsia" w:ascii="宋体" w:hAnsi="宋体" w:eastAsia="宋体" w:cs="宋体"/>
          <w:b/>
          <w:sz w:val="24"/>
        </w:rPr>
        <w:sectPr>
          <w:pgSz w:w="11906" w:h="16838"/>
          <w:pgMar w:top="1440" w:right="1800" w:bottom="1440" w:left="1800" w:header="851" w:footer="992" w:gutter="0"/>
          <w:cols w:space="425" w:num="1"/>
          <w:docGrid w:type="lines" w:linePitch="312" w:charSpace="0"/>
        </w:sectPr>
      </w:pPr>
    </w:p>
    <w:p w14:paraId="303785A1">
      <w:pPr>
        <w:spacing w:beforeLines="0" w:afterLines="0"/>
        <w:jc w:val="left"/>
        <w:outlineLvl w:val="9"/>
        <w:rPr>
          <w:rFonts w:hint="eastAsia" w:ascii="宋体" w:hAnsi="宋体" w:eastAsia="宋体" w:cs="宋体"/>
          <w:b/>
          <w:sz w:val="24"/>
        </w:rPr>
      </w:pPr>
      <w:r>
        <w:rPr>
          <w:rFonts w:hint="eastAsia" w:ascii="宋体" w:hAnsi="宋体" w:eastAsia="宋体" w:cs="宋体"/>
          <w:b/>
          <w:sz w:val="24"/>
        </w:rPr>
        <w:t>格式12</w:t>
      </w:r>
    </w:p>
    <w:tbl>
      <w:tblPr>
        <w:tblStyle w:val="16"/>
        <w:tblW w:w="8595" w:type="dxa"/>
        <w:tblInd w:w="93" w:type="dxa"/>
        <w:tblLayout w:type="fixed"/>
        <w:tblCellMar>
          <w:top w:w="0" w:type="dxa"/>
          <w:left w:w="108" w:type="dxa"/>
          <w:bottom w:w="0" w:type="dxa"/>
          <w:right w:w="108" w:type="dxa"/>
        </w:tblCellMar>
      </w:tblPr>
      <w:tblGrid>
        <w:gridCol w:w="739"/>
        <w:gridCol w:w="984"/>
        <w:gridCol w:w="1245"/>
        <w:gridCol w:w="1380"/>
        <w:gridCol w:w="1350"/>
        <w:gridCol w:w="897"/>
        <w:gridCol w:w="1000"/>
        <w:gridCol w:w="1000"/>
      </w:tblGrid>
      <w:tr w14:paraId="6422169F">
        <w:tblPrEx>
          <w:tblCellMar>
            <w:top w:w="0" w:type="dxa"/>
            <w:left w:w="108" w:type="dxa"/>
            <w:bottom w:w="0" w:type="dxa"/>
            <w:right w:w="108" w:type="dxa"/>
          </w:tblCellMar>
        </w:tblPrEx>
        <w:trPr>
          <w:trHeight w:val="480" w:hRule="atLeast"/>
        </w:trPr>
        <w:tc>
          <w:tcPr>
            <w:tcW w:w="8595" w:type="dxa"/>
            <w:gridSpan w:val="8"/>
            <w:tcBorders>
              <w:top w:val="nil"/>
              <w:left w:val="nil"/>
              <w:bottom w:val="nil"/>
              <w:right w:val="nil"/>
            </w:tcBorders>
            <w:shd w:val="clear" w:color="auto" w:fill="auto"/>
            <w:noWrap/>
            <w:vAlign w:val="center"/>
          </w:tcPr>
          <w:p w14:paraId="75A948B5">
            <w:pPr>
              <w:widowControl/>
              <w:spacing w:beforeLines="0" w:afterLines="0"/>
              <w:jc w:val="center"/>
              <w:textAlignment w:val="center"/>
              <w:outlineLvl w:val="9"/>
              <w:rPr>
                <w:rFonts w:hint="eastAsia" w:hAnsi="宋体" w:eastAsia="宋体" w:cs="宋体"/>
                <w:b/>
                <w:bCs/>
                <w:color w:val="000000"/>
                <w:szCs w:val="28"/>
              </w:rPr>
            </w:pPr>
            <w:r>
              <w:rPr>
                <w:rFonts w:hint="eastAsia" w:hAnsi="宋体" w:eastAsia="宋体" w:cs="宋体"/>
                <w:b/>
                <w:bCs/>
                <w:color w:val="000000"/>
                <w:szCs w:val="28"/>
                <w:lang w:bidi="ar"/>
              </w:rPr>
              <w:t>设备易损零配件清单</w:t>
            </w:r>
            <w:r>
              <w:rPr>
                <w:rFonts w:hint="eastAsia" w:hAnsi="宋体" w:eastAsia="宋体" w:cs="宋体"/>
                <w:b/>
                <w:bCs/>
                <w:color w:val="000000"/>
                <w:szCs w:val="28"/>
                <w:lang w:eastAsia="zh-CN" w:bidi="ar"/>
              </w:rPr>
              <w:t>（</w:t>
            </w:r>
            <w:r>
              <w:rPr>
                <w:rFonts w:hint="eastAsia" w:hAnsi="宋体" w:eastAsia="宋体" w:cs="宋体"/>
                <w:b/>
                <w:bCs/>
                <w:color w:val="000000"/>
                <w:szCs w:val="28"/>
                <w:lang w:bidi="ar"/>
              </w:rPr>
              <w:t>标段一、标段二</w:t>
            </w:r>
            <w:r>
              <w:rPr>
                <w:rFonts w:hint="eastAsia" w:hAnsi="宋体" w:eastAsia="宋体" w:cs="宋体"/>
                <w:b/>
                <w:bCs/>
                <w:color w:val="000000"/>
                <w:szCs w:val="28"/>
                <w:lang w:eastAsia="zh-CN" w:bidi="ar"/>
              </w:rPr>
              <w:t>）</w:t>
            </w:r>
          </w:p>
        </w:tc>
      </w:tr>
      <w:tr w14:paraId="4F846346">
        <w:tblPrEx>
          <w:tblCellMar>
            <w:top w:w="0" w:type="dxa"/>
            <w:left w:w="108" w:type="dxa"/>
            <w:bottom w:w="0" w:type="dxa"/>
            <w:right w:w="108" w:type="dxa"/>
          </w:tblCellMar>
        </w:tblPrEx>
        <w:trPr>
          <w:trHeight w:val="205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3840">
            <w:pPr>
              <w:widowControl/>
              <w:spacing w:beforeLines="0" w:afterLines="0"/>
              <w:jc w:val="center"/>
              <w:textAlignment w:val="center"/>
              <w:outlineLvl w:val="9"/>
              <w:rPr>
                <w:rFonts w:hint="eastAsia" w:hAnsi="宋体" w:eastAsia="宋体" w:cs="宋体"/>
                <w:b/>
                <w:bCs/>
                <w:color w:val="000000"/>
                <w:sz w:val="26"/>
                <w:szCs w:val="26"/>
                <w:lang w:bidi="ar"/>
              </w:rPr>
            </w:pPr>
          </w:p>
          <w:p w14:paraId="103F8664">
            <w:pPr>
              <w:widowControl/>
              <w:spacing w:beforeLines="0" w:afterLines="0"/>
              <w:jc w:val="center"/>
              <w:textAlignment w:val="center"/>
              <w:outlineLvl w:val="9"/>
              <w:rPr>
                <w:rFonts w:hint="eastAsia" w:hAnsi="宋体" w:eastAsia="宋体" w:cs="宋体"/>
                <w:b/>
                <w:bCs/>
                <w:color w:val="000000"/>
                <w:sz w:val="26"/>
                <w:szCs w:val="26"/>
              </w:rPr>
            </w:pPr>
            <w:r>
              <w:rPr>
                <w:rFonts w:hint="eastAsia" w:hAnsi="宋体" w:eastAsia="宋体" w:cs="宋体"/>
                <w:b/>
                <w:bCs/>
                <w:color w:val="000000"/>
                <w:sz w:val="26"/>
                <w:szCs w:val="26"/>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261620"/>
                  <wp:effectExtent l="0" t="0" r="0" b="0"/>
                  <wp:wrapNone/>
                  <wp:docPr id="65" name="图片_2"/>
                  <wp:cNvGraphicFramePr/>
                  <a:graphic xmlns:a="http://schemas.openxmlformats.org/drawingml/2006/main">
                    <a:graphicData uri="http://schemas.openxmlformats.org/drawingml/2006/picture">
                      <pic:pic xmlns:pic="http://schemas.openxmlformats.org/drawingml/2006/picture">
                        <pic:nvPicPr>
                          <pic:cNvPr id="65" name="图片_2"/>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40" cy="50800"/>
                  <wp:effectExtent l="0" t="0" r="0" b="0"/>
                  <wp:wrapNone/>
                  <wp:docPr id="66" name="图片_3"/>
                  <wp:cNvGraphicFramePr/>
                  <a:graphic xmlns:a="http://schemas.openxmlformats.org/drawingml/2006/main">
                    <a:graphicData uri="http://schemas.openxmlformats.org/drawingml/2006/picture">
                      <pic:pic xmlns:pic="http://schemas.openxmlformats.org/drawingml/2006/picture">
                        <pic:nvPicPr>
                          <pic:cNvPr id="66" name="图片_3"/>
                          <pic:cNvPicPr/>
                        </pic:nvPicPr>
                        <pic:blipFill>
                          <a:blip r:embed="rId9"/>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0" cy="261620"/>
                  <wp:effectExtent l="0" t="0" r="0" b="0"/>
                  <wp:wrapNone/>
                  <wp:docPr id="72" name="图片_2_SpCnt_1"/>
                  <wp:cNvGraphicFramePr/>
                  <a:graphic xmlns:a="http://schemas.openxmlformats.org/drawingml/2006/main">
                    <a:graphicData uri="http://schemas.openxmlformats.org/drawingml/2006/picture">
                      <pic:pic xmlns:pic="http://schemas.openxmlformats.org/drawingml/2006/picture">
                        <pic:nvPicPr>
                          <pic:cNvPr id="72" name="图片_2_SpCnt_1"/>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261620"/>
                  <wp:effectExtent l="0" t="0" r="0" b="0"/>
                  <wp:wrapNone/>
                  <wp:docPr id="67" name="图片_2_SpCnt_2"/>
                  <wp:cNvGraphicFramePr/>
                  <a:graphic xmlns:a="http://schemas.openxmlformats.org/drawingml/2006/main">
                    <a:graphicData uri="http://schemas.openxmlformats.org/drawingml/2006/picture">
                      <pic:pic xmlns:pic="http://schemas.openxmlformats.org/drawingml/2006/picture">
                        <pic:nvPicPr>
                          <pic:cNvPr id="67" name="图片_2_SpCnt_2"/>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0" cy="261620"/>
                  <wp:effectExtent l="0" t="0" r="0" b="0"/>
                  <wp:wrapNone/>
                  <wp:docPr id="74" name="图片_2_SpCnt_3"/>
                  <wp:cNvGraphicFramePr/>
                  <a:graphic xmlns:a="http://schemas.openxmlformats.org/drawingml/2006/main">
                    <a:graphicData uri="http://schemas.openxmlformats.org/drawingml/2006/picture">
                      <pic:pic xmlns:pic="http://schemas.openxmlformats.org/drawingml/2006/picture">
                        <pic:nvPicPr>
                          <pic:cNvPr id="74" name="图片_2_SpCnt_3"/>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40" cy="50800"/>
                  <wp:effectExtent l="0" t="0" r="0" b="0"/>
                  <wp:wrapNone/>
                  <wp:docPr id="73" name="图片_143"/>
                  <wp:cNvGraphicFramePr/>
                  <a:graphic xmlns:a="http://schemas.openxmlformats.org/drawingml/2006/main">
                    <a:graphicData uri="http://schemas.openxmlformats.org/drawingml/2006/picture">
                      <pic:pic xmlns:pic="http://schemas.openxmlformats.org/drawingml/2006/picture">
                        <pic:nvPicPr>
                          <pic:cNvPr id="73" name="图片_143"/>
                          <pic:cNvPicPr/>
                        </pic:nvPicPr>
                        <pic:blipFill>
                          <a:blip r:embed="rId9"/>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0" cy="261620"/>
                  <wp:effectExtent l="0" t="0" r="0" b="0"/>
                  <wp:wrapNone/>
                  <wp:docPr id="70" name="图片_2_SpCnt_4"/>
                  <wp:cNvGraphicFramePr/>
                  <a:graphic xmlns:a="http://schemas.openxmlformats.org/drawingml/2006/main">
                    <a:graphicData uri="http://schemas.openxmlformats.org/drawingml/2006/picture">
                      <pic:pic xmlns:pic="http://schemas.openxmlformats.org/drawingml/2006/picture">
                        <pic:nvPicPr>
                          <pic:cNvPr id="70" name="图片_2_SpCnt_4"/>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0" cy="261620"/>
                  <wp:effectExtent l="0" t="0" r="0" b="0"/>
                  <wp:wrapNone/>
                  <wp:docPr id="75" name="图片_2_SpCnt_5"/>
                  <wp:cNvGraphicFramePr/>
                  <a:graphic xmlns:a="http://schemas.openxmlformats.org/drawingml/2006/main">
                    <a:graphicData uri="http://schemas.openxmlformats.org/drawingml/2006/picture">
                      <pic:pic xmlns:pic="http://schemas.openxmlformats.org/drawingml/2006/picture">
                        <pic:nvPicPr>
                          <pic:cNvPr id="75" name="图片_2_SpCnt_5"/>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0" cy="261620"/>
                  <wp:effectExtent l="0" t="0" r="0" b="0"/>
                  <wp:wrapNone/>
                  <wp:docPr id="68" name="图片_2_SpCnt_6"/>
                  <wp:cNvGraphicFramePr/>
                  <a:graphic xmlns:a="http://schemas.openxmlformats.org/drawingml/2006/main">
                    <a:graphicData uri="http://schemas.openxmlformats.org/drawingml/2006/picture">
                      <pic:pic xmlns:pic="http://schemas.openxmlformats.org/drawingml/2006/picture">
                        <pic:nvPicPr>
                          <pic:cNvPr id="68" name="图片_2_SpCnt_6"/>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0" cy="261620"/>
                  <wp:effectExtent l="0" t="0" r="0" b="0"/>
                  <wp:wrapNone/>
                  <wp:docPr id="69" name="图片_2_SpCnt_7"/>
                  <wp:cNvGraphicFramePr/>
                  <a:graphic xmlns:a="http://schemas.openxmlformats.org/drawingml/2006/main">
                    <a:graphicData uri="http://schemas.openxmlformats.org/drawingml/2006/picture">
                      <pic:pic xmlns:pic="http://schemas.openxmlformats.org/drawingml/2006/picture">
                        <pic:nvPicPr>
                          <pic:cNvPr id="69" name="图片_2_SpCnt_7"/>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lang w:bidi="ar"/>
              </w:rPr>
              <w:t>序号</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32B0">
            <w:pPr>
              <w:widowControl/>
              <w:spacing w:beforeLines="0" w:afterLines="0"/>
              <w:jc w:val="distribute"/>
              <w:textAlignment w:val="center"/>
              <w:outlineLvl w:val="9"/>
              <w:rPr>
                <w:rFonts w:hint="eastAsia" w:hAnsi="宋体" w:eastAsia="宋体" w:cs="宋体"/>
                <w:b/>
                <w:bCs/>
                <w:color w:val="000000"/>
                <w:sz w:val="26"/>
                <w:szCs w:val="26"/>
                <w:lang w:bidi="ar"/>
              </w:rPr>
            </w:pPr>
          </w:p>
          <w:p w14:paraId="4F843BAC">
            <w:pPr>
              <w:widowControl/>
              <w:spacing w:beforeLines="0" w:afterLines="0"/>
              <w:jc w:val="distribute"/>
              <w:textAlignment w:val="center"/>
              <w:outlineLvl w:val="9"/>
              <w:rPr>
                <w:rFonts w:hint="eastAsia" w:hAnsi="宋体" w:eastAsia="宋体" w:cs="宋体"/>
                <w:b/>
                <w:bCs/>
                <w:color w:val="000000"/>
                <w:sz w:val="26"/>
                <w:szCs w:val="26"/>
                <w:lang w:bidi="ar"/>
              </w:rPr>
            </w:pPr>
            <w:r>
              <w:rPr>
                <w:rFonts w:hint="eastAsia" w:hAnsi="宋体" w:eastAsia="宋体" w:cs="宋体"/>
                <w:b/>
                <w:bCs/>
                <w:color w:val="000000"/>
                <w:sz w:val="26"/>
                <w:szCs w:val="26"/>
                <w:bdr w:val="single" w:color="000000" w:sz="4" w:space="0"/>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0" cy="261620"/>
                  <wp:effectExtent l="0" t="0" r="0" b="0"/>
                  <wp:wrapNone/>
                  <wp:docPr id="71" name="图片_2_SpCnt_8"/>
                  <wp:cNvGraphicFramePr/>
                  <a:graphic xmlns:a="http://schemas.openxmlformats.org/drawingml/2006/main">
                    <a:graphicData uri="http://schemas.openxmlformats.org/drawingml/2006/picture">
                      <pic:pic xmlns:pic="http://schemas.openxmlformats.org/drawingml/2006/picture">
                        <pic:nvPicPr>
                          <pic:cNvPr id="71" name="图片_2_SpCnt_8"/>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40" cy="50800"/>
                  <wp:effectExtent l="0" t="0" r="0" b="0"/>
                  <wp:wrapNone/>
                  <wp:docPr id="76" name="图片_34"/>
                  <wp:cNvGraphicFramePr/>
                  <a:graphic xmlns:a="http://schemas.openxmlformats.org/drawingml/2006/main">
                    <a:graphicData uri="http://schemas.openxmlformats.org/drawingml/2006/picture">
                      <pic:pic xmlns:pic="http://schemas.openxmlformats.org/drawingml/2006/picture">
                        <pic:nvPicPr>
                          <pic:cNvPr id="76" name="图片_34"/>
                          <pic:cNvPicPr/>
                        </pic:nvPicPr>
                        <pic:blipFill>
                          <a:blip r:embed="rId9"/>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0" cy="261620"/>
                  <wp:effectExtent l="0" t="0" r="0" b="0"/>
                  <wp:wrapNone/>
                  <wp:docPr id="92" name="图片_2_SpCnt_9"/>
                  <wp:cNvGraphicFramePr/>
                  <a:graphic xmlns:a="http://schemas.openxmlformats.org/drawingml/2006/main">
                    <a:graphicData uri="http://schemas.openxmlformats.org/drawingml/2006/picture">
                      <pic:pic xmlns:pic="http://schemas.openxmlformats.org/drawingml/2006/picture">
                        <pic:nvPicPr>
                          <pic:cNvPr id="92" name="图片_2_SpCnt_9"/>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0" cy="261620"/>
                  <wp:effectExtent l="0" t="0" r="0" b="0"/>
                  <wp:wrapNone/>
                  <wp:docPr id="79" name="图片_2_SpCnt_10"/>
                  <wp:cNvGraphicFramePr/>
                  <a:graphic xmlns:a="http://schemas.openxmlformats.org/drawingml/2006/main">
                    <a:graphicData uri="http://schemas.openxmlformats.org/drawingml/2006/picture">
                      <pic:pic xmlns:pic="http://schemas.openxmlformats.org/drawingml/2006/picture">
                        <pic:nvPicPr>
                          <pic:cNvPr id="79" name="图片_2_SpCnt_10"/>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15240</wp:posOffset>
                  </wp:positionV>
                  <wp:extent cx="0" cy="261620"/>
                  <wp:effectExtent l="0" t="0" r="0" b="0"/>
                  <wp:wrapNone/>
                  <wp:docPr id="84" name="图片_2_SpCnt_11"/>
                  <wp:cNvGraphicFramePr/>
                  <a:graphic xmlns:a="http://schemas.openxmlformats.org/drawingml/2006/main">
                    <a:graphicData uri="http://schemas.openxmlformats.org/drawingml/2006/picture">
                      <pic:pic xmlns:pic="http://schemas.openxmlformats.org/drawingml/2006/picture">
                        <pic:nvPicPr>
                          <pic:cNvPr id="84" name="图片_2_SpCnt_11"/>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lang w:bidi="ar"/>
              </w:rPr>
              <w:t>商品</w:t>
            </w:r>
          </w:p>
          <w:p w14:paraId="53A7ED93">
            <w:pPr>
              <w:widowControl/>
              <w:spacing w:beforeLines="0" w:afterLines="0"/>
              <w:jc w:val="distribute"/>
              <w:textAlignment w:val="center"/>
              <w:outlineLvl w:val="9"/>
              <w:rPr>
                <w:rFonts w:hint="eastAsia" w:hAnsi="宋体" w:eastAsia="宋体" w:cs="宋体"/>
                <w:b/>
                <w:bCs/>
                <w:color w:val="000000"/>
                <w:sz w:val="26"/>
                <w:szCs w:val="26"/>
                <w:lang w:bidi="ar"/>
              </w:rPr>
            </w:pPr>
            <w:r>
              <w:rPr>
                <w:rFonts w:hint="eastAsia" w:hAnsi="宋体" w:eastAsia="宋体" w:cs="宋体"/>
                <w:b/>
                <w:bCs/>
                <w:color w:val="000000"/>
                <w:sz w:val="26"/>
                <w:szCs w:val="26"/>
                <w:lang w:bidi="ar"/>
              </w:rPr>
              <w:t>名称</w:t>
            </w:r>
          </w:p>
          <w:p w14:paraId="6DB41BBF">
            <w:pPr>
              <w:widowControl/>
              <w:spacing w:beforeLines="0" w:afterLines="0"/>
              <w:jc w:val="distribute"/>
              <w:textAlignment w:val="center"/>
              <w:outlineLvl w:val="9"/>
              <w:rPr>
                <w:rFonts w:hint="eastAsia" w:hAnsi="宋体" w:eastAsia="宋体" w:cs="宋体"/>
                <w:b/>
                <w:bCs/>
                <w:color w:val="000000"/>
                <w:sz w:val="26"/>
                <w:szCs w:val="26"/>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9B3D">
            <w:pPr>
              <w:widowControl/>
              <w:spacing w:beforeLines="0" w:afterLines="0"/>
              <w:jc w:val="left"/>
              <w:textAlignment w:val="center"/>
              <w:outlineLvl w:val="9"/>
              <w:rPr>
                <w:rFonts w:hint="eastAsia" w:hAnsi="宋体" w:eastAsia="宋体" w:cs="宋体"/>
                <w:color w:val="000000"/>
                <w:sz w:val="22"/>
                <w:szCs w:val="22"/>
              </w:rPr>
            </w:pPr>
            <w:r>
              <w:rPr>
                <w:rFonts w:hint="eastAsia" w:hAnsi="宋体" w:eastAsia="宋体" w:cs="宋体"/>
                <w:b/>
                <w:bCs/>
                <w:color w:val="000000"/>
                <w:sz w:val="22"/>
                <w:szCs w:val="22"/>
                <w:lang w:bidi="ar"/>
              </w:rPr>
              <w:t>品  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732B">
            <w:pPr>
              <w:widowControl/>
              <w:spacing w:beforeLines="0" w:afterLines="0"/>
              <w:textAlignment w:val="center"/>
              <w:outlineLvl w:val="9"/>
              <w:rPr>
                <w:rFonts w:hint="eastAsia" w:hAnsi="宋体" w:eastAsia="宋体" w:cs="宋体"/>
                <w:b/>
                <w:bCs/>
                <w:color w:val="000000"/>
                <w:sz w:val="26"/>
                <w:szCs w:val="26"/>
                <w:lang w:bidi="ar"/>
              </w:rPr>
            </w:pPr>
          </w:p>
          <w:p w14:paraId="60370C48">
            <w:pPr>
              <w:widowControl/>
              <w:spacing w:beforeLines="0" w:afterLines="0"/>
              <w:textAlignment w:val="center"/>
              <w:outlineLvl w:val="9"/>
              <w:rPr>
                <w:rFonts w:hint="eastAsia" w:hAnsi="宋体" w:eastAsia="宋体" w:cs="宋体"/>
                <w:b/>
                <w:bCs/>
                <w:color w:val="000000"/>
                <w:sz w:val="26"/>
                <w:szCs w:val="26"/>
              </w:rPr>
            </w:pPr>
            <w:r>
              <w:rPr>
                <w:rFonts w:hint="eastAsia" w:hAnsi="宋体" w:eastAsia="宋体" w:cs="宋体"/>
                <w:b/>
                <w:bCs/>
                <w:color w:val="000000"/>
                <w:sz w:val="26"/>
                <w:szCs w:val="26"/>
                <w:bdr w:val="single" w:color="000000" w:sz="4" w:space="0"/>
                <w:lang w:bidi="ar"/>
              </w:rPr>
              <w:drawing>
                <wp:anchor distT="0" distB="0" distL="114300" distR="114300" simplePos="0" relativeHeight="251676672" behindDoc="0" locked="0" layoutInCell="1" allowOverlap="1">
                  <wp:simplePos x="0" y="0"/>
                  <wp:positionH relativeFrom="column">
                    <wp:posOffset>685800</wp:posOffset>
                  </wp:positionH>
                  <wp:positionV relativeFrom="paragraph">
                    <wp:posOffset>0</wp:posOffset>
                  </wp:positionV>
                  <wp:extent cx="2540" cy="50800"/>
                  <wp:effectExtent l="0" t="0" r="0" b="0"/>
                  <wp:wrapNone/>
                  <wp:docPr id="82" name="图片_123"/>
                  <wp:cNvGraphicFramePr/>
                  <a:graphic xmlns:a="http://schemas.openxmlformats.org/drawingml/2006/main">
                    <a:graphicData uri="http://schemas.openxmlformats.org/drawingml/2006/picture">
                      <pic:pic xmlns:pic="http://schemas.openxmlformats.org/drawingml/2006/picture">
                        <pic:nvPicPr>
                          <pic:cNvPr id="82" name="图片_123"/>
                          <pic:cNvPicPr/>
                        </pic:nvPicPr>
                        <pic:blipFill>
                          <a:blip r:embed="rId9"/>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80768" behindDoc="0" locked="0" layoutInCell="1" allowOverlap="1">
                  <wp:simplePos x="0" y="0"/>
                  <wp:positionH relativeFrom="column">
                    <wp:posOffset>685800</wp:posOffset>
                  </wp:positionH>
                  <wp:positionV relativeFrom="paragraph">
                    <wp:posOffset>0</wp:posOffset>
                  </wp:positionV>
                  <wp:extent cx="0" cy="261620"/>
                  <wp:effectExtent l="0" t="0" r="0" b="0"/>
                  <wp:wrapNone/>
                  <wp:docPr id="86" name="图片_2_SpCnt_12"/>
                  <wp:cNvGraphicFramePr/>
                  <a:graphic xmlns:a="http://schemas.openxmlformats.org/drawingml/2006/main">
                    <a:graphicData uri="http://schemas.openxmlformats.org/drawingml/2006/picture">
                      <pic:pic xmlns:pic="http://schemas.openxmlformats.org/drawingml/2006/picture">
                        <pic:nvPicPr>
                          <pic:cNvPr id="86" name="图片_2_SpCnt_12"/>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0" cy="261620"/>
                  <wp:effectExtent l="0" t="0" r="0" b="0"/>
                  <wp:wrapNone/>
                  <wp:docPr id="88" name="图片_2_SpCnt_13"/>
                  <wp:cNvGraphicFramePr/>
                  <a:graphic xmlns:a="http://schemas.openxmlformats.org/drawingml/2006/main">
                    <a:graphicData uri="http://schemas.openxmlformats.org/drawingml/2006/picture">
                      <pic:pic xmlns:pic="http://schemas.openxmlformats.org/drawingml/2006/picture">
                        <pic:nvPicPr>
                          <pic:cNvPr id="88" name="图片_2_SpCnt_13"/>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lang w:bidi="ar"/>
              </w:rPr>
              <w:t>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803A">
            <w:pPr>
              <w:widowControl/>
              <w:spacing w:beforeLines="0" w:afterLines="0"/>
              <w:textAlignment w:val="center"/>
              <w:outlineLvl w:val="9"/>
              <w:rPr>
                <w:rFonts w:hint="eastAsia" w:hAnsi="宋体" w:eastAsia="宋体" w:cs="宋体"/>
                <w:b/>
                <w:bCs/>
                <w:color w:val="000000"/>
                <w:sz w:val="26"/>
                <w:szCs w:val="26"/>
                <w:lang w:bidi="ar"/>
              </w:rPr>
            </w:pPr>
          </w:p>
          <w:p w14:paraId="6ED489ED">
            <w:pPr>
              <w:widowControl/>
              <w:spacing w:beforeLines="0" w:afterLines="0"/>
              <w:textAlignment w:val="center"/>
              <w:outlineLvl w:val="9"/>
              <w:rPr>
                <w:rFonts w:hint="eastAsia" w:hAnsi="宋体" w:eastAsia="宋体" w:cs="宋体"/>
                <w:b/>
                <w:bCs/>
                <w:color w:val="000000"/>
                <w:sz w:val="26"/>
                <w:szCs w:val="26"/>
              </w:rPr>
            </w:pPr>
            <w:r>
              <w:rPr>
                <w:rFonts w:hint="eastAsia" w:hAnsi="宋体" w:eastAsia="宋体" w:cs="宋体"/>
                <w:b/>
                <w:bCs/>
                <w:color w:val="000000"/>
                <w:sz w:val="26"/>
                <w:szCs w:val="26"/>
                <w:bdr w:val="single" w:color="000000" w:sz="4" w:space="0"/>
                <w:lang w:bidi="ar"/>
              </w:rPr>
              <w:drawing>
                <wp:anchor distT="0" distB="0" distL="114300" distR="114300" simplePos="0" relativeHeight="251677696" behindDoc="0" locked="0" layoutInCell="1" allowOverlap="1">
                  <wp:simplePos x="0" y="0"/>
                  <wp:positionH relativeFrom="column">
                    <wp:posOffset>685800</wp:posOffset>
                  </wp:positionH>
                  <wp:positionV relativeFrom="paragraph">
                    <wp:posOffset>0</wp:posOffset>
                  </wp:positionV>
                  <wp:extent cx="0" cy="261620"/>
                  <wp:effectExtent l="0" t="0" r="0" b="0"/>
                  <wp:wrapNone/>
                  <wp:docPr id="83" name="图片_2_SpCnt_14"/>
                  <wp:cNvGraphicFramePr/>
                  <a:graphic xmlns:a="http://schemas.openxmlformats.org/drawingml/2006/main">
                    <a:graphicData uri="http://schemas.openxmlformats.org/drawingml/2006/picture">
                      <pic:pic xmlns:pic="http://schemas.openxmlformats.org/drawingml/2006/picture">
                        <pic:nvPicPr>
                          <pic:cNvPr id="83" name="图片_2_SpCnt_14"/>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bdr w:val="single" w:color="000000" w:sz="4" w:space="0"/>
                <w:lang w:bidi="ar"/>
              </w:rPr>
              <w:drawing>
                <wp:anchor distT="0" distB="0" distL="114300" distR="114300" simplePos="0" relativeHeight="251685888" behindDoc="0" locked="0" layoutInCell="1" allowOverlap="1">
                  <wp:simplePos x="0" y="0"/>
                  <wp:positionH relativeFrom="column">
                    <wp:posOffset>685800</wp:posOffset>
                  </wp:positionH>
                  <wp:positionV relativeFrom="paragraph">
                    <wp:posOffset>0</wp:posOffset>
                  </wp:positionV>
                  <wp:extent cx="0" cy="261620"/>
                  <wp:effectExtent l="0" t="0" r="0" b="0"/>
                  <wp:wrapNone/>
                  <wp:docPr id="91" name="图片_2_SpCnt_15"/>
                  <wp:cNvGraphicFramePr/>
                  <a:graphic xmlns:a="http://schemas.openxmlformats.org/drawingml/2006/main">
                    <a:graphicData uri="http://schemas.openxmlformats.org/drawingml/2006/picture">
                      <pic:pic xmlns:pic="http://schemas.openxmlformats.org/drawingml/2006/picture">
                        <pic:nvPicPr>
                          <pic:cNvPr id="91" name="图片_2_SpCnt_15"/>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b/>
                <w:bCs/>
                <w:color w:val="000000"/>
                <w:sz w:val="26"/>
                <w:szCs w:val="26"/>
                <w:lang w:bidi="ar"/>
              </w:rPr>
              <w:t>技术参数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08A">
            <w:pPr>
              <w:widowControl/>
              <w:spacing w:beforeLines="0" w:afterLines="0"/>
              <w:textAlignment w:val="center"/>
              <w:outlineLvl w:val="9"/>
              <w:rPr>
                <w:rFonts w:hint="eastAsia" w:hAnsi="宋体" w:eastAsia="宋体" w:cs="宋体"/>
                <w:b/>
                <w:bCs/>
                <w:color w:val="000000"/>
                <w:sz w:val="26"/>
                <w:szCs w:val="26"/>
              </w:rPr>
            </w:pPr>
            <w:r>
              <w:rPr>
                <w:rFonts w:hint="eastAsia" w:hAnsi="宋体" w:eastAsia="宋体" w:cs="宋体"/>
                <w:b/>
                <w:bCs/>
                <w:color w:val="000000"/>
                <w:sz w:val="26"/>
                <w:szCs w:val="26"/>
                <w:lang w:bidi="ar"/>
              </w:rPr>
              <w:t>计价单位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E1AE">
            <w:pPr>
              <w:widowControl/>
              <w:spacing w:beforeLines="0" w:afterLines="0"/>
              <w:textAlignment w:val="center"/>
              <w:outlineLvl w:val="9"/>
              <w:rPr>
                <w:rFonts w:hint="eastAsia" w:hAnsi="宋体" w:eastAsia="宋体" w:cs="宋体"/>
                <w:b/>
                <w:bCs/>
                <w:color w:val="000000"/>
                <w:sz w:val="26"/>
                <w:szCs w:val="26"/>
              </w:rPr>
            </w:pPr>
            <w:r>
              <w:rPr>
                <w:rFonts w:hint="eastAsia" w:hAnsi="宋体" w:eastAsia="宋体" w:cs="宋体"/>
                <w:b/>
                <w:bCs/>
                <w:color w:val="000000"/>
                <w:sz w:val="26"/>
                <w:szCs w:val="26"/>
                <w:lang w:bidi="ar"/>
              </w:rPr>
              <w:t>市场价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CB1F">
            <w:pPr>
              <w:widowControl/>
              <w:spacing w:beforeLines="0" w:afterLines="0"/>
              <w:textAlignment w:val="center"/>
              <w:outlineLvl w:val="9"/>
              <w:rPr>
                <w:rFonts w:hint="eastAsia" w:hAnsi="宋体" w:eastAsia="宋体" w:cs="宋体"/>
                <w:b/>
                <w:bCs/>
                <w:color w:val="000000"/>
                <w:sz w:val="26"/>
                <w:szCs w:val="26"/>
              </w:rPr>
            </w:pPr>
            <w:r>
              <w:rPr>
                <w:rFonts w:hint="eastAsia" w:hAnsi="宋体" w:eastAsia="宋体" w:cs="宋体"/>
                <w:b/>
                <w:bCs/>
                <w:color w:val="000000"/>
                <w:sz w:val="26"/>
                <w:szCs w:val="26"/>
                <w:lang w:bidi="ar"/>
              </w:rPr>
              <w:t>制造商</w:t>
            </w:r>
          </w:p>
        </w:tc>
      </w:tr>
      <w:tr w14:paraId="0B3E4303">
        <w:tblPrEx>
          <w:tblCellMar>
            <w:top w:w="0" w:type="dxa"/>
            <w:left w:w="108" w:type="dxa"/>
            <w:bottom w:w="0" w:type="dxa"/>
            <w:right w:w="108" w:type="dxa"/>
          </w:tblCellMar>
        </w:tblPrEx>
        <w:trPr>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6D6A">
            <w:pPr>
              <w:widowControl/>
              <w:spacing w:beforeLines="0" w:afterLines="0"/>
              <w:jc w:val="center"/>
              <w:textAlignment w:val="center"/>
              <w:outlineLvl w:val="9"/>
              <w:rPr>
                <w:rFonts w:hint="eastAsia" w:hAnsi="宋体" w:eastAsia="宋体" w:cs="宋体"/>
                <w:color w:val="000000"/>
                <w:sz w:val="22"/>
                <w:szCs w:val="22"/>
              </w:rPr>
            </w:pPr>
            <w:r>
              <w:rPr>
                <w:rFonts w:hint="eastAsia" w:hAnsi="宋体" w:eastAsia="宋体" w:cs="宋体"/>
                <w:color w:val="000000"/>
                <w:sz w:val="22"/>
                <w:szCs w:val="22"/>
                <w:bdr w:val="single" w:color="000000" w:sz="4" w:space="0"/>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0" cy="261620"/>
                  <wp:effectExtent l="0" t="0" r="0" b="0"/>
                  <wp:wrapNone/>
                  <wp:docPr id="87" name="图片_2_SpCnt_16"/>
                  <wp:cNvGraphicFramePr/>
                  <a:graphic xmlns:a="http://schemas.openxmlformats.org/drawingml/2006/main">
                    <a:graphicData uri="http://schemas.openxmlformats.org/drawingml/2006/picture">
                      <pic:pic xmlns:pic="http://schemas.openxmlformats.org/drawingml/2006/picture">
                        <pic:nvPicPr>
                          <pic:cNvPr id="87" name="图片_2_SpCnt_16"/>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color w:val="000000"/>
                <w:sz w:val="22"/>
                <w:szCs w:val="22"/>
                <w:bdr w:val="single" w:color="000000" w:sz="4" w:space="0"/>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40" cy="50800"/>
                  <wp:effectExtent l="0" t="0" r="0" b="0"/>
                  <wp:wrapNone/>
                  <wp:docPr id="77" name="图片_152"/>
                  <wp:cNvGraphicFramePr/>
                  <a:graphic xmlns:a="http://schemas.openxmlformats.org/drawingml/2006/main">
                    <a:graphicData uri="http://schemas.openxmlformats.org/drawingml/2006/picture">
                      <pic:pic xmlns:pic="http://schemas.openxmlformats.org/drawingml/2006/picture">
                        <pic:nvPicPr>
                          <pic:cNvPr id="77" name="图片_152"/>
                          <pic:cNvPicPr/>
                        </pic:nvPicPr>
                        <pic:blipFill>
                          <a:blip r:embed="rId10"/>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color w:val="000000"/>
                <w:sz w:val="22"/>
                <w:szCs w:val="22"/>
                <w:bdr w:val="single" w:color="000000" w:sz="4" w:space="0"/>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40" cy="50800"/>
                  <wp:effectExtent l="0" t="0" r="0" b="0"/>
                  <wp:wrapNone/>
                  <wp:docPr id="89" name="图片_23"/>
                  <wp:cNvGraphicFramePr/>
                  <a:graphic xmlns:a="http://schemas.openxmlformats.org/drawingml/2006/main">
                    <a:graphicData uri="http://schemas.openxmlformats.org/drawingml/2006/picture">
                      <pic:pic xmlns:pic="http://schemas.openxmlformats.org/drawingml/2006/picture">
                        <pic:nvPicPr>
                          <pic:cNvPr id="89" name="图片_23"/>
                          <pic:cNvPicPr/>
                        </pic:nvPicPr>
                        <pic:blipFill>
                          <a:blip r:embed="rId10"/>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color w:val="000000"/>
                <w:sz w:val="22"/>
                <w:szCs w:val="22"/>
                <w:bdr w:val="single" w:color="000000" w:sz="4" w:space="0"/>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0" cy="261620"/>
                  <wp:effectExtent l="0" t="0" r="0" b="0"/>
                  <wp:wrapNone/>
                  <wp:docPr id="93" name="图片_2_SpCnt_17"/>
                  <wp:cNvGraphicFramePr/>
                  <a:graphic xmlns:a="http://schemas.openxmlformats.org/drawingml/2006/main">
                    <a:graphicData uri="http://schemas.openxmlformats.org/drawingml/2006/picture">
                      <pic:pic xmlns:pic="http://schemas.openxmlformats.org/drawingml/2006/picture">
                        <pic:nvPicPr>
                          <pic:cNvPr id="93" name="图片_2_SpCnt_17"/>
                          <pic:cNvPicPr/>
                        </pic:nvPicPr>
                        <pic:blipFill>
                          <a:blip r:embed="rId8"/>
                          <a:stretch>
                            <a:fillRect/>
                          </a:stretch>
                        </pic:blipFill>
                        <pic:spPr>
                          <a:xfrm>
                            <a:off x="0" y="0"/>
                            <a:ext cx="0" cy="261620"/>
                          </a:xfrm>
                          <a:prstGeom prst="rect">
                            <a:avLst/>
                          </a:prstGeom>
                          <a:noFill/>
                          <a:ln>
                            <a:noFill/>
                          </a:ln>
                        </pic:spPr>
                      </pic:pic>
                    </a:graphicData>
                  </a:graphic>
                </wp:anchor>
              </w:drawing>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DE08">
            <w:pPr>
              <w:spacing w:beforeLines="0" w:afterLines="0"/>
              <w:jc w:val="center"/>
              <w:outlineLvl w:val="9"/>
              <w:rPr>
                <w:rFonts w:hint="eastAsia"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2E84">
            <w:pPr>
              <w:spacing w:beforeLines="0" w:afterLines="0"/>
              <w:jc w:val="center"/>
              <w:outlineLvl w:val="9"/>
              <w:rPr>
                <w:rFonts w:hint="eastAsia" w:hAnsi="宋体" w:eastAsia="宋体" w:cs="宋体"/>
                <w:color w:val="000000"/>
                <w:sz w:val="22"/>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C0CA">
            <w:pPr>
              <w:spacing w:beforeLines="0" w:afterLines="0"/>
              <w:jc w:val="center"/>
              <w:outlineLvl w:val="9"/>
              <w:rPr>
                <w:rFonts w:hint="eastAsia"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0366">
            <w:pPr>
              <w:widowControl/>
              <w:spacing w:beforeLines="0" w:afterLines="0"/>
              <w:jc w:val="left"/>
              <w:textAlignment w:val="center"/>
              <w:outlineLvl w:val="9"/>
              <w:rPr>
                <w:rFonts w:hint="eastAsia" w:hAnsi="宋体" w:eastAsia="宋体" w:cs="宋体"/>
                <w:color w:val="000000"/>
                <w:sz w:val="22"/>
                <w:szCs w:val="22"/>
              </w:rPr>
            </w:pPr>
            <w:r>
              <w:rPr>
                <w:rFonts w:hint="eastAsia" w:hAnsi="宋体" w:eastAsia="宋体" w:cs="宋体"/>
                <w:color w:val="000000"/>
                <w:sz w:val="22"/>
                <w:szCs w:val="22"/>
                <w:bdr w:val="single" w:color="000000" w:sz="4" w:space="0"/>
                <w:lang w:bidi="ar"/>
              </w:rPr>
              <w:drawing>
                <wp:anchor distT="0" distB="0" distL="114300" distR="114300" simplePos="0" relativeHeight="251691008" behindDoc="0" locked="0" layoutInCell="1" allowOverlap="1">
                  <wp:simplePos x="0" y="0"/>
                  <wp:positionH relativeFrom="column">
                    <wp:posOffset>685800</wp:posOffset>
                  </wp:positionH>
                  <wp:positionV relativeFrom="paragraph">
                    <wp:posOffset>0</wp:posOffset>
                  </wp:positionV>
                  <wp:extent cx="2540" cy="50800"/>
                  <wp:effectExtent l="0" t="0" r="0" b="0"/>
                  <wp:wrapNone/>
                  <wp:docPr id="96" name="图片_132"/>
                  <wp:cNvGraphicFramePr/>
                  <a:graphic xmlns:a="http://schemas.openxmlformats.org/drawingml/2006/main">
                    <a:graphicData uri="http://schemas.openxmlformats.org/drawingml/2006/picture">
                      <pic:pic xmlns:pic="http://schemas.openxmlformats.org/drawingml/2006/picture">
                        <pic:nvPicPr>
                          <pic:cNvPr id="96" name="图片_132"/>
                          <pic:cNvPicPr/>
                        </pic:nvPicPr>
                        <pic:blipFill>
                          <a:blip r:embed="rId10"/>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color w:val="000000"/>
                <w:sz w:val="22"/>
                <w:szCs w:val="22"/>
                <w:bdr w:val="single" w:color="000000" w:sz="4" w:space="0"/>
                <w:lang w:bidi="ar"/>
              </w:rPr>
              <w:drawing>
                <wp:anchor distT="0" distB="0" distL="114300" distR="114300" simplePos="0" relativeHeight="251674624" behindDoc="0" locked="0" layoutInCell="1" allowOverlap="1">
                  <wp:simplePos x="0" y="0"/>
                  <wp:positionH relativeFrom="column">
                    <wp:posOffset>685800</wp:posOffset>
                  </wp:positionH>
                  <wp:positionV relativeFrom="paragraph">
                    <wp:posOffset>0</wp:posOffset>
                  </wp:positionV>
                  <wp:extent cx="0" cy="261620"/>
                  <wp:effectExtent l="0" t="0" r="0" b="0"/>
                  <wp:wrapNone/>
                  <wp:docPr id="80" name="图片_2_SpCnt_18"/>
                  <wp:cNvGraphicFramePr/>
                  <a:graphic xmlns:a="http://schemas.openxmlformats.org/drawingml/2006/main">
                    <a:graphicData uri="http://schemas.openxmlformats.org/drawingml/2006/picture">
                      <pic:pic xmlns:pic="http://schemas.openxmlformats.org/drawingml/2006/picture">
                        <pic:nvPicPr>
                          <pic:cNvPr id="80" name="图片_2_SpCnt_18"/>
                          <pic:cNvPicPr/>
                        </pic:nvPicPr>
                        <pic:blipFill>
                          <a:blip r:embed="rId8"/>
                          <a:stretch>
                            <a:fillRect/>
                          </a:stretch>
                        </pic:blipFill>
                        <pic:spPr>
                          <a:xfrm>
                            <a:off x="0" y="0"/>
                            <a:ext cx="0" cy="261620"/>
                          </a:xfrm>
                          <a:prstGeom prst="rect">
                            <a:avLst/>
                          </a:prstGeom>
                          <a:noFill/>
                          <a:ln>
                            <a:noFill/>
                          </a:ln>
                        </pic:spPr>
                      </pic:pic>
                    </a:graphicData>
                  </a:graphic>
                </wp:anchor>
              </w:drawing>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F6A4">
            <w:pPr>
              <w:spacing w:beforeLines="0" w:afterLines="0"/>
              <w:jc w:val="left"/>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48ED">
            <w:pPr>
              <w:spacing w:beforeLines="0" w:afterLines="0"/>
              <w:jc w:val="center"/>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27E1">
            <w:pPr>
              <w:spacing w:beforeLines="0" w:afterLines="0"/>
              <w:jc w:val="center"/>
              <w:outlineLvl w:val="9"/>
              <w:rPr>
                <w:rFonts w:hint="eastAsia" w:hAnsi="宋体" w:eastAsia="宋体" w:cs="宋体"/>
                <w:color w:val="000000"/>
                <w:sz w:val="22"/>
                <w:szCs w:val="22"/>
              </w:rPr>
            </w:pPr>
          </w:p>
        </w:tc>
      </w:tr>
      <w:tr w14:paraId="0456CC9B">
        <w:tblPrEx>
          <w:tblCellMar>
            <w:top w:w="0" w:type="dxa"/>
            <w:left w:w="108" w:type="dxa"/>
            <w:bottom w:w="0" w:type="dxa"/>
            <w:right w:w="108" w:type="dxa"/>
          </w:tblCellMar>
        </w:tblPrEx>
        <w:trPr>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E3D9">
            <w:pPr>
              <w:widowControl/>
              <w:spacing w:beforeLines="0" w:afterLines="0"/>
              <w:jc w:val="center"/>
              <w:textAlignment w:val="center"/>
              <w:outlineLvl w:val="9"/>
              <w:rPr>
                <w:rFonts w:hint="eastAsia" w:hAnsi="宋体" w:eastAsia="宋体" w:cs="宋体"/>
                <w:color w:val="000000"/>
                <w:sz w:val="22"/>
                <w:szCs w:val="22"/>
              </w:rPr>
            </w:pPr>
            <w:r>
              <w:rPr>
                <w:rFonts w:hint="eastAsia" w:hAnsi="宋体" w:eastAsia="宋体" w:cs="宋体"/>
                <w:color w:val="000000"/>
                <w:sz w:val="22"/>
                <w:szCs w:val="22"/>
                <w:bdr w:val="single" w:color="000000" w:sz="4" w:space="0"/>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0" cy="261620"/>
                  <wp:effectExtent l="0" t="0" r="0" b="0"/>
                  <wp:wrapNone/>
                  <wp:docPr id="78" name="图片_2_SpCnt_19"/>
                  <wp:cNvGraphicFramePr/>
                  <a:graphic xmlns:a="http://schemas.openxmlformats.org/drawingml/2006/main">
                    <a:graphicData uri="http://schemas.openxmlformats.org/drawingml/2006/picture">
                      <pic:pic xmlns:pic="http://schemas.openxmlformats.org/drawingml/2006/picture">
                        <pic:nvPicPr>
                          <pic:cNvPr id="78" name="图片_2_SpCnt_19"/>
                          <pic:cNvPicPr/>
                        </pic:nvPicPr>
                        <pic:blipFill>
                          <a:blip r:embed="rId8"/>
                          <a:stretch>
                            <a:fillRect/>
                          </a:stretch>
                        </pic:blipFill>
                        <pic:spPr>
                          <a:xfrm>
                            <a:off x="0" y="0"/>
                            <a:ext cx="0" cy="261620"/>
                          </a:xfrm>
                          <a:prstGeom prst="rect">
                            <a:avLst/>
                          </a:prstGeom>
                          <a:noFill/>
                          <a:ln>
                            <a:noFill/>
                          </a:ln>
                        </pic:spPr>
                      </pic:pic>
                    </a:graphicData>
                  </a:graphic>
                </wp:anchor>
              </w:drawing>
            </w:r>
            <w:r>
              <w:rPr>
                <w:rFonts w:hint="eastAsia" w:hAnsi="宋体" w:eastAsia="宋体" w:cs="宋体"/>
                <w:color w:val="000000"/>
                <w:sz w:val="22"/>
                <w:szCs w:val="22"/>
                <w:bdr w:val="single" w:color="000000" w:sz="4" w:space="0"/>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40" cy="50800"/>
                  <wp:effectExtent l="0" t="0" r="0" b="0"/>
                  <wp:wrapNone/>
                  <wp:docPr id="94" name="图片_264"/>
                  <wp:cNvGraphicFramePr/>
                  <a:graphic xmlns:a="http://schemas.openxmlformats.org/drawingml/2006/main">
                    <a:graphicData uri="http://schemas.openxmlformats.org/drawingml/2006/picture">
                      <pic:pic xmlns:pic="http://schemas.openxmlformats.org/drawingml/2006/picture">
                        <pic:nvPicPr>
                          <pic:cNvPr id="94" name="图片_264"/>
                          <pic:cNvPicPr/>
                        </pic:nvPicPr>
                        <pic:blipFill>
                          <a:blip r:embed="rId10"/>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color w:val="000000"/>
                <w:sz w:val="22"/>
                <w:szCs w:val="22"/>
                <w:bdr w:val="single" w:color="000000" w:sz="4" w:space="0"/>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40" cy="50800"/>
                  <wp:effectExtent l="0" t="0" r="0" b="0"/>
                  <wp:wrapNone/>
                  <wp:docPr id="85" name="图片_268"/>
                  <wp:cNvGraphicFramePr/>
                  <a:graphic xmlns:a="http://schemas.openxmlformats.org/drawingml/2006/main">
                    <a:graphicData uri="http://schemas.openxmlformats.org/drawingml/2006/picture">
                      <pic:pic xmlns:pic="http://schemas.openxmlformats.org/drawingml/2006/picture">
                        <pic:nvPicPr>
                          <pic:cNvPr id="85" name="图片_268"/>
                          <pic:cNvPicPr/>
                        </pic:nvPicPr>
                        <pic:blipFill>
                          <a:blip r:embed="rId10"/>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color w:val="000000"/>
                <w:sz w:val="22"/>
                <w:szCs w:val="22"/>
                <w:bdr w:val="single" w:color="000000" w:sz="4" w:space="0"/>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0" cy="261620"/>
                  <wp:effectExtent l="0" t="0" r="0" b="0"/>
                  <wp:wrapNone/>
                  <wp:docPr id="90" name="图片_2_SpCnt_20"/>
                  <wp:cNvGraphicFramePr/>
                  <a:graphic xmlns:a="http://schemas.openxmlformats.org/drawingml/2006/main">
                    <a:graphicData uri="http://schemas.openxmlformats.org/drawingml/2006/picture">
                      <pic:pic xmlns:pic="http://schemas.openxmlformats.org/drawingml/2006/picture">
                        <pic:nvPicPr>
                          <pic:cNvPr id="90" name="图片_2_SpCnt_20"/>
                          <pic:cNvPicPr/>
                        </pic:nvPicPr>
                        <pic:blipFill>
                          <a:blip r:embed="rId8"/>
                          <a:stretch>
                            <a:fillRect/>
                          </a:stretch>
                        </pic:blipFill>
                        <pic:spPr>
                          <a:xfrm>
                            <a:off x="0" y="0"/>
                            <a:ext cx="0" cy="261620"/>
                          </a:xfrm>
                          <a:prstGeom prst="rect">
                            <a:avLst/>
                          </a:prstGeom>
                          <a:noFill/>
                          <a:ln>
                            <a:noFill/>
                          </a:ln>
                        </pic:spPr>
                      </pic:pic>
                    </a:graphicData>
                  </a:graphic>
                </wp:anchor>
              </w:drawing>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8134">
            <w:pPr>
              <w:spacing w:beforeLines="0" w:afterLines="0"/>
              <w:jc w:val="center"/>
              <w:outlineLvl w:val="9"/>
              <w:rPr>
                <w:rFonts w:hint="eastAsia"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38C0">
            <w:pPr>
              <w:spacing w:beforeLines="0" w:afterLines="0"/>
              <w:jc w:val="center"/>
              <w:outlineLvl w:val="9"/>
              <w:rPr>
                <w:rFonts w:hint="eastAsia" w:hAnsi="宋体" w:eastAsia="宋体" w:cs="宋体"/>
                <w:color w:val="000000"/>
                <w:sz w:val="22"/>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0F85">
            <w:pPr>
              <w:spacing w:beforeLines="0" w:afterLines="0"/>
              <w:jc w:val="center"/>
              <w:outlineLvl w:val="9"/>
              <w:rPr>
                <w:rFonts w:hint="eastAsia"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56EC">
            <w:pPr>
              <w:widowControl/>
              <w:spacing w:beforeLines="0" w:afterLines="0"/>
              <w:jc w:val="left"/>
              <w:textAlignment w:val="center"/>
              <w:outlineLvl w:val="9"/>
              <w:rPr>
                <w:rFonts w:hint="eastAsia" w:hAnsi="宋体" w:eastAsia="宋体" w:cs="宋体"/>
                <w:color w:val="000000"/>
                <w:sz w:val="22"/>
                <w:szCs w:val="22"/>
              </w:rPr>
            </w:pPr>
            <w:r>
              <w:rPr>
                <w:rFonts w:hint="eastAsia" w:hAnsi="宋体" w:eastAsia="宋体" w:cs="宋体"/>
                <w:color w:val="000000"/>
                <w:sz w:val="22"/>
                <w:szCs w:val="22"/>
                <w:bdr w:val="single" w:color="000000" w:sz="4" w:space="0"/>
                <w:lang w:bidi="ar"/>
              </w:rPr>
              <w:drawing>
                <wp:anchor distT="0" distB="0" distL="114300" distR="114300" simplePos="0" relativeHeight="251689984" behindDoc="0" locked="0" layoutInCell="1" allowOverlap="1">
                  <wp:simplePos x="0" y="0"/>
                  <wp:positionH relativeFrom="column">
                    <wp:posOffset>685800</wp:posOffset>
                  </wp:positionH>
                  <wp:positionV relativeFrom="paragraph">
                    <wp:posOffset>0</wp:posOffset>
                  </wp:positionV>
                  <wp:extent cx="2540" cy="50800"/>
                  <wp:effectExtent l="0" t="0" r="0" b="0"/>
                  <wp:wrapNone/>
                  <wp:docPr id="95" name="图片_266"/>
                  <wp:cNvGraphicFramePr/>
                  <a:graphic xmlns:a="http://schemas.openxmlformats.org/drawingml/2006/main">
                    <a:graphicData uri="http://schemas.openxmlformats.org/drawingml/2006/picture">
                      <pic:pic xmlns:pic="http://schemas.openxmlformats.org/drawingml/2006/picture">
                        <pic:nvPicPr>
                          <pic:cNvPr id="95" name="图片_266"/>
                          <pic:cNvPicPr/>
                        </pic:nvPicPr>
                        <pic:blipFill>
                          <a:blip r:embed="rId10"/>
                          <a:stretch>
                            <a:fillRect/>
                          </a:stretch>
                        </pic:blipFill>
                        <pic:spPr>
                          <a:xfrm>
                            <a:off x="0" y="0"/>
                            <a:ext cx="2540" cy="50800"/>
                          </a:xfrm>
                          <a:prstGeom prst="rect">
                            <a:avLst/>
                          </a:prstGeom>
                          <a:noFill/>
                          <a:ln>
                            <a:noFill/>
                          </a:ln>
                        </pic:spPr>
                      </pic:pic>
                    </a:graphicData>
                  </a:graphic>
                </wp:anchor>
              </w:drawing>
            </w:r>
            <w:r>
              <w:rPr>
                <w:rFonts w:hint="eastAsia" w:hAnsi="宋体" w:eastAsia="宋体" w:cs="宋体"/>
                <w:color w:val="000000"/>
                <w:sz w:val="22"/>
                <w:szCs w:val="22"/>
                <w:bdr w:val="single" w:color="000000" w:sz="4" w:space="0"/>
                <w:lang w:bidi="ar"/>
              </w:rPr>
              <w:drawing>
                <wp:anchor distT="0" distB="0" distL="114300" distR="114300" simplePos="0" relativeHeight="251675648" behindDoc="0" locked="0" layoutInCell="1" allowOverlap="1">
                  <wp:simplePos x="0" y="0"/>
                  <wp:positionH relativeFrom="column">
                    <wp:posOffset>685800</wp:posOffset>
                  </wp:positionH>
                  <wp:positionV relativeFrom="paragraph">
                    <wp:posOffset>0</wp:posOffset>
                  </wp:positionV>
                  <wp:extent cx="0" cy="261620"/>
                  <wp:effectExtent l="0" t="0" r="0" b="0"/>
                  <wp:wrapNone/>
                  <wp:docPr id="81" name="图片_2_SpCnt_21"/>
                  <wp:cNvGraphicFramePr/>
                  <a:graphic xmlns:a="http://schemas.openxmlformats.org/drawingml/2006/main">
                    <a:graphicData uri="http://schemas.openxmlformats.org/drawingml/2006/picture">
                      <pic:pic xmlns:pic="http://schemas.openxmlformats.org/drawingml/2006/picture">
                        <pic:nvPicPr>
                          <pic:cNvPr id="81" name="图片_2_SpCnt_21"/>
                          <pic:cNvPicPr/>
                        </pic:nvPicPr>
                        <pic:blipFill>
                          <a:blip r:embed="rId8"/>
                          <a:stretch>
                            <a:fillRect/>
                          </a:stretch>
                        </pic:blipFill>
                        <pic:spPr>
                          <a:xfrm>
                            <a:off x="0" y="0"/>
                            <a:ext cx="0" cy="261620"/>
                          </a:xfrm>
                          <a:prstGeom prst="rect">
                            <a:avLst/>
                          </a:prstGeom>
                          <a:noFill/>
                          <a:ln>
                            <a:noFill/>
                          </a:ln>
                        </pic:spPr>
                      </pic:pic>
                    </a:graphicData>
                  </a:graphic>
                </wp:anchor>
              </w:drawing>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3201">
            <w:pPr>
              <w:spacing w:beforeLines="0" w:afterLines="0"/>
              <w:jc w:val="left"/>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164C">
            <w:pPr>
              <w:spacing w:beforeLines="0" w:afterLines="0"/>
              <w:jc w:val="center"/>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CB92">
            <w:pPr>
              <w:spacing w:beforeLines="0" w:afterLines="0"/>
              <w:jc w:val="center"/>
              <w:outlineLvl w:val="9"/>
              <w:rPr>
                <w:rFonts w:hint="eastAsia" w:hAnsi="宋体" w:eastAsia="宋体" w:cs="宋体"/>
                <w:color w:val="000000"/>
                <w:sz w:val="22"/>
                <w:szCs w:val="22"/>
              </w:rPr>
            </w:pPr>
          </w:p>
        </w:tc>
      </w:tr>
      <w:tr w14:paraId="17198077">
        <w:tblPrEx>
          <w:tblCellMar>
            <w:top w:w="0" w:type="dxa"/>
            <w:left w:w="108" w:type="dxa"/>
            <w:bottom w:w="0" w:type="dxa"/>
            <w:right w:w="108" w:type="dxa"/>
          </w:tblCellMar>
        </w:tblPrEx>
        <w:trPr>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C20E">
            <w:pPr>
              <w:spacing w:beforeLines="0" w:afterLines="0"/>
              <w:jc w:val="center"/>
              <w:outlineLvl w:val="9"/>
              <w:rPr>
                <w:rFonts w:hint="eastAsia" w:hAnsi="宋体" w:eastAsia="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5960">
            <w:pPr>
              <w:spacing w:beforeLines="0" w:afterLines="0"/>
              <w:jc w:val="center"/>
              <w:outlineLvl w:val="9"/>
              <w:rPr>
                <w:rFonts w:hint="eastAsia"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5B46">
            <w:pPr>
              <w:spacing w:beforeLines="0" w:afterLines="0"/>
              <w:jc w:val="center"/>
              <w:outlineLvl w:val="9"/>
              <w:rPr>
                <w:rFonts w:hint="eastAsia" w:hAnsi="宋体" w:eastAsia="宋体" w:cs="宋体"/>
                <w:color w:val="000000"/>
                <w:sz w:val="22"/>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E90E">
            <w:pPr>
              <w:spacing w:beforeLines="0" w:afterLines="0"/>
              <w:jc w:val="center"/>
              <w:outlineLvl w:val="9"/>
              <w:rPr>
                <w:rFonts w:hint="eastAsia"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52C1">
            <w:pPr>
              <w:spacing w:beforeLines="0" w:afterLines="0"/>
              <w:jc w:val="left"/>
              <w:outlineLvl w:val="9"/>
              <w:rPr>
                <w:rFonts w:hint="eastAsia" w:hAnsi="宋体" w:eastAsia="宋体" w:cs="宋体"/>
                <w:color w:val="000000"/>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6719">
            <w:pPr>
              <w:spacing w:beforeLines="0" w:afterLines="0"/>
              <w:jc w:val="left"/>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456F">
            <w:pPr>
              <w:spacing w:beforeLines="0" w:afterLines="0"/>
              <w:jc w:val="center"/>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8B74">
            <w:pPr>
              <w:spacing w:beforeLines="0" w:afterLines="0"/>
              <w:jc w:val="center"/>
              <w:outlineLvl w:val="9"/>
              <w:rPr>
                <w:rFonts w:hint="eastAsia" w:hAnsi="宋体" w:eastAsia="宋体" w:cs="宋体"/>
                <w:color w:val="000000"/>
                <w:sz w:val="22"/>
                <w:szCs w:val="22"/>
              </w:rPr>
            </w:pPr>
          </w:p>
        </w:tc>
      </w:tr>
      <w:tr w14:paraId="06A68A29">
        <w:tblPrEx>
          <w:tblCellMar>
            <w:top w:w="0" w:type="dxa"/>
            <w:left w:w="108" w:type="dxa"/>
            <w:bottom w:w="0" w:type="dxa"/>
            <w:right w:w="108" w:type="dxa"/>
          </w:tblCellMar>
        </w:tblPrEx>
        <w:trPr>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B0FB">
            <w:pPr>
              <w:spacing w:beforeLines="0" w:afterLines="0"/>
              <w:jc w:val="center"/>
              <w:outlineLvl w:val="9"/>
              <w:rPr>
                <w:rFonts w:hint="eastAsia" w:hAnsi="宋体" w:eastAsia="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3A06">
            <w:pPr>
              <w:spacing w:beforeLines="0" w:afterLines="0"/>
              <w:jc w:val="center"/>
              <w:outlineLvl w:val="9"/>
              <w:rPr>
                <w:rFonts w:hint="eastAsia"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6B23">
            <w:pPr>
              <w:spacing w:beforeLines="0" w:afterLines="0"/>
              <w:jc w:val="center"/>
              <w:outlineLvl w:val="9"/>
              <w:rPr>
                <w:rFonts w:hint="eastAsia" w:hAnsi="宋体" w:eastAsia="宋体" w:cs="宋体"/>
                <w:color w:val="000000"/>
                <w:sz w:val="22"/>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E5BD">
            <w:pPr>
              <w:spacing w:beforeLines="0" w:afterLines="0"/>
              <w:jc w:val="center"/>
              <w:outlineLvl w:val="9"/>
              <w:rPr>
                <w:rFonts w:hint="eastAsia"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9A82">
            <w:pPr>
              <w:spacing w:beforeLines="0" w:afterLines="0"/>
              <w:jc w:val="left"/>
              <w:outlineLvl w:val="9"/>
              <w:rPr>
                <w:rFonts w:hint="eastAsia" w:hAnsi="宋体" w:eastAsia="宋体" w:cs="宋体"/>
                <w:color w:val="000000"/>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B2F6">
            <w:pPr>
              <w:spacing w:beforeLines="0" w:afterLines="0"/>
              <w:jc w:val="left"/>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2DCE">
            <w:pPr>
              <w:spacing w:beforeLines="0" w:afterLines="0"/>
              <w:jc w:val="center"/>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5240">
            <w:pPr>
              <w:spacing w:beforeLines="0" w:afterLines="0"/>
              <w:jc w:val="center"/>
              <w:outlineLvl w:val="9"/>
              <w:rPr>
                <w:rFonts w:hint="eastAsia" w:hAnsi="宋体" w:eastAsia="宋体" w:cs="宋体"/>
                <w:color w:val="000000"/>
                <w:sz w:val="22"/>
                <w:szCs w:val="22"/>
              </w:rPr>
            </w:pPr>
          </w:p>
        </w:tc>
      </w:tr>
      <w:tr w14:paraId="3BBEA1BE">
        <w:tblPrEx>
          <w:tblCellMar>
            <w:top w:w="0" w:type="dxa"/>
            <w:left w:w="108" w:type="dxa"/>
            <w:bottom w:w="0" w:type="dxa"/>
            <w:right w:w="108" w:type="dxa"/>
          </w:tblCellMar>
        </w:tblPrEx>
        <w:trPr>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AC9B">
            <w:pPr>
              <w:spacing w:beforeLines="0" w:afterLines="0"/>
              <w:jc w:val="center"/>
              <w:outlineLvl w:val="9"/>
              <w:rPr>
                <w:rFonts w:hint="eastAsia" w:hAnsi="宋体" w:eastAsia="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C0ED">
            <w:pPr>
              <w:spacing w:beforeLines="0" w:afterLines="0"/>
              <w:jc w:val="center"/>
              <w:outlineLvl w:val="9"/>
              <w:rPr>
                <w:rFonts w:hint="eastAsia"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605C">
            <w:pPr>
              <w:spacing w:beforeLines="0" w:afterLines="0"/>
              <w:jc w:val="center"/>
              <w:outlineLvl w:val="9"/>
              <w:rPr>
                <w:rFonts w:hint="eastAsia" w:hAnsi="宋体" w:eastAsia="宋体" w:cs="宋体"/>
                <w:color w:val="000000"/>
                <w:sz w:val="22"/>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E916">
            <w:pPr>
              <w:spacing w:beforeLines="0" w:afterLines="0"/>
              <w:jc w:val="center"/>
              <w:outlineLvl w:val="9"/>
              <w:rPr>
                <w:rFonts w:hint="eastAsia"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3D68">
            <w:pPr>
              <w:spacing w:beforeLines="0" w:afterLines="0"/>
              <w:jc w:val="left"/>
              <w:outlineLvl w:val="9"/>
              <w:rPr>
                <w:rFonts w:hint="eastAsia" w:hAnsi="宋体" w:eastAsia="宋体" w:cs="宋体"/>
                <w:color w:val="000000"/>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F05B">
            <w:pPr>
              <w:spacing w:beforeLines="0" w:afterLines="0"/>
              <w:jc w:val="left"/>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85D1">
            <w:pPr>
              <w:spacing w:beforeLines="0" w:afterLines="0"/>
              <w:jc w:val="center"/>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F8E5">
            <w:pPr>
              <w:spacing w:beforeLines="0" w:afterLines="0"/>
              <w:jc w:val="center"/>
              <w:outlineLvl w:val="9"/>
              <w:rPr>
                <w:rFonts w:hint="eastAsia" w:hAnsi="宋体" w:eastAsia="宋体" w:cs="宋体"/>
                <w:color w:val="000000"/>
                <w:sz w:val="22"/>
                <w:szCs w:val="22"/>
              </w:rPr>
            </w:pPr>
          </w:p>
        </w:tc>
      </w:tr>
      <w:tr w14:paraId="73A2D922">
        <w:tblPrEx>
          <w:tblCellMar>
            <w:top w:w="0" w:type="dxa"/>
            <w:left w:w="108" w:type="dxa"/>
            <w:bottom w:w="0" w:type="dxa"/>
            <w:right w:w="108" w:type="dxa"/>
          </w:tblCellMar>
        </w:tblPrEx>
        <w:trPr>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A408">
            <w:pPr>
              <w:spacing w:beforeLines="0" w:afterLines="0"/>
              <w:jc w:val="center"/>
              <w:outlineLvl w:val="9"/>
              <w:rPr>
                <w:rFonts w:hint="eastAsia" w:hAnsi="宋体" w:eastAsia="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D60F">
            <w:pPr>
              <w:spacing w:beforeLines="0" w:afterLines="0"/>
              <w:jc w:val="center"/>
              <w:outlineLvl w:val="9"/>
              <w:rPr>
                <w:rFonts w:hint="eastAsia"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3E8E">
            <w:pPr>
              <w:spacing w:beforeLines="0" w:afterLines="0"/>
              <w:jc w:val="center"/>
              <w:outlineLvl w:val="9"/>
              <w:rPr>
                <w:rFonts w:hint="eastAsia" w:hAnsi="宋体" w:eastAsia="宋体" w:cs="宋体"/>
                <w:color w:val="000000"/>
                <w:sz w:val="22"/>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C51A">
            <w:pPr>
              <w:spacing w:beforeLines="0" w:afterLines="0"/>
              <w:jc w:val="center"/>
              <w:outlineLvl w:val="9"/>
              <w:rPr>
                <w:rFonts w:hint="eastAsia"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C8F6">
            <w:pPr>
              <w:spacing w:beforeLines="0" w:afterLines="0"/>
              <w:jc w:val="left"/>
              <w:outlineLvl w:val="9"/>
              <w:rPr>
                <w:rFonts w:hint="eastAsia" w:hAnsi="宋体" w:eastAsia="宋体" w:cs="宋体"/>
                <w:color w:val="000000"/>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B9B0">
            <w:pPr>
              <w:spacing w:beforeLines="0" w:afterLines="0"/>
              <w:jc w:val="left"/>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4865">
            <w:pPr>
              <w:spacing w:beforeLines="0" w:afterLines="0"/>
              <w:jc w:val="center"/>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6ADC">
            <w:pPr>
              <w:spacing w:beforeLines="0" w:afterLines="0"/>
              <w:jc w:val="center"/>
              <w:outlineLvl w:val="9"/>
              <w:rPr>
                <w:rFonts w:hint="eastAsia" w:hAnsi="宋体" w:eastAsia="宋体" w:cs="宋体"/>
                <w:color w:val="000000"/>
                <w:sz w:val="22"/>
                <w:szCs w:val="22"/>
              </w:rPr>
            </w:pPr>
          </w:p>
        </w:tc>
      </w:tr>
      <w:tr w14:paraId="7DFC4101">
        <w:tblPrEx>
          <w:tblCellMar>
            <w:top w:w="0" w:type="dxa"/>
            <w:left w:w="108" w:type="dxa"/>
            <w:bottom w:w="0" w:type="dxa"/>
            <w:right w:w="108" w:type="dxa"/>
          </w:tblCellMar>
        </w:tblPrEx>
        <w:trPr>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0B78">
            <w:pPr>
              <w:spacing w:beforeLines="0" w:afterLines="0"/>
              <w:jc w:val="center"/>
              <w:outlineLvl w:val="9"/>
              <w:rPr>
                <w:rFonts w:hint="eastAsia" w:hAnsi="宋体" w:eastAsia="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A2DC">
            <w:pPr>
              <w:spacing w:beforeLines="0" w:afterLines="0"/>
              <w:jc w:val="center"/>
              <w:outlineLvl w:val="9"/>
              <w:rPr>
                <w:rFonts w:hint="eastAsia"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546A">
            <w:pPr>
              <w:spacing w:beforeLines="0" w:afterLines="0"/>
              <w:jc w:val="center"/>
              <w:outlineLvl w:val="9"/>
              <w:rPr>
                <w:rFonts w:hint="eastAsia" w:hAnsi="宋体" w:eastAsia="宋体" w:cs="宋体"/>
                <w:color w:val="000000"/>
                <w:sz w:val="22"/>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F0F6">
            <w:pPr>
              <w:spacing w:beforeLines="0" w:afterLines="0"/>
              <w:jc w:val="center"/>
              <w:outlineLvl w:val="9"/>
              <w:rPr>
                <w:rFonts w:hint="eastAsia"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A770">
            <w:pPr>
              <w:spacing w:beforeLines="0" w:afterLines="0"/>
              <w:jc w:val="left"/>
              <w:outlineLvl w:val="9"/>
              <w:rPr>
                <w:rFonts w:hint="eastAsia" w:hAnsi="宋体" w:eastAsia="宋体" w:cs="宋体"/>
                <w:color w:val="000000"/>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A4CE">
            <w:pPr>
              <w:spacing w:beforeLines="0" w:afterLines="0"/>
              <w:jc w:val="left"/>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D22F">
            <w:pPr>
              <w:spacing w:beforeLines="0" w:afterLines="0"/>
              <w:jc w:val="center"/>
              <w:outlineLvl w:val="9"/>
              <w:rPr>
                <w:rFonts w:hint="eastAsia" w:hAnsi="宋体" w:eastAsia="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9C0">
            <w:pPr>
              <w:spacing w:beforeLines="0" w:afterLines="0"/>
              <w:jc w:val="center"/>
              <w:outlineLvl w:val="9"/>
              <w:rPr>
                <w:rFonts w:hint="eastAsia" w:hAnsi="宋体" w:eastAsia="宋体" w:cs="宋体"/>
                <w:color w:val="000000"/>
                <w:sz w:val="22"/>
                <w:szCs w:val="22"/>
              </w:rPr>
            </w:pPr>
          </w:p>
        </w:tc>
      </w:tr>
      <w:tr w14:paraId="44EC8AEF">
        <w:tblPrEx>
          <w:tblCellMar>
            <w:top w:w="0" w:type="dxa"/>
            <w:left w:w="108" w:type="dxa"/>
            <w:bottom w:w="0" w:type="dxa"/>
            <w:right w:w="108" w:type="dxa"/>
          </w:tblCellMar>
        </w:tblPrEx>
        <w:trPr>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EEA4">
            <w:pPr>
              <w:spacing w:beforeLines="0" w:afterLines="0"/>
              <w:jc w:val="center"/>
              <w:outlineLvl w:val="9"/>
              <w:rPr>
                <w:rFonts w:hint="eastAsia" w:hAnsi="宋体" w:eastAsia="宋体" w:cs="宋体"/>
                <w:color w:val="FF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97E0">
            <w:pPr>
              <w:spacing w:beforeLines="0" w:afterLines="0"/>
              <w:jc w:val="center"/>
              <w:outlineLvl w:val="9"/>
              <w:rPr>
                <w:rFonts w:hint="eastAsia" w:hAnsi="宋体" w:eastAsia="宋体" w:cs="宋体"/>
                <w:color w:val="FF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BF17">
            <w:pPr>
              <w:spacing w:beforeLines="0" w:afterLines="0"/>
              <w:jc w:val="center"/>
              <w:outlineLvl w:val="9"/>
              <w:rPr>
                <w:rFonts w:hint="eastAsia" w:hAnsi="宋体" w:eastAsia="宋体" w:cs="宋体"/>
                <w:color w:val="FF0000"/>
                <w:sz w:val="22"/>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F318">
            <w:pPr>
              <w:spacing w:beforeLines="0" w:afterLines="0"/>
              <w:jc w:val="center"/>
              <w:outlineLvl w:val="9"/>
              <w:rPr>
                <w:rFonts w:hint="eastAsia" w:hAnsi="宋体" w:eastAsia="宋体" w:cs="宋体"/>
                <w:color w:val="FF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F92E">
            <w:pPr>
              <w:spacing w:beforeLines="0" w:afterLines="0"/>
              <w:jc w:val="left"/>
              <w:outlineLvl w:val="9"/>
              <w:rPr>
                <w:rFonts w:hint="eastAsia" w:hAnsi="宋体" w:eastAsia="宋体" w:cs="宋体"/>
                <w:color w:val="FF0000"/>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36CD">
            <w:pPr>
              <w:spacing w:beforeLines="0" w:afterLines="0"/>
              <w:jc w:val="left"/>
              <w:outlineLvl w:val="9"/>
              <w:rPr>
                <w:rFonts w:hint="eastAsia" w:hAnsi="宋体" w:eastAsia="宋体" w:cs="宋体"/>
                <w:color w:val="FF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B18C">
            <w:pPr>
              <w:spacing w:beforeLines="0" w:afterLines="0"/>
              <w:jc w:val="center"/>
              <w:outlineLvl w:val="9"/>
              <w:rPr>
                <w:rFonts w:hint="eastAsia" w:hAnsi="宋体" w:eastAsia="宋体" w:cs="宋体"/>
                <w:color w:val="FF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7C7B">
            <w:pPr>
              <w:spacing w:beforeLines="0" w:afterLines="0"/>
              <w:jc w:val="center"/>
              <w:outlineLvl w:val="9"/>
              <w:rPr>
                <w:rFonts w:hint="eastAsia" w:hAnsi="宋体" w:eastAsia="宋体" w:cs="宋体"/>
                <w:color w:val="FF0000"/>
                <w:sz w:val="22"/>
                <w:szCs w:val="22"/>
              </w:rPr>
            </w:pPr>
          </w:p>
        </w:tc>
      </w:tr>
      <w:tr w14:paraId="4A30947F">
        <w:tblPrEx>
          <w:tblCellMar>
            <w:top w:w="0" w:type="dxa"/>
            <w:left w:w="108" w:type="dxa"/>
            <w:bottom w:w="0" w:type="dxa"/>
            <w:right w:w="108" w:type="dxa"/>
          </w:tblCellMar>
        </w:tblPrEx>
        <w:trPr>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0E37">
            <w:pPr>
              <w:spacing w:beforeLines="0" w:afterLines="0"/>
              <w:jc w:val="center"/>
              <w:outlineLvl w:val="9"/>
              <w:rPr>
                <w:rFonts w:hint="eastAsia" w:hAnsi="宋体" w:eastAsia="宋体" w:cs="宋体"/>
                <w:color w:val="FF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7582">
            <w:pPr>
              <w:spacing w:beforeLines="0" w:afterLines="0"/>
              <w:jc w:val="center"/>
              <w:outlineLvl w:val="9"/>
              <w:rPr>
                <w:rFonts w:hint="eastAsia" w:hAnsi="宋体" w:eastAsia="宋体" w:cs="宋体"/>
                <w:color w:val="FF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FEAE">
            <w:pPr>
              <w:spacing w:beforeLines="0" w:afterLines="0"/>
              <w:jc w:val="center"/>
              <w:outlineLvl w:val="9"/>
              <w:rPr>
                <w:rFonts w:hint="eastAsia" w:hAnsi="宋体" w:eastAsia="宋体" w:cs="宋体"/>
                <w:color w:val="FF0000"/>
                <w:sz w:val="22"/>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B854">
            <w:pPr>
              <w:spacing w:beforeLines="0" w:afterLines="0"/>
              <w:jc w:val="center"/>
              <w:outlineLvl w:val="9"/>
              <w:rPr>
                <w:rFonts w:hint="eastAsia" w:hAnsi="宋体" w:eastAsia="宋体" w:cs="宋体"/>
                <w:color w:val="FF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0CDF">
            <w:pPr>
              <w:spacing w:beforeLines="0" w:afterLines="0"/>
              <w:jc w:val="left"/>
              <w:outlineLvl w:val="9"/>
              <w:rPr>
                <w:rFonts w:hint="eastAsia" w:hAnsi="宋体" w:eastAsia="宋体" w:cs="宋体"/>
                <w:color w:val="FF0000"/>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3E70">
            <w:pPr>
              <w:spacing w:beforeLines="0" w:afterLines="0"/>
              <w:jc w:val="left"/>
              <w:outlineLvl w:val="9"/>
              <w:rPr>
                <w:rFonts w:hint="eastAsia" w:hAnsi="宋体" w:eastAsia="宋体" w:cs="宋体"/>
                <w:color w:val="FF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7274">
            <w:pPr>
              <w:spacing w:beforeLines="0" w:afterLines="0"/>
              <w:jc w:val="center"/>
              <w:outlineLvl w:val="9"/>
              <w:rPr>
                <w:rFonts w:hint="eastAsia" w:hAnsi="宋体" w:eastAsia="宋体" w:cs="宋体"/>
                <w:color w:val="FF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E6D2">
            <w:pPr>
              <w:spacing w:beforeLines="0" w:afterLines="0"/>
              <w:jc w:val="center"/>
              <w:outlineLvl w:val="9"/>
              <w:rPr>
                <w:rFonts w:hint="eastAsia" w:hAnsi="宋体" w:eastAsia="宋体" w:cs="宋体"/>
                <w:color w:val="FF0000"/>
                <w:sz w:val="22"/>
                <w:szCs w:val="22"/>
              </w:rPr>
            </w:pPr>
          </w:p>
        </w:tc>
      </w:tr>
    </w:tbl>
    <w:p w14:paraId="0C0ED0FC">
      <w:pPr>
        <w:snapToGrid w:val="0"/>
        <w:spacing w:beforeLines="0" w:afterLines="0"/>
        <w:ind w:firstLine="204" w:firstLineChars="85"/>
        <w:outlineLvl w:val="9"/>
        <w:rPr>
          <w:rFonts w:hint="eastAsia" w:ascii="宋体" w:hAnsi="宋体" w:eastAsia="宋体" w:cs="宋体"/>
          <w:sz w:val="24"/>
          <w:szCs w:val="24"/>
        </w:rPr>
      </w:pPr>
    </w:p>
    <w:p w14:paraId="05989D3D">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供应商全称（加盖公章）：</w:t>
      </w:r>
    </w:p>
    <w:p w14:paraId="5D14DA7F">
      <w:pPr>
        <w:snapToGrid w:val="0"/>
        <w:spacing w:beforeLines="0" w:afterLines="0"/>
        <w:ind w:firstLine="204" w:firstLineChars="85"/>
        <w:outlineLvl w:val="9"/>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5F411AFA">
      <w:pPr>
        <w:snapToGrid w:val="0"/>
        <w:spacing w:beforeLines="0" w:afterLines="0"/>
        <w:ind w:firstLine="204" w:firstLineChars="85"/>
        <w:jc w:val="left"/>
        <w:outlineLvl w:val="9"/>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3950D4C8">
      <w:pPr>
        <w:snapToGrid w:val="0"/>
        <w:spacing w:beforeLines="0" w:afterLines="0"/>
        <w:ind w:firstLine="204" w:firstLineChars="85"/>
        <w:jc w:val="left"/>
        <w:outlineLvl w:val="9"/>
        <w:rPr>
          <w:rFonts w:hint="eastAsia" w:ascii="宋体" w:hAnsi="宋体" w:eastAsia="宋体" w:cs="宋体"/>
          <w:bCs/>
          <w:sz w:val="24"/>
          <w:szCs w:val="24"/>
        </w:rPr>
      </w:pPr>
    </w:p>
    <w:p w14:paraId="785C933A">
      <w:pPr>
        <w:spacing w:beforeLines="0" w:afterLines="0"/>
        <w:jc w:val="left"/>
        <w:outlineLvl w:val="9"/>
        <w:rPr>
          <w:rFonts w:hint="eastAsia" w:ascii="宋体" w:hAnsi="宋体" w:eastAsia="宋体" w:cs="宋体"/>
          <w:b/>
          <w:sz w:val="24"/>
        </w:rPr>
        <w:sectPr>
          <w:pgSz w:w="11906" w:h="16838"/>
          <w:pgMar w:top="1440" w:right="1800" w:bottom="1440" w:left="1800" w:header="851" w:footer="992" w:gutter="0"/>
          <w:cols w:space="425" w:num="1"/>
          <w:docGrid w:type="lines" w:linePitch="312" w:charSpace="0"/>
        </w:sectPr>
      </w:pPr>
    </w:p>
    <w:p w14:paraId="72748C90">
      <w:pPr>
        <w:spacing w:beforeLines="0" w:afterLines="0"/>
        <w:jc w:val="left"/>
        <w:outlineLvl w:val="9"/>
        <w:rPr>
          <w:rFonts w:hint="eastAsia" w:ascii="宋体" w:hAnsi="宋体" w:eastAsia="宋体" w:cs="宋体"/>
          <w:b/>
          <w:sz w:val="24"/>
        </w:rPr>
      </w:pPr>
      <w:r>
        <w:rPr>
          <w:rFonts w:hint="eastAsia" w:ascii="宋体" w:hAnsi="宋体" w:eastAsia="宋体" w:cs="宋体"/>
          <w:b/>
          <w:sz w:val="24"/>
        </w:rPr>
        <w:t>格式1</w:t>
      </w:r>
      <w:r>
        <w:rPr>
          <w:rFonts w:hint="eastAsia" w:hAnsi="宋体" w:eastAsia="宋体" w:cs="宋体"/>
          <w:b/>
          <w:sz w:val="24"/>
          <w:lang w:val="en-US" w:eastAsia="zh-CN"/>
        </w:rPr>
        <w:t>3</w:t>
      </w:r>
      <w:r>
        <w:rPr>
          <w:rFonts w:hint="eastAsia" w:ascii="宋体" w:hAnsi="宋体" w:eastAsia="宋体" w:cs="宋体"/>
          <w:b/>
          <w:sz w:val="24"/>
          <w:lang w:val="en-US" w:eastAsia="zh-CN"/>
        </w:rPr>
        <w:t xml:space="preserve">  其</w:t>
      </w:r>
      <w:r>
        <w:rPr>
          <w:rFonts w:hint="eastAsia" w:hAnsi="宋体" w:eastAsia="宋体" w:cs="宋体"/>
          <w:b/>
          <w:sz w:val="24"/>
          <w:lang w:val="en-US" w:eastAsia="zh-CN"/>
        </w:rPr>
        <w:t>他</w:t>
      </w:r>
      <w:r>
        <w:rPr>
          <w:rFonts w:hint="eastAsia" w:ascii="宋体" w:hAnsi="宋体" w:eastAsia="宋体" w:cs="宋体"/>
          <w:b/>
          <w:sz w:val="24"/>
          <w:lang w:val="en-US" w:eastAsia="zh-CN"/>
        </w:rPr>
        <w:t>必要的证明文件（包括但不限于企业情况、质量控制、服务方案等）</w:t>
      </w:r>
    </w:p>
    <w:p w14:paraId="02E1A603">
      <w:pPr>
        <w:spacing w:beforeLines="0" w:afterLines="0"/>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对照各标段评分因素分段编写，格式自拟。</w:t>
      </w:r>
    </w:p>
    <w:p w14:paraId="0BAC3132">
      <w:pPr>
        <w:widowControl/>
        <w:adjustRightInd/>
        <w:spacing w:beforeLines="0" w:afterLines="0" w:line="360" w:lineRule="auto"/>
        <w:jc w:val="center"/>
        <w:textAlignment w:val="auto"/>
        <w:outlineLvl w:val="9"/>
        <w:rPr>
          <w:rFonts w:hint="eastAsia" w:hAnsi="宋体" w:eastAsia="宋体" w:cs="宋体"/>
          <w:b/>
          <w:bCs/>
          <w:sz w:val="32"/>
          <w:szCs w:val="32"/>
        </w:rPr>
        <w:sectPr>
          <w:footerReference r:id="rId6" w:type="default"/>
          <w:footnotePr>
            <w:numFmt w:val="decimalEnclosedCircleChinese"/>
          </w:footnotePr>
          <w:pgSz w:w="11906" w:h="16838"/>
          <w:pgMar w:top="1418" w:right="1418" w:bottom="1418" w:left="1418" w:header="567" w:footer="567" w:gutter="0"/>
          <w:cols w:space="720" w:num="1"/>
          <w:docGrid w:linePitch="312" w:charSpace="0"/>
        </w:sectPr>
      </w:pPr>
    </w:p>
    <w:p w14:paraId="26FF92F6">
      <w:pPr>
        <w:widowControl/>
        <w:adjustRightInd/>
        <w:spacing w:beforeLines="0" w:afterLines="0" w:line="360" w:lineRule="auto"/>
        <w:jc w:val="center"/>
        <w:textAlignment w:val="auto"/>
        <w:outlineLvl w:val="9"/>
        <w:rPr>
          <w:rFonts w:hint="eastAsia" w:hAnsi="宋体" w:eastAsia="宋体" w:cs="宋体"/>
          <w:b/>
          <w:bCs/>
          <w:sz w:val="32"/>
          <w:szCs w:val="32"/>
        </w:rPr>
      </w:pPr>
      <w:r>
        <w:rPr>
          <w:rFonts w:hint="eastAsia" w:hAnsi="宋体" w:eastAsia="宋体" w:cs="宋体"/>
          <w:b/>
          <w:bCs/>
          <w:sz w:val="32"/>
          <w:szCs w:val="32"/>
        </w:rPr>
        <w:t>异议函格式</w:t>
      </w:r>
    </w:p>
    <w:p w14:paraId="64AACE22">
      <w:pPr>
        <w:snapToGrid w:val="0"/>
        <w:spacing w:before="0" w:beforeLines="0" w:afterLines="0"/>
        <w:outlineLvl w:val="9"/>
        <w:rPr>
          <w:rFonts w:hint="eastAsia" w:hAnsi="宋体" w:eastAsia="宋体" w:cs="宋体"/>
          <w:bCs/>
          <w:sz w:val="24"/>
          <w:szCs w:val="24"/>
        </w:rPr>
      </w:pPr>
      <w:r>
        <w:rPr>
          <w:rFonts w:hint="eastAsia" w:hAnsi="宋体" w:eastAsia="宋体" w:cs="宋体"/>
          <w:bCs/>
          <w:sz w:val="24"/>
          <w:szCs w:val="24"/>
        </w:rPr>
        <w:t>一、异议供应商基本信息</w:t>
      </w:r>
    </w:p>
    <w:p w14:paraId="344DF78D">
      <w:pPr>
        <w:snapToGrid w:val="0"/>
        <w:spacing w:beforeLines="0" w:afterLines="0"/>
        <w:outlineLvl w:val="9"/>
        <w:rPr>
          <w:rFonts w:hint="eastAsia" w:hAnsi="宋体" w:eastAsia="宋体" w:cs="宋体"/>
          <w:sz w:val="24"/>
          <w:szCs w:val="24"/>
          <w:u w:val="dotted"/>
        </w:rPr>
      </w:pPr>
      <w:r>
        <w:rPr>
          <w:rFonts w:hint="eastAsia" w:hAnsi="宋体" w:eastAsia="宋体" w:cs="宋体"/>
          <w:sz w:val="24"/>
          <w:szCs w:val="24"/>
        </w:rPr>
        <w:t>异议供应商：</w:t>
      </w:r>
      <w:r>
        <w:rPr>
          <w:rFonts w:hint="eastAsia" w:hAnsi="宋体" w:eastAsia="宋体" w:cs="宋体"/>
          <w:sz w:val="24"/>
          <w:szCs w:val="24"/>
          <w:u w:val="dotted"/>
        </w:rPr>
        <w:t xml:space="preserve">                                                              </w:t>
      </w:r>
    </w:p>
    <w:p w14:paraId="27F888D5">
      <w:pPr>
        <w:snapToGrid w:val="0"/>
        <w:spacing w:beforeLines="0" w:afterLines="0"/>
        <w:outlineLvl w:val="9"/>
        <w:rPr>
          <w:rFonts w:hint="eastAsia" w:hAnsi="宋体" w:eastAsia="宋体" w:cs="宋体"/>
          <w:sz w:val="24"/>
          <w:szCs w:val="24"/>
        </w:rPr>
      </w:pPr>
      <w:r>
        <w:rPr>
          <w:rFonts w:hint="eastAsia" w:hAnsi="宋体" w:eastAsia="宋体" w:cs="宋体"/>
          <w:sz w:val="24"/>
          <w:szCs w:val="24"/>
        </w:rPr>
        <w:t>地址：</w:t>
      </w:r>
      <w:r>
        <w:rPr>
          <w:rFonts w:hint="eastAsia" w:hAnsi="宋体" w:eastAsia="宋体" w:cs="宋体"/>
          <w:sz w:val="24"/>
          <w:szCs w:val="24"/>
          <w:u w:val="dotted"/>
        </w:rPr>
        <w:t xml:space="preserve">                             </w:t>
      </w:r>
      <w:r>
        <w:rPr>
          <w:rFonts w:hint="eastAsia" w:hAnsi="宋体" w:eastAsia="宋体" w:cs="宋体"/>
          <w:sz w:val="24"/>
          <w:szCs w:val="24"/>
        </w:rPr>
        <w:t>邮编：</w:t>
      </w:r>
      <w:r>
        <w:rPr>
          <w:rFonts w:hint="eastAsia" w:hAnsi="宋体" w:eastAsia="宋体" w:cs="宋体"/>
          <w:sz w:val="24"/>
          <w:szCs w:val="24"/>
          <w:u w:val="dotted"/>
        </w:rPr>
        <w:t xml:space="preserve">                                    </w:t>
      </w:r>
    </w:p>
    <w:p w14:paraId="50127449">
      <w:pPr>
        <w:snapToGrid w:val="0"/>
        <w:spacing w:beforeLines="0" w:afterLines="0"/>
        <w:outlineLvl w:val="9"/>
        <w:rPr>
          <w:rFonts w:hint="eastAsia" w:hAnsi="宋体" w:eastAsia="宋体" w:cs="宋体"/>
          <w:sz w:val="24"/>
          <w:szCs w:val="24"/>
        </w:rPr>
      </w:pPr>
      <w:r>
        <w:rPr>
          <w:rFonts w:hint="eastAsia" w:hAnsi="宋体" w:eastAsia="宋体" w:cs="宋体"/>
          <w:sz w:val="24"/>
          <w:szCs w:val="24"/>
        </w:rPr>
        <w:t>联系人：</w:t>
      </w:r>
      <w:r>
        <w:rPr>
          <w:rFonts w:hint="eastAsia" w:hAnsi="宋体" w:eastAsia="宋体" w:cs="宋体"/>
          <w:sz w:val="24"/>
          <w:szCs w:val="24"/>
          <w:u w:val="dotted"/>
        </w:rPr>
        <w:t xml:space="preserve">                      </w:t>
      </w:r>
      <w:r>
        <w:rPr>
          <w:rFonts w:hint="eastAsia" w:hAnsi="宋体" w:eastAsia="宋体" w:cs="宋体"/>
          <w:sz w:val="24"/>
          <w:szCs w:val="24"/>
        </w:rPr>
        <w:t>联系电话：</w:t>
      </w:r>
      <w:r>
        <w:rPr>
          <w:rFonts w:hint="eastAsia" w:hAnsi="宋体" w:eastAsia="宋体" w:cs="宋体"/>
          <w:sz w:val="24"/>
          <w:szCs w:val="24"/>
          <w:u w:val="dotted"/>
        </w:rPr>
        <w:t xml:space="preserve">                                       </w:t>
      </w:r>
    </w:p>
    <w:p w14:paraId="1F34A623">
      <w:pPr>
        <w:snapToGrid w:val="0"/>
        <w:spacing w:beforeLines="0" w:afterLines="0"/>
        <w:outlineLvl w:val="9"/>
        <w:rPr>
          <w:rFonts w:hint="eastAsia" w:hAnsi="宋体" w:eastAsia="宋体" w:cs="宋体"/>
          <w:sz w:val="24"/>
          <w:szCs w:val="24"/>
          <w:u w:val="dotted"/>
        </w:rPr>
      </w:pPr>
      <w:r>
        <w:rPr>
          <w:rFonts w:hint="eastAsia" w:hAnsi="宋体" w:eastAsia="宋体" w:cs="宋体"/>
          <w:sz w:val="24"/>
          <w:szCs w:val="24"/>
        </w:rPr>
        <w:t>授权代表：</w:t>
      </w:r>
      <w:r>
        <w:rPr>
          <w:rFonts w:hint="eastAsia" w:hAnsi="宋体" w:eastAsia="宋体" w:cs="宋体"/>
          <w:sz w:val="24"/>
          <w:szCs w:val="24"/>
          <w:u w:val="dotted"/>
        </w:rPr>
        <w:t xml:space="preserve">                                                                 </w:t>
      </w:r>
    </w:p>
    <w:p w14:paraId="6D833ACB">
      <w:pPr>
        <w:snapToGrid w:val="0"/>
        <w:spacing w:beforeLines="0" w:afterLines="0"/>
        <w:outlineLvl w:val="9"/>
        <w:rPr>
          <w:rFonts w:hint="eastAsia" w:hAnsi="宋体" w:eastAsia="宋体" w:cs="宋体"/>
          <w:sz w:val="24"/>
          <w:szCs w:val="24"/>
        </w:rPr>
      </w:pPr>
      <w:r>
        <w:rPr>
          <w:rFonts w:hint="eastAsia" w:hAnsi="宋体" w:eastAsia="宋体" w:cs="宋体"/>
          <w:sz w:val="24"/>
          <w:szCs w:val="24"/>
        </w:rPr>
        <w:t>联系电话：</w:t>
      </w:r>
      <w:r>
        <w:rPr>
          <w:rFonts w:hint="eastAsia" w:hAnsi="宋体" w:eastAsia="宋体" w:cs="宋体"/>
          <w:sz w:val="24"/>
          <w:szCs w:val="24"/>
          <w:u w:val="dotted"/>
        </w:rPr>
        <w:t xml:space="preserve">                                                                </w:t>
      </w:r>
    </w:p>
    <w:p w14:paraId="5F3B323D">
      <w:pPr>
        <w:snapToGrid w:val="0"/>
        <w:spacing w:beforeLines="0" w:afterLines="0"/>
        <w:outlineLvl w:val="9"/>
        <w:rPr>
          <w:rFonts w:hint="eastAsia" w:hAnsi="宋体" w:eastAsia="宋体" w:cs="宋体"/>
          <w:sz w:val="24"/>
          <w:szCs w:val="24"/>
        </w:rPr>
      </w:pPr>
      <w:r>
        <w:rPr>
          <w:rFonts w:hint="eastAsia" w:hAnsi="宋体" w:eastAsia="宋体" w:cs="宋体"/>
          <w:sz w:val="24"/>
          <w:szCs w:val="24"/>
        </w:rPr>
        <w:t xml:space="preserve">地址： </w:t>
      </w:r>
      <w:r>
        <w:rPr>
          <w:rFonts w:hint="eastAsia" w:hAnsi="宋体" w:eastAsia="宋体" w:cs="宋体"/>
          <w:sz w:val="24"/>
          <w:szCs w:val="24"/>
          <w:u w:val="dotted"/>
        </w:rPr>
        <w:t xml:space="preserve">                        </w:t>
      </w:r>
      <w:r>
        <w:rPr>
          <w:rFonts w:hint="eastAsia" w:hAnsi="宋体" w:eastAsia="宋体" w:cs="宋体"/>
          <w:sz w:val="24"/>
          <w:szCs w:val="24"/>
        </w:rPr>
        <w:t>邮编：</w:t>
      </w:r>
      <w:r>
        <w:rPr>
          <w:rFonts w:hint="eastAsia" w:hAnsi="宋体" w:eastAsia="宋体" w:cs="宋体"/>
          <w:sz w:val="24"/>
          <w:szCs w:val="24"/>
          <w:u w:val="dotted"/>
        </w:rPr>
        <w:t xml:space="preserve">                                     </w:t>
      </w:r>
    </w:p>
    <w:p w14:paraId="5C88CEEF">
      <w:pPr>
        <w:snapToGrid w:val="0"/>
        <w:spacing w:beforeLines="0" w:afterLines="0"/>
        <w:outlineLvl w:val="9"/>
        <w:rPr>
          <w:rFonts w:hint="eastAsia" w:hAnsi="宋体" w:eastAsia="宋体" w:cs="宋体"/>
          <w:bCs/>
          <w:sz w:val="24"/>
          <w:szCs w:val="24"/>
        </w:rPr>
      </w:pPr>
      <w:r>
        <w:rPr>
          <w:rFonts w:hint="eastAsia" w:hAnsi="宋体" w:eastAsia="宋体" w:cs="宋体"/>
          <w:bCs/>
          <w:sz w:val="24"/>
          <w:szCs w:val="24"/>
        </w:rPr>
        <w:t>二、异议项目基本情况</w:t>
      </w:r>
    </w:p>
    <w:p w14:paraId="42F870BD">
      <w:pPr>
        <w:snapToGrid w:val="0"/>
        <w:spacing w:beforeLines="0" w:afterLines="0"/>
        <w:outlineLvl w:val="9"/>
        <w:rPr>
          <w:rFonts w:hint="eastAsia" w:hAnsi="宋体" w:eastAsia="宋体" w:cs="宋体"/>
          <w:sz w:val="24"/>
          <w:szCs w:val="24"/>
        </w:rPr>
      </w:pPr>
      <w:r>
        <w:rPr>
          <w:rFonts w:hint="eastAsia" w:hAnsi="宋体" w:eastAsia="宋体" w:cs="宋体"/>
          <w:sz w:val="24"/>
          <w:szCs w:val="24"/>
        </w:rPr>
        <w:t>异议项目的名称：</w:t>
      </w:r>
      <w:r>
        <w:rPr>
          <w:rFonts w:hint="eastAsia" w:hAnsi="宋体" w:eastAsia="宋体" w:cs="宋体"/>
          <w:sz w:val="24"/>
          <w:szCs w:val="24"/>
          <w:u w:val="dotted"/>
        </w:rPr>
        <w:t xml:space="preserve">                                                          </w:t>
      </w:r>
    </w:p>
    <w:p w14:paraId="31F12645">
      <w:pPr>
        <w:snapToGrid w:val="0"/>
        <w:spacing w:beforeLines="0" w:afterLines="0"/>
        <w:outlineLvl w:val="9"/>
        <w:rPr>
          <w:rFonts w:hint="eastAsia" w:hAnsi="宋体" w:eastAsia="宋体" w:cs="宋体"/>
          <w:sz w:val="24"/>
          <w:szCs w:val="24"/>
        </w:rPr>
      </w:pPr>
      <w:r>
        <w:rPr>
          <w:rFonts w:hint="eastAsia" w:hAnsi="宋体" w:eastAsia="宋体" w:cs="宋体"/>
          <w:sz w:val="24"/>
          <w:szCs w:val="24"/>
        </w:rPr>
        <w:t>异议项目的编号：</w:t>
      </w:r>
      <w:r>
        <w:rPr>
          <w:rFonts w:hint="eastAsia" w:hAnsi="宋体" w:eastAsia="宋体" w:cs="宋体"/>
          <w:sz w:val="24"/>
          <w:szCs w:val="24"/>
          <w:u w:val="dotted"/>
        </w:rPr>
        <w:t xml:space="preserve">                         </w:t>
      </w:r>
      <w:r>
        <w:rPr>
          <w:rFonts w:hint="eastAsia" w:hAnsi="宋体" w:eastAsia="宋体" w:cs="宋体"/>
          <w:sz w:val="24"/>
          <w:szCs w:val="24"/>
        </w:rPr>
        <w:t>标段号：</w:t>
      </w:r>
      <w:r>
        <w:rPr>
          <w:rFonts w:hint="eastAsia" w:hAnsi="宋体" w:eastAsia="宋体" w:cs="宋体"/>
          <w:sz w:val="24"/>
          <w:szCs w:val="24"/>
          <w:u w:val="dotted"/>
        </w:rPr>
        <w:t xml:space="preserve">                           </w:t>
      </w:r>
    </w:p>
    <w:p w14:paraId="78B06EC0">
      <w:pPr>
        <w:snapToGrid w:val="0"/>
        <w:spacing w:beforeLines="0" w:afterLines="0"/>
        <w:outlineLvl w:val="9"/>
        <w:rPr>
          <w:rFonts w:hint="eastAsia" w:hAnsi="宋体" w:eastAsia="宋体" w:cs="宋体"/>
          <w:sz w:val="24"/>
          <w:szCs w:val="24"/>
          <w:u w:val="dotted"/>
        </w:rPr>
      </w:pPr>
      <w:r>
        <w:rPr>
          <w:rFonts w:hint="eastAsia" w:hAnsi="宋体" w:eastAsia="宋体" w:cs="宋体"/>
          <w:sz w:val="24"/>
          <w:szCs w:val="24"/>
        </w:rPr>
        <w:t>采购人名称：</w:t>
      </w:r>
      <w:r>
        <w:rPr>
          <w:rFonts w:hint="eastAsia" w:hAnsi="宋体" w:eastAsia="宋体" w:cs="宋体"/>
          <w:sz w:val="24"/>
          <w:szCs w:val="24"/>
          <w:u w:val="dotted"/>
        </w:rPr>
        <w:t xml:space="preserve">                                                              </w:t>
      </w:r>
    </w:p>
    <w:p w14:paraId="578C2572">
      <w:pPr>
        <w:snapToGrid w:val="0"/>
        <w:spacing w:beforeLines="0" w:afterLines="0"/>
        <w:outlineLvl w:val="9"/>
        <w:rPr>
          <w:rFonts w:hint="eastAsia" w:hAnsi="宋体" w:eastAsia="宋体" w:cs="宋体"/>
          <w:sz w:val="24"/>
          <w:szCs w:val="24"/>
        </w:rPr>
      </w:pPr>
      <w:r>
        <w:rPr>
          <w:rFonts w:hint="eastAsia" w:hAnsi="宋体" w:eastAsia="宋体" w:cs="宋体"/>
          <w:sz w:val="24"/>
          <w:szCs w:val="24"/>
        </w:rPr>
        <w:t>磋商文件获取日期：</w:t>
      </w:r>
      <w:r>
        <w:rPr>
          <w:rFonts w:hint="eastAsia" w:hAnsi="宋体" w:eastAsia="宋体" w:cs="宋体"/>
          <w:sz w:val="24"/>
          <w:szCs w:val="24"/>
          <w:u w:val="dotted"/>
        </w:rPr>
        <w:t xml:space="preserve">                                                        </w:t>
      </w:r>
    </w:p>
    <w:p w14:paraId="321803C8">
      <w:pPr>
        <w:snapToGrid w:val="0"/>
        <w:spacing w:beforeLines="0" w:afterLines="0"/>
        <w:outlineLvl w:val="9"/>
        <w:rPr>
          <w:rFonts w:hint="eastAsia" w:hAnsi="宋体" w:eastAsia="宋体" w:cs="宋体"/>
          <w:bCs/>
          <w:sz w:val="24"/>
          <w:szCs w:val="24"/>
        </w:rPr>
      </w:pPr>
      <w:r>
        <w:rPr>
          <w:rFonts w:hint="eastAsia" w:hAnsi="宋体" w:eastAsia="宋体" w:cs="宋体"/>
          <w:bCs/>
          <w:sz w:val="24"/>
          <w:szCs w:val="24"/>
        </w:rPr>
        <w:t>三、异议事项具体内容</w:t>
      </w:r>
    </w:p>
    <w:p w14:paraId="62F49105">
      <w:pPr>
        <w:snapToGrid w:val="0"/>
        <w:spacing w:beforeLines="0" w:afterLines="0"/>
        <w:outlineLvl w:val="9"/>
        <w:rPr>
          <w:rFonts w:hint="eastAsia" w:hAnsi="宋体" w:eastAsia="宋体" w:cs="宋体"/>
          <w:sz w:val="24"/>
          <w:szCs w:val="24"/>
          <w:u w:val="dotted"/>
        </w:rPr>
      </w:pPr>
      <w:r>
        <w:rPr>
          <w:rFonts w:hint="eastAsia" w:hAnsi="宋体" w:eastAsia="宋体" w:cs="宋体"/>
          <w:sz w:val="24"/>
          <w:szCs w:val="24"/>
        </w:rPr>
        <w:t>异议事项1：</w:t>
      </w:r>
      <w:r>
        <w:rPr>
          <w:rFonts w:hint="eastAsia" w:hAnsi="宋体" w:eastAsia="宋体" w:cs="宋体"/>
          <w:sz w:val="24"/>
          <w:szCs w:val="24"/>
          <w:u w:val="dotted"/>
        </w:rPr>
        <w:t xml:space="preserve">                                                              </w:t>
      </w:r>
    </w:p>
    <w:p w14:paraId="2651D035">
      <w:pPr>
        <w:snapToGrid w:val="0"/>
        <w:spacing w:beforeLines="0" w:afterLines="0"/>
        <w:outlineLvl w:val="9"/>
        <w:rPr>
          <w:rFonts w:hint="eastAsia" w:hAnsi="宋体" w:eastAsia="宋体" w:cs="宋体"/>
          <w:sz w:val="24"/>
          <w:szCs w:val="24"/>
          <w:u w:val="dotted"/>
        </w:rPr>
      </w:pPr>
      <w:r>
        <w:rPr>
          <w:rFonts w:hint="eastAsia" w:hAnsi="宋体" w:eastAsia="宋体" w:cs="宋体"/>
          <w:sz w:val="24"/>
          <w:szCs w:val="24"/>
        </w:rPr>
        <w:t>事实依据：</w:t>
      </w:r>
      <w:r>
        <w:rPr>
          <w:rFonts w:hint="eastAsia" w:hAnsi="宋体" w:eastAsia="宋体" w:cs="宋体"/>
          <w:sz w:val="24"/>
          <w:szCs w:val="24"/>
          <w:u w:val="dotted"/>
        </w:rPr>
        <w:t xml:space="preserve">                                                                </w:t>
      </w:r>
    </w:p>
    <w:p w14:paraId="7DD68566">
      <w:pPr>
        <w:snapToGrid w:val="0"/>
        <w:spacing w:beforeLines="0" w:afterLines="0"/>
        <w:outlineLvl w:val="9"/>
        <w:rPr>
          <w:rFonts w:hint="eastAsia" w:hAnsi="宋体" w:eastAsia="宋体" w:cs="宋体"/>
          <w:sz w:val="24"/>
          <w:szCs w:val="24"/>
        </w:rPr>
      </w:pPr>
      <w:r>
        <w:rPr>
          <w:rFonts w:hint="eastAsia" w:hAnsi="宋体" w:eastAsia="宋体" w:cs="宋体"/>
          <w:sz w:val="24"/>
          <w:szCs w:val="24"/>
          <w:u w:val="dotted"/>
        </w:rPr>
        <w:t xml:space="preserve">                                                                           </w:t>
      </w:r>
    </w:p>
    <w:p w14:paraId="3646AE96">
      <w:pPr>
        <w:snapToGrid w:val="0"/>
        <w:spacing w:beforeLines="0" w:afterLines="0"/>
        <w:outlineLvl w:val="9"/>
        <w:rPr>
          <w:rFonts w:hint="eastAsia" w:hAnsi="宋体" w:eastAsia="宋体" w:cs="宋体"/>
          <w:sz w:val="24"/>
          <w:szCs w:val="24"/>
          <w:u w:val="dotted"/>
        </w:rPr>
      </w:pPr>
      <w:r>
        <w:rPr>
          <w:rFonts w:hint="eastAsia" w:hAnsi="宋体" w:eastAsia="宋体" w:cs="宋体"/>
          <w:sz w:val="24"/>
          <w:szCs w:val="24"/>
        </w:rPr>
        <w:t>法律依据：</w:t>
      </w:r>
      <w:r>
        <w:rPr>
          <w:rFonts w:hint="eastAsia" w:hAnsi="宋体" w:eastAsia="宋体" w:cs="宋体"/>
          <w:sz w:val="24"/>
          <w:szCs w:val="24"/>
          <w:u w:val="dotted"/>
        </w:rPr>
        <w:t xml:space="preserve">                                                                 </w:t>
      </w:r>
    </w:p>
    <w:p w14:paraId="7B2EA258">
      <w:pPr>
        <w:snapToGrid w:val="0"/>
        <w:spacing w:beforeLines="0" w:afterLines="0"/>
        <w:outlineLvl w:val="9"/>
        <w:rPr>
          <w:rFonts w:hint="eastAsia" w:hAnsi="宋体" w:eastAsia="宋体" w:cs="宋体"/>
          <w:sz w:val="24"/>
          <w:szCs w:val="24"/>
          <w:u w:val="dotted"/>
        </w:rPr>
      </w:pPr>
      <w:r>
        <w:rPr>
          <w:rFonts w:hint="eastAsia" w:hAnsi="宋体" w:eastAsia="宋体" w:cs="宋体"/>
          <w:sz w:val="24"/>
          <w:szCs w:val="24"/>
          <w:u w:val="dotted"/>
        </w:rPr>
        <w:t xml:space="preserve">                                                                           </w:t>
      </w:r>
    </w:p>
    <w:p w14:paraId="4B33EF6F">
      <w:pPr>
        <w:snapToGrid w:val="0"/>
        <w:spacing w:beforeLines="0" w:afterLines="0"/>
        <w:outlineLvl w:val="9"/>
        <w:rPr>
          <w:rFonts w:hint="eastAsia" w:hAnsi="宋体" w:eastAsia="宋体" w:cs="宋体"/>
          <w:sz w:val="24"/>
          <w:szCs w:val="24"/>
          <w:u w:val="dotted"/>
        </w:rPr>
      </w:pPr>
      <w:r>
        <w:rPr>
          <w:rFonts w:hint="eastAsia" w:hAnsi="宋体" w:eastAsia="宋体" w:cs="宋体"/>
          <w:sz w:val="24"/>
          <w:szCs w:val="24"/>
        </w:rPr>
        <w:t>异议事项2</w:t>
      </w:r>
    </w:p>
    <w:p w14:paraId="61B5AC0A">
      <w:pPr>
        <w:snapToGrid w:val="0"/>
        <w:spacing w:beforeLines="0" w:afterLines="0"/>
        <w:outlineLvl w:val="9"/>
        <w:rPr>
          <w:rFonts w:hint="eastAsia" w:hAnsi="宋体" w:eastAsia="宋体" w:cs="宋体"/>
          <w:sz w:val="24"/>
          <w:szCs w:val="24"/>
        </w:rPr>
      </w:pPr>
      <w:r>
        <w:rPr>
          <w:rFonts w:hint="eastAsia" w:hAnsi="宋体" w:eastAsia="宋体" w:cs="宋体"/>
          <w:sz w:val="24"/>
          <w:szCs w:val="24"/>
        </w:rPr>
        <w:t>……</w:t>
      </w:r>
    </w:p>
    <w:p w14:paraId="4E43C952">
      <w:pPr>
        <w:snapToGrid w:val="0"/>
        <w:spacing w:beforeLines="0" w:afterLines="0"/>
        <w:outlineLvl w:val="9"/>
        <w:rPr>
          <w:rFonts w:hint="eastAsia" w:hAnsi="宋体" w:eastAsia="宋体" w:cs="宋体"/>
          <w:bCs/>
          <w:sz w:val="24"/>
          <w:szCs w:val="24"/>
        </w:rPr>
      </w:pPr>
      <w:r>
        <w:rPr>
          <w:rFonts w:hint="eastAsia" w:hAnsi="宋体" w:eastAsia="宋体" w:cs="宋体"/>
          <w:bCs/>
          <w:sz w:val="24"/>
          <w:szCs w:val="24"/>
        </w:rPr>
        <w:t>四、与异议事项相关的请求</w:t>
      </w:r>
    </w:p>
    <w:p w14:paraId="72A3E6E1">
      <w:pPr>
        <w:snapToGrid w:val="0"/>
        <w:spacing w:beforeLines="0" w:afterLines="0"/>
        <w:outlineLvl w:val="9"/>
        <w:rPr>
          <w:rFonts w:hint="eastAsia" w:hAnsi="宋体" w:eastAsia="宋体" w:cs="宋体"/>
          <w:sz w:val="24"/>
          <w:szCs w:val="24"/>
          <w:u w:val="dotted"/>
        </w:rPr>
      </w:pPr>
      <w:r>
        <w:rPr>
          <w:rFonts w:hint="eastAsia" w:hAnsi="宋体" w:eastAsia="宋体" w:cs="宋体"/>
          <w:sz w:val="24"/>
          <w:szCs w:val="24"/>
        </w:rPr>
        <w:t>请求：</w:t>
      </w:r>
      <w:r>
        <w:rPr>
          <w:rFonts w:hint="eastAsia" w:hAnsi="宋体" w:eastAsia="宋体" w:cs="宋体"/>
          <w:sz w:val="24"/>
          <w:szCs w:val="24"/>
          <w:u w:val="dotted"/>
        </w:rPr>
        <w:t xml:space="preserve">                                                                     </w:t>
      </w:r>
    </w:p>
    <w:p w14:paraId="7EA426CB">
      <w:pPr>
        <w:snapToGrid w:val="0"/>
        <w:spacing w:beforeLines="0" w:afterLines="0"/>
        <w:outlineLvl w:val="9"/>
        <w:rPr>
          <w:rFonts w:hint="eastAsia" w:hAnsi="宋体" w:eastAsia="宋体" w:cs="宋体"/>
          <w:sz w:val="24"/>
          <w:szCs w:val="24"/>
        </w:rPr>
      </w:pPr>
      <w:r>
        <w:rPr>
          <w:rFonts w:hint="eastAsia" w:hAnsi="宋体" w:eastAsia="宋体" w:cs="宋体"/>
          <w:sz w:val="24"/>
          <w:szCs w:val="24"/>
        </w:rPr>
        <w:t xml:space="preserve">签字(签章)：                   公章：                      </w:t>
      </w:r>
    </w:p>
    <w:p w14:paraId="36EFFF33">
      <w:pPr>
        <w:snapToGrid w:val="0"/>
        <w:spacing w:beforeLines="0" w:afterLines="0"/>
        <w:outlineLvl w:val="9"/>
        <w:rPr>
          <w:rFonts w:hint="eastAsia" w:hAnsi="宋体" w:eastAsia="宋体" w:cs="宋体"/>
          <w:sz w:val="24"/>
          <w:szCs w:val="24"/>
        </w:rPr>
      </w:pPr>
      <w:r>
        <w:rPr>
          <w:rFonts w:hint="eastAsia" w:hAnsi="宋体" w:eastAsia="宋体" w:cs="宋体"/>
          <w:sz w:val="24"/>
          <w:szCs w:val="24"/>
        </w:rPr>
        <w:t xml:space="preserve">日期：    </w:t>
      </w:r>
    </w:p>
    <w:p w14:paraId="0BC622D7">
      <w:pPr>
        <w:snapToGrid w:val="0"/>
        <w:spacing w:beforeLines="0" w:afterLines="0"/>
        <w:outlineLvl w:val="9"/>
        <w:rPr>
          <w:rFonts w:hint="eastAsia" w:hAnsi="宋体" w:eastAsia="宋体" w:cs="宋体"/>
          <w:b/>
          <w:sz w:val="24"/>
          <w:szCs w:val="24"/>
        </w:rPr>
      </w:pPr>
      <w:r>
        <w:rPr>
          <w:rFonts w:hint="eastAsia" w:hAnsi="宋体" w:eastAsia="宋体" w:cs="宋体"/>
          <w:b/>
          <w:sz w:val="24"/>
          <w:szCs w:val="24"/>
        </w:rPr>
        <w:t>异议函制作说明：</w:t>
      </w:r>
    </w:p>
    <w:p w14:paraId="64977113">
      <w:pPr>
        <w:widowControl/>
        <w:snapToGrid w:val="0"/>
        <w:spacing w:beforeLines="0" w:afterLines="0"/>
        <w:ind w:firstLine="480" w:firstLineChars="200"/>
        <w:jc w:val="left"/>
        <w:outlineLvl w:val="9"/>
        <w:rPr>
          <w:rFonts w:hint="eastAsia" w:hAnsi="宋体" w:eastAsia="宋体" w:cs="宋体"/>
          <w:sz w:val="24"/>
          <w:szCs w:val="24"/>
        </w:rPr>
      </w:pPr>
      <w:r>
        <w:rPr>
          <w:rFonts w:hint="eastAsia" w:hAnsi="宋体" w:eastAsia="宋体" w:cs="宋体"/>
          <w:sz w:val="24"/>
          <w:szCs w:val="24"/>
        </w:rPr>
        <w:t>1.供应商提出异议时，应提交异议函和必要的证明材料。</w:t>
      </w:r>
    </w:p>
    <w:p w14:paraId="52861FA7">
      <w:pPr>
        <w:widowControl/>
        <w:snapToGrid w:val="0"/>
        <w:spacing w:beforeLines="0" w:afterLines="0"/>
        <w:ind w:firstLine="480" w:firstLineChars="200"/>
        <w:jc w:val="left"/>
        <w:outlineLvl w:val="9"/>
        <w:rPr>
          <w:rFonts w:hint="eastAsia" w:hAnsi="宋体" w:eastAsia="宋体" w:cs="宋体"/>
          <w:sz w:val="24"/>
          <w:szCs w:val="24"/>
        </w:rPr>
      </w:pPr>
      <w:r>
        <w:rPr>
          <w:rFonts w:hint="eastAsia" w:hAnsi="宋体" w:eastAsia="宋体" w:cs="宋体"/>
          <w:sz w:val="24"/>
          <w:szCs w:val="24"/>
        </w:rPr>
        <w:t>2.异议供应商若委托代理人提出异议的，异议函应按要求列明“授权代表”的有关内容，并在附件中提交由异议供应商签署的授权委托书。授权委托书应载明代理人的姓名或者名称、代理事项、具体权限、期限和相关事项。</w:t>
      </w:r>
    </w:p>
    <w:p w14:paraId="324C4350">
      <w:pPr>
        <w:widowControl/>
        <w:snapToGrid w:val="0"/>
        <w:spacing w:beforeLines="0" w:afterLines="0"/>
        <w:ind w:firstLine="480" w:firstLineChars="200"/>
        <w:jc w:val="left"/>
        <w:outlineLvl w:val="9"/>
        <w:rPr>
          <w:rFonts w:hint="eastAsia" w:hAnsi="宋体" w:eastAsia="宋体" w:cs="宋体"/>
          <w:sz w:val="24"/>
          <w:szCs w:val="24"/>
        </w:rPr>
      </w:pPr>
      <w:r>
        <w:rPr>
          <w:rFonts w:hint="eastAsia" w:hAnsi="宋体" w:eastAsia="宋体" w:cs="宋体"/>
          <w:sz w:val="24"/>
          <w:szCs w:val="24"/>
        </w:rPr>
        <w:t>3.异议供应商若对项目的某一标段提出异议，异议函中应列明具体标段号。</w:t>
      </w:r>
    </w:p>
    <w:p w14:paraId="4225A8D0">
      <w:pPr>
        <w:widowControl/>
        <w:snapToGrid w:val="0"/>
        <w:spacing w:beforeLines="0" w:afterLines="0"/>
        <w:ind w:firstLine="480" w:firstLineChars="200"/>
        <w:jc w:val="left"/>
        <w:outlineLvl w:val="9"/>
        <w:rPr>
          <w:rFonts w:hint="eastAsia" w:hAnsi="宋体" w:eastAsia="宋体" w:cs="宋体"/>
          <w:sz w:val="24"/>
          <w:szCs w:val="24"/>
        </w:rPr>
      </w:pPr>
      <w:r>
        <w:rPr>
          <w:rFonts w:hint="eastAsia" w:hAnsi="宋体" w:eastAsia="宋体" w:cs="宋体"/>
          <w:sz w:val="24"/>
          <w:szCs w:val="24"/>
        </w:rPr>
        <w:t>4.异议函的异议事项应具体、明确，并有必要的事实依据和法律依据。</w:t>
      </w:r>
    </w:p>
    <w:p w14:paraId="1D705F92">
      <w:pPr>
        <w:widowControl/>
        <w:snapToGrid w:val="0"/>
        <w:spacing w:beforeLines="0" w:afterLines="0"/>
        <w:ind w:firstLine="480" w:firstLineChars="200"/>
        <w:jc w:val="left"/>
        <w:outlineLvl w:val="9"/>
        <w:rPr>
          <w:rFonts w:hint="eastAsia" w:hAnsi="宋体" w:eastAsia="宋体" w:cs="宋体"/>
          <w:sz w:val="24"/>
          <w:szCs w:val="24"/>
        </w:rPr>
      </w:pPr>
      <w:r>
        <w:rPr>
          <w:rFonts w:hint="eastAsia" w:hAnsi="宋体" w:eastAsia="宋体" w:cs="宋体"/>
          <w:sz w:val="24"/>
          <w:szCs w:val="24"/>
        </w:rPr>
        <w:t>5.异议函的请求应与异议事项相关。</w:t>
      </w:r>
    </w:p>
    <w:p w14:paraId="690AD882">
      <w:pPr>
        <w:widowControl/>
        <w:snapToGrid w:val="0"/>
        <w:spacing w:beforeLines="0" w:afterLines="0"/>
        <w:ind w:firstLine="480" w:firstLineChars="200"/>
        <w:jc w:val="left"/>
        <w:outlineLvl w:val="9"/>
        <w:rPr>
          <w:rFonts w:hint="eastAsia" w:hAnsi="宋体" w:eastAsia="宋体" w:cs="宋体"/>
          <w:sz w:val="24"/>
          <w:szCs w:val="24"/>
        </w:rPr>
      </w:pPr>
      <w:r>
        <w:rPr>
          <w:rFonts w:hint="eastAsia" w:hAnsi="宋体" w:eastAsia="宋体" w:cs="宋体"/>
          <w:sz w:val="24"/>
          <w:szCs w:val="24"/>
        </w:rPr>
        <w:t>6.异议为法人或者其他组织的，异议函应由法定代表人、主要负责人，或者其授权代表签字或者盖章，并加盖公章。</w:t>
      </w:r>
    </w:p>
    <w:p w14:paraId="7676F542">
      <w:pPr>
        <w:pStyle w:val="6"/>
        <w:snapToGrid w:val="0"/>
        <w:spacing w:beforeLines="0" w:afterLines="0"/>
        <w:outlineLvl w:val="9"/>
        <w:rPr>
          <w:sz w:val="24"/>
          <w:szCs w:val="24"/>
        </w:rPr>
      </w:pPr>
    </w:p>
    <w:p w14:paraId="3FFA588C">
      <w:pPr>
        <w:pStyle w:val="6"/>
        <w:snapToGrid w:val="0"/>
        <w:spacing w:beforeLines="0" w:afterLines="0"/>
        <w:rPr>
          <w:sz w:val="24"/>
          <w:szCs w:val="24"/>
        </w:rPr>
      </w:pPr>
    </w:p>
    <w:p w14:paraId="15CCA68A">
      <w:pPr>
        <w:spacing w:beforeLines="0" w:afterLines="0"/>
      </w:pPr>
    </w:p>
    <w:p w14:paraId="238A4A7B">
      <w:pPr>
        <w:spacing w:beforeLines="0" w:afterLines="0"/>
      </w:pPr>
    </w:p>
    <w:p w14:paraId="7D3B4018">
      <w:pPr>
        <w:spacing w:beforeLines="0" w:afterLines="0"/>
      </w:pPr>
    </w:p>
    <w:p w14:paraId="5CADCD1C">
      <w:pPr>
        <w:spacing w:beforeLines="0" w:afterLines="0"/>
      </w:pPr>
    </w:p>
    <w:sectPr>
      <w:footnotePr>
        <w:numFmt w:val="decimalEnclosedCircleChinese"/>
      </w:footnotePr>
      <w:pgSz w:w="11906" w:h="16838"/>
      <w:pgMar w:top="1418" w:right="1418" w:bottom="1418" w:left="1418" w:header="567"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467918-499B-43DB-A875-AA2BD55822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2F7E5EC-16A5-4F15-BE3C-99212BA5930D}"/>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embedRegular r:id="rId3" w:fontKey="{F28297DF-A038-46BF-9CB1-AA27EF2470AD}"/>
  </w:font>
  <w:font w:name="Cambria Math">
    <w:panose1 w:val="02040503050406030204"/>
    <w:charset w:val="00"/>
    <w:family w:val="roman"/>
    <w:pitch w:val="default"/>
    <w:sig w:usb0="E00006FF" w:usb1="420024FF" w:usb2="02000000" w:usb3="00000000" w:csb0="2000019F" w:csb1="00000000"/>
    <w:embedRegular r:id="rId4" w:fontKey="{A7CA7AE2-6E8D-4F38-A921-F511D929066D}"/>
  </w:font>
  <w:font w:name="等线">
    <w:panose1 w:val="02010600030101010101"/>
    <w:charset w:val="86"/>
    <w:family w:val="auto"/>
    <w:pitch w:val="default"/>
    <w:sig w:usb0="A00002BF" w:usb1="38CF7CFA" w:usb2="00000016" w:usb3="00000000" w:csb0="0004000F" w:csb1="00000000"/>
    <w:embedRegular r:id="rId5" w:fontKey="{4F7AE6FC-0D1F-4A65-BCF9-8CB440678D9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9E23F">
    <w:pPr>
      <w:pStyle w:val="11"/>
      <w:jc w:val="center"/>
    </w:pPr>
    <w:r>
      <w:fldChar w:fldCharType="begin"/>
    </w:r>
    <w:r>
      <w:instrText xml:space="preserve">PAGE   \* MERGEFORMAT</w:instrText>
    </w:r>
    <w:r>
      <w:fldChar w:fldCharType="separate"/>
    </w:r>
    <w:r>
      <w:rPr>
        <w:lang w:val="zh-CN"/>
      </w:rPr>
      <w:t>20</w:t>
    </w:r>
    <w:r>
      <w:rPr>
        <w:lang w:val="zh-CN"/>
      </w:rPr>
      <w:fldChar w:fldCharType="end"/>
    </w:r>
  </w:p>
  <w:p w14:paraId="773CD3E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A6DF">
    <w:pPr>
      <w:pStyle w:val="11"/>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44</w:t>
    </w:r>
    <w:r>
      <w:fldChar w:fldCharType="end"/>
    </w:r>
  </w:p>
  <w:p w14:paraId="682179B6">
    <w:pPr>
      <w:pStyle w:val="11"/>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japaneseCounting"/>
      <w:lvlText w:val="第%1章"/>
      <w:lvlJc w:val="left"/>
      <w:pPr>
        <w:ind w:left="3681" w:hanging="420"/>
      </w:pPr>
      <w:rPr>
        <w:rFonts w:hint="eastAsia" w:ascii="黑体" w:eastAsia="黑体"/>
        <w:b w:val="0"/>
        <w:sz w:val="36"/>
        <w:lang w:val="en-US"/>
      </w:rPr>
    </w:lvl>
    <w:lvl w:ilvl="1" w:tentative="0">
      <w:start w:val="1"/>
      <w:numFmt w:val="decimal"/>
      <w:pStyle w:val="28"/>
      <w:isLgl/>
      <w:lvlText w:val="%1.%2"/>
      <w:lvlJc w:val="left"/>
      <w:pPr>
        <w:tabs>
          <w:tab w:val="left" w:pos="4232"/>
        </w:tabs>
        <w:ind w:left="3381" w:firstLine="0"/>
      </w:pPr>
      <w:rPr>
        <w:rFonts w:hAnsi="Times New Roman" w:cs="Times New Roman"/>
        <w:b w:val="0"/>
        <w:bCs w:val="0"/>
        <w:i w:val="0"/>
        <w:iCs w:val="0"/>
        <w:caps w:val="0"/>
        <w:smallCaps w:val="0"/>
        <w:strike w:val="0"/>
        <w:dstrike w:val="0"/>
        <w:vanish w:val="0"/>
        <w:spacing w:val="0"/>
        <w:kern w:val="0"/>
        <w:position w:val="0"/>
        <w:u w:val="none"/>
        <w:vertAlign w:val="baseline"/>
      </w:rPr>
    </w:lvl>
    <w:lvl w:ilvl="2" w:tentative="0">
      <w:start w:val="1"/>
      <w:numFmt w:val="decimal"/>
      <w:pStyle w:val="29"/>
      <w:isLgl/>
      <w:lvlText w:val="%1.%2.%3"/>
      <w:lvlJc w:val="left"/>
      <w:pPr>
        <w:tabs>
          <w:tab w:val="left" w:pos="4232"/>
        </w:tabs>
        <w:ind w:left="3381"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isLgl/>
      <w:lvlText w:val="%1.%2.%3.%4"/>
      <w:lvlJc w:val="left"/>
      <w:pPr>
        <w:tabs>
          <w:tab w:val="left" w:pos="4515"/>
        </w:tabs>
        <w:ind w:left="3381" w:firstLine="0"/>
      </w:pPr>
      <w:rPr>
        <w:rFonts w:hint="eastAsia"/>
      </w:rPr>
    </w:lvl>
    <w:lvl w:ilvl="4" w:tentative="0">
      <w:start w:val="1"/>
      <w:numFmt w:val="decimal"/>
      <w:lvlText w:val="%1.%2.%3.%4.%5"/>
      <w:lvlJc w:val="left"/>
      <w:pPr>
        <w:tabs>
          <w:tab w:val="left" w:pos="8231"/>
        </w:tabs>
        <w:ind w:left="8001" w:hanging="850"/>
      </w:pPr>
      <w:rPr>
        <w:rFonts w:hint="eastAsia"/>
      </w:rPr>
    </w:lvl>
    <w:lvl w:ilvl="5" w:tentative="0">
      <w:start w:val="1"/>
      <w:numFmt w:val="decimal"/>
      <w:lvlText w:val="%1.%2.%3.%4.%5.%6"/>
      <w:lvlJc w:val="left"/>
      <w:pPr>
        <w:tabs>
          <w:tab w:val="left" w:pos="9016"/>
        </w:tabs>
        <w:ind w:left="8710" w:hanging="1134"/>
      </w:pPr>
      <w:rPr>
        <w:rFonts w:hint="eastAsia"/>
      </w:rPr>
    </w:lvl>
    <w:lvl w:ilvl="6" w:tentative="0">
      <w:start w:val="1"/>
      <w:numFmt w:val="decimal"/>
      <w:lvlText w:val="%1.%2.%3.%4.%5.%6.%7"/>
      <w:lvlJc w:val="left"/>
      <w:pPr>
        <w:tabs>
          <w:tab w:val="left" w:pos="9801"/>
        </w:tabs>
        <w:ind w:left="9277" w:hanging="1276"/>
      </w:pPr>
      <w:rPr>
        <w:rFonts w:hint="eastAsia"/>
      </w:rPr>
    </w:lvl>
    <w:lvl w:ilvl="7" w:tentative="0">
      <w:start w:val="1"/>
      <w:numFmt w:val="decimal"/>
      <w:lvlText w:val="%1.%2.%3.%4.%5.%6.%7.%8"/>
      <w:lvlJc w:val="left"/>
      <w:pPr>
        <w:tabs>
          <w:tab w:val="left" w:pos="10226"/>
        </w:tabs>
        <w:ind w:left="9844" w:hanging="1418"/>
      </w:pPr>
      <w:rPr>
        <w:rFonts w:hint="eastAsia"/>
      </w:rPr>
    </w:lvl>
    <w:lvl w:ilvl="8" w:tentative="0">
      <w:start w:val="1"/>
      <w:numFmt w:val="decimal"/>
      <w:lvlText w:val="%1.%2.%3.%4.%5.%6.%7.%8.%9"/>
      <w:lvlJc w:val="left"/>
      <w:pPr>
        <w:tabs>
          <w:tab w:val="left" w:pos="11012"/>
        </w:tabs>
        <w:ind w:left="1055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GU1ZDA2OTBjMzJiYTBmODdkNThjMTczMjJiMzgifQ=="/>
  </w:docVars>
  <w:rsids>
    <w:rsidRoot w:val="390F69A4"/>
    <w:rsid w:val="000137B9"/>
    <w:rsid w:val="000144CA"/>
    <w:rsid w:val="000F120E"/>
    <w:rsid w:val="001100B9"/>
    <w:rsid w:val="00116E79"/>
    <w:rsid w:val="001354F2"/>
    <w:rsid w:val="00135DDD"/>
    <w:rsid w:val="001421F5"/>
    <w:rsid w:val="0016640B"/>
    <w:rsid w:val="00222ED5"/>
    <w:rsid w:val="00236AE3"/>
    <w:rsid w:val="0026248E"/>
    <w:rsid w:val="00264E69"/>
    <w:rsid w:val="00276827"/>
    <w:rsid w:val="00276DBD"/>
    <w:rsid w:val="002937E0"/>
    <w:rsid w:val="00294A97"/>
    <w:rsid w:val="002D3297"/>
    <w:rsid w:val="002D72A3"/>
    <w:rsid w:val="002F074F"/>
    <w:rsid w:val="0031380D"/>
    <w:rsid w:val="00317023"/>
    <w:rsid w:val="00335715"/>
    <w:rsid w:val="00372798"/>
    <w:rsid w:val="003F3220"/>
    <w:rsid w:val="004265A5"/>
    <w:rsid w:val="00433CBB"/>
    <w:rsid w:val="004565FF"/>
    <w:rsid w:val="00462FCB"/>
    <w:rsid w:val="00474D43"/>
    <w:rsid w:val="004B0D73"/>
    <w:rsid w:val="00530F8A"/>
    <w:rsid w:val="005336C0"/>
    <w:rsid w:val="005522A3"/>
    <w:rsid w:val="005B707F"/>
    <w:rsid w:val="006523E4"/>
    <w:rsid w:val="006777F8"/>
    <w:rsid w:val="00682DA5"/>
    <w:rsid w:val="0068356C"/>
    <w:rsid w:val="006906B8"/>
    <w:rsid w:val="006A1EF4"/>
    <w:rsid w:val="006C413B"/>
    <w:rsid w:val="007828C3"/>
    <w:rsid w:val="00787D91"/>
    <w:rsid w:val="00787E27"/>
    <w:rsid w:val="007B260A"/>
    <w:rsid w:val="007D369E"/>
    <w:rsid w:val="007E4EAC"/>
    <w:rsid w:val="007E7948"/>
    <w:rsid w:val="0081495F"/>
    <w:rsid w:val="00863B7C"/>
    <w:rsid w:val="00865C24"/>
    <w:rsid w:val="00881940"/>
    <w:rsid w:val="00881C95"/>
    <w:rsid w:val="00893316"/>
    <w:rsid w:val="008A4A2B"/>
    <w:rsid w:val="008D360D"/>
    <w:rsid w:val="00902D3F"/>
    <w:rsid w:val="00942B7C"/>
    <w:rsid w:val="009A5188"/>
    <w:rsid w:val="009B0606"/>
    <w:rsid w:val="009D4201"/>
    <w:rsid w:val="009D43CA"/>
    <w:rsid w:val="009F54DD"/>
    <w:rsid w:val="00A010BF"/>
    <w:rsid w:val="00A36416"/>
    <w:rsid w:val="00A45FA1"/>
    <w:rsid w:val="00A607E9"/>
    <w:rsid w:val="00A731E7"/>
    <w:rsid w:val="00A95A9A"/>
    <w:rsid w:val="00AC7E5A"/>
    <w:rsid w:val="00AF2388"/>
    <w:rsid w:val="00B12D43"/>
    <w:rsid w:val="00B159B0"/>
    <w:rsid w:val="00B22136"/>
    <w:rsid w:val="00B45EB8"/>
    <w:rsid w:val="00B9601D"/>
    <w:rsid w:val="00BB5106"/>
    <w:rsid w:val="00BB6E85"/>
    <w:rsid w:val="00BC7D07"/>
    <w:rsid w:val="00BD7E83"/>
    <w:rsid w:val="00C35A55"/>
    <w:rsid w:val="00C74222"/>
    <w:rsid w:val="00C7652D"/>
    <w:rsid w:val="00C77FF9"/>
    <w:rsid w:val="00CB4D5D"/>
    <w:rsid w:val="00CE78E0"/>
    <w:rsid w:val="00D46D67"/>
    <w:rsid w:val="00D86CE4"/>
    <w:rsid w:val="00DD4BB6"/>
    <w:rsid w:val="00DE3995"/>
    <w:rsid w:val="00E03263"/>
    <w:rsid w:val="00E45269"/>
    <w:rsid w:val="00E729EF"/>
    <w:rsid w:val="00E81C71"/>
    <w:rsid w:val="00E853CE"/>
    <w:rsid w:val="00EF1F07"/>
    <w:rsid w:val="00F247A3"/>
    <w:rsid w:val="00F902A2"/>
    <w:rsid w:val="00FE194F"/>
    <w:rsid w:val="01227D26"/>
    <w:rsid w:val="014857DE"/>
    <w:rsid w:val="014925F1"/>
    <w:rsid w:val="015A7B77"/>
    <w:rsid w:val="01696BB0"/>
    <w:rsid w:val="017240DE"/>
    <w:rsid w:val="019172F3"/>
    <w:rsid w:val="01B950E3"/>
    <w:rsid w:val="01C73ACA"/>
    <w:rsid w:val="01CB1D9E"/>
    <w:rsid w:val="01D90B32"/>
    <w:rsid w:val="01E46D89"/>
    <w:rsid w:val="01F7017F"/>
    <w:rsid w:val="01F77F95"/>
    <w:rsid w:val="02041547"/>
    <w:rsid w:val="02181129"/>
    <w:rsid w:val="021B2B71"/>
    <w:rsid w:val="02300221"/>
    <w:rsid w:val="02333EE0"/>
    <w:rsid w:val="023D0879"/>
    <w:rsid w:val="024903D5"/>
    <w:rsid w:val="02541A54"/>
    <w:rsid w:val="02681684"/>
    <w:rsid w:val="026954E1"/>
    <w:rsid w:val="0286060F"/>
    <w:rsid w:val="02BE582C"/>
    <w:rsid w:val="02C848FD"/>
    <w:rsid w:val="02F32FFC"/>
    <w:rsid w:val="02FB2420"/>
    <w:rsid w:val="02FD4800"/>
    <w:rsid w:val="03007028"/>
    <w:rsid w:val="0354676C"/>
    <w:rsid w:val="036B5251"/>
    <w:rsid w:val="03705436"/>
    <w:rsid w:val="038B1C6A"/>
    <w:rsid w:val="03942A31"/>
    <w:rsid w:val="03960557"/>
    <w:rsid w:val="039E565E"/>
    <w:rsid w:val="03AA1254"/>
    <w:rsid w:val="03B10F02"/>
    <w:rsid w:val="04263C09"/>
    <w:rsid w:val="044420A2"/>
    <w:rsid w:val="0463223D"/>
    <w:rsid w:val="046F605E"/>
    <w:rsid w:val="04717EF6"/>
    <w:rsid w:val="047F723D"/>
    <w:rsid w:val="04893C18"/>
    <w:rsid w:val="04974587"/>
    <w:rsid w:val="04A62A1C"/>
    <w:rsid w:val="04C11604"/>
    <w:rsid w:val="04CB2483"/>
    <w:rsid w:val="04D37129"/>
    <w:rsid w:val="04E11CA6"/>
    <w:rsid w:val="04E71BE4"/>
    <w:rsid w:val="04E84DE3"/>
    <w:rsid w:val="04E92229"/>
    <w:rsid w:val="05030FDF"/>
    <w:rsid w:val="052971A9"/>
    <w:rsid w:val="053D466A"/>
    <w:rsid w:val="054E2574"/>
    <w:rsid w:val="05691812"/>
    <w:rsid w:val="056B1570"/>
    <w:rsid w:val="05760640"/>
    <w:rsid w:val="057B5C57"/>
    <w:rsid w:val="05850883"/>
    <w:rsid w:val="058A7C48"/>
    <w:rsid w:val="058C3F13"/>
    <w:rsid w:val="05B80809"/>
    <w:rsid w:val="05D16848"/>
    <w:rsid w:val="05E900FE"/>
    <w:rsid w:val="05F17CC7"/>
    <w:rsid w:val="06007F0A"/>
    <w:rsid w:val="061B64E7"/>
    <w:rsid w:val="061E0DB7"/>
    <w:rsid w:val="063B53E6"/>
    <w:rsid w:val="06510766"/>
    <w:rsid w:val="065C36FD"/>
    <w:rsid w:val="069731AB"/>
    <w:rsid w:val="06AB2A70"/>
    <w:rsid w:val="06C07699"/>
    <w:rsid w:val="06CF70AF"/>
    <w:rsid w:val="06DA4BFF"/>
    <w:rsid w:val="06DB2355"/>
    <w:rsid w:val="06DB3499"/>
    <w:rsid w:val="06E26F51"/>
    <w:rsid w:val="06E96BF0"/>
    <w:rsid w:val="06F747FF"/>
    <w:rsid w:val="06F7755F"/>
    <w:rsid w:val="07177C01"/>
    <w:rsid w:val="07285F01"/>
    <w:rsid w:val="073F4C5E"/>
    <w:rsid w:val="0757624F"/>
    <w:rsid w:val="077A4DF6"/>
    <w:rsid w:val="07917443"/>
    <w:rsid w:val="07B54D24"/>
    <w:rsid w:val="07B833DF"/>
    <w:rsid w:val="07C50D6C"/>
    <w:rsid w:val="07DA2385"/>
    <w:rsid w:val="07E129C9"/>
    <w:rsid w:val="07FC5336"/>
    <w:rsid w:val="081C7981"/>
    <w:rsid w:val="082779D0"/>
    <w:rsid w:val="082947ED"/>
    <w:rsid w:val="082C47E7"/>
    <w:rsid w:val="082C6175"/>
    <w:rsid w:val="0839507D"/>
    <w:rsid w:val="084F6F27"/>
    <w:rsid w:val="085E53BC"/>
    <w:rsid w:val="08A73B00"/>
    <w:rsid w:val="08AA2604"/>
    <w:rsid w:val="08B90824"/>
    <w:rsid w:val="08CB2A51"/>
    <w:rsid w:val="08D00067"/>
    <w:rsid w:val="08D12032"/>
    <w:rsid w:val="08F26CEB"/>
    <w:rsid w:val="08F663A2"/>
    <w:rsid w:val="09214581"/>
    <w:rsid w:val="09271C52"/>
    <w:rsid w:val="09276946"/>
    <w:rsid w:val="092F610F"/>
    <w:rsid w:val="094367CD"/>
    <w:rsid w:val="09523172"/>
    <w:rsid w:val="095617CB"/>
    <w:rsid w:val="0995305F"/>
    <w:rsid w:val="099C2AD0"/>
    <w:rsid w:val="09A514F4"/>
    <w:rsid w:val="09A84B40"/>
    <w:rsid w:val="09CB6A81"/>
    <w:rsid w:val="09CD45A7"/>
    <w:rsid w:val="09D21BBD"/>
    <w:rsid w:val="09FB55B8"/>
    <w:rsid w:val="09FB698F"/>
    <w:rsid w:val="0A2B71BF"/>
    <w:rsid w:val="0A3E2A12"/>
    <w:rsid w:val="0A4A3083"/>
    <w:rsid w:val="0A686B5E"/>
    <w:rsid w:val="0AA24723"/>
    <w:rsid w:val="0AAC68B2"/>
    <w:rsid w:val="0AB15DFF"/>
    <w:rsid w:val="0AC23DAE"/>
    <w:rsid w:val="0AC41E4E"/>
    <w:rsid w:val="0ACB20AA"/>
    <w:rsid w:val="0ACE05D7"/>
    <w:rsid w:val="0AD66408"/>
    <w:rsid w:val="0ADB0DF8"/>
    <w:rsid w:val="0ADC58E5"/>
    <w:rsid w:val="0AE20A93"/>
    <w:rsid w:val="0B106A3D"/>
    <w:rsid w:val="0B5607E8"/>
    <w:rsid w:val="0B73209B"/>
    <w:rsid w:val="0B7F1A4F"/>
    <w:rsid w:val="0B927856"/>
    <w:rsid w:val="0B9A5E49"/>
    <w:rsid w:val="0B9C06D5"/>
    <w:rsid w:val="0B9F0F09"/>
    <w:rsid w:val="0BB43C70"/>
    <w:rsid w:val="0BBE2CC3"/>
    <w:rsid w:val="0BCC1476"/>
    <w:rsid w:val="0BCE4606"/>
    <w:rsid w:val="0BD33FA7"/>
    <w:rsid w:val="0BDE44CD"/>
    <w:rsid w:val="0BE43E2A"/>
    <w:rsid w:val="0BEB51B8"/>
    <w:rsid w:val="0BFF2A12"/>
    <w:rsid w:val="0C012C2E"/>
    <w:rsid w:val="0C063DA0"/>
    <w:rsid w:val="0C0F4630"/>
    <w:rsid w:val="0C321039"/>
    <w:rsid w:val="0C3703FE"/>
    <w:rsid w:val="0C410C8A"/>
    <w:rsid w:val="0C460641"/>
    <w:rsid w:val="0C5A60ED"/>
    <w:rsid w:val="0C5E598A"/>
    <w:rsid w:val="0C89555A"/>
    <w:rsid w:val="0C935A2F"/>
    <w:rsid w:val="0C943257"/>
    <w:rsid w:val="0CAE706F"/>
    <w:rsid w:val="0CBA1428"/>
    <w:rsid w:val="0CC33225"/>
    <w:rsid w:val="0CC47EE3"/>
    <w:rsid w:val="0CE00A95"/>
    <w:rsid w:val="0CE065B3"/>
    <w:rsid w:val="0D136359"/>
    <w:rsid w:val="0D3037CB"/>
    <w:rsid w:val="0D585E47"/>
    <w:rsid w:val="0D597A12"/>
    <w:rsid w:val="0D5B47C8"/>
    <w:rsid w:val="0DB22736"/>
    <w:rsid w:val="0DBC0BBA"/>
    <w:rsid w:val="0DBC6E0C"/>
    <w:rsid w:val="0DDE3028"/>
    <w:rsid w:val="0DE00E24"/>
    <w:rsid w:val="0DEC35A3"/>
    <w:rsid w:val="0DFE3EC8"/>
    <w:rsid w:val="0E1C3D4F"/>
    <w:rsid w:val="0E5E1C72"/>
    <w:rsid w:val="0E76520D"/>
    <w:rsid w:val="0E805F90"/>
    <w:rsid w:val="0E8E127C"/>
    <w:rsid w:val="0E982F9E"/>
    <w:rsid w:val="0EB0421C"/>
    <w:rsid w:val="0EB421D9"/>
    <w:rsid w:val="0EBB7634"/>
    <w:rsid w:val="0ED61957"/>
    <w:rsid w:val="0ED9579C"/>
    <w:rsid w:val="0EDD34DE"/>
    <w:rsid w:val="0EDE1004"/>
    <w:rsid w:val="0EF52FE1"/>
    <w:rsid w:val="0EFD5142"/>
    <w:rsid w:val="0F1651B9"/>
    <w:rsid w:val="0F1E7653"/>
    <w:rsid w:val="0F245ED7"/>
    <w:rsid w:val="0F25004B"/>
    <w:rsid w:val="0F262FD3"/>
    <w:rsid w:val="0F2A5FF8"/>
    <w:rsid w:val="0F386123"/>
    <w:rsid w:val="0F390DFE"/>
    <w:rsid w:val="0F3F7CF5"/>
    <w:rsid w:val="0F410B90"/>
    <w:rsid w:val="0F546D8C"/>
    <w:rsid w:val="0F691FE5"/>
    <w:rsid w:val="0F697B22"/>
    <w:rsid w:val="0F753717"/>
    <w:rsid w:val="0F7B0F31"/>
    <w:rsid w:val="0F9067A2"/>
    <w:rsid w:val="0FB63928"/>
    <w:rsid w:val="0FC14BAE"/>
    <w:rsid w:val="0FD348E1"/>
    <w:rsid w:val="0FF07CE3"/>
    <w:rsid w:val="0FF27F75"/>
    <w:rsid w:val="0FF63667"/>
    <w:rsid w:val="0FFD3428"/>
    <w:rsid w:val="10130E26"/>
    <w:rsid w:val="10195214"/>
    <w:rsid w:val="101C1DE4"/>
    <w:rsid w:val="10422E1A"/>
    <w:rsid w:val="1054157E"/>
    <w:rsid w:val="10560A13"/>
    <w:rsid w:val="10631805"/>
    <w:rsid w:val="10A122E9"/>
    <w:rsid w:val="10AA1949"/>
    <w:rsid w:val="10AE2259"/>
    <w:rsid w:val="10B93DC2"/>
    <w:rsid w:val="10E326D9"/>
    <w:rsid w:val="10F92125"/>
    <w:rsid w:val="10FD1C16"/>
    <w:rsid w:val="11005262"/>
    <w:rsid w:val="110273FB"/>
    <w:rsid w:val="110725CC"/>
    <w:rsid w:val="112B0016"/>
    <w:rsid w:val="112B194C"/>
    <w:rsid w:val="112F176A"/>
    <w:rsid w:val="11351578"/>
    <w:rsid w:val="11390774"/>
    <w:rsid w:val="11423ACC"/>
    <w:rsid w:val="11651569"/>
    <w:rsid w:val="116A7CB1"/>
    <w:rsid w:val="117441CE"/>
    <w:rsid w:val="117E5111"/>
    <w:rsid w:val="119810FE"/>
    <w:rsid w:val="11996416"/>
    <w:rsid w:val="119A0D13"/>
    <w:rsid w:val="119A34E9"/>
    <w:rsid w:val="11B60016"/>
    <w:rsid w:val="11C12C43"/>
    <w:rsid w:val="11CB1D14"/>
    <w:rsid w:val="11D74F03"/>
    <w:rsid w:val="11E1398F"/>
    <w:rsid w:val="120766A6"/>
    <w:rsid w:val="12154D3D"/>
    <w:rsid w:val="121962C3"/>
    <w:rsid w:val="12252A09"/>
    <w:rsid w:val="12443874"/>
    <w:rsid w:val="125E4936"/>
    <w:rsid w:val="127A6610"/>
    <w:rsid w:val="128A0D9B"/>
    <w:rsid w:val="128D3C2B"/>
    <w:rsid w:val="128D61F7"/>
    <w:rsid w:val="129F0551"/>
    <w:rsid w:val="12B5207C"/>
    <w:rsid w:val="12BE3627"/>
    <w:rsid w:val="12D90460"/>
    <w:rsid w:val="12D97613"/>
    <w:rsid w:val="12FE7EC7"/>
    <w:rsid w:val="13154256"/>
    <w:rsid w:val="133438E9"/>
    <w:rsid w:val="135D4BEE"/>
    <w:rsid w:val="13723263"/>
    <w:rsid w:val="138E124B"/>
    <w:rsid w:val="13C95516"/>
    <w:rsid w:val="13CA727C"/>
    <w:rsid w:val="13D22C2B"/>
    <w:rsid w:val="13DB5782"/>
    <w:rsid w:val="13DF174E"/>
    <w:rsid w:val="13EB21F9"/>
    <w:rsid w:val="13F15B59"/>
    <w:rsid w:val="13F53078"/>
    <w:rsid w:val="13F75192"/>
    <w:rsid w:val="1444190A"/>
    <w:rsid w:val="144A69B2"/>
    <w:rsid w:val="144F65D9"/>
    <w:rsid w:val="145B1BB8"/>
    <w:rsid w:val="145E3D9E"/>
    <w:rsid w:val="146C16AA"/>
    <w:rsid w:val="14781773"/>
    <w:rsid w:val="147A6994"/>
    <w:rsid w:val="148A2BC0"/>
    <w:rsid w:val="149363ED"/>
    <w:rsid w:val="14BB4C8B"/>
    <w:rsid w:val="14D0071B"/>
    <w:rsid w:val="14D90B9B"/>
    <w:rsid w:val="14DA1080"/>
    <w:rsid w:val="14E60C13"/>
    <w:rsid w:val="15190DE9"/>
    <w:rsid w:val="152B22BF"/>
    <w:rsid w:val="152F4368"/>
    <w:rsid w:val="15421421"/>
    <w:rsid w:val="15644208"/>
    <w:rsid w:val="15722607"/>
    <w:rsid w:val="15825B9B"/>
    <w:rsid w:val="159643E7"/>
    <w:rsid w:val="159A3ED7"/>
    <w:rsid w:val="15B14E28"/>
    <w:rsid w:val="15C715BF"/>
    <w:rsid w:val="15E300E0"/>
    <w:rsid w:val="15EF71C7"/>
    <w:rsid w:val="1604014D"/>
    <w:rsid w:val="160550C9"/>
    <w:rsid w:val="16094323"/>
    <w:rsid w:val="160B6B83"/>
    <w:rsid w:val="16113A6D"/>
    <w:rsid w:val="16195D41"/>
    <w:rsid w:val="16264D6B"/>
    <w:rsid w:val="163A7A91"/>
    <w:rsid w:val="16513F0E"/>
    <w:rsid w:val="16552A7E"/>
    <w:rsid w:val="16573B76"/>
    <w:rsid w:val="166567A5"/>
    <w:rsid w:val="16695657"/>
    <w:rsid w:val="166D39F1"/>
    <w:rsid w:val="166E331E"/>
    <w:rsid w:val="16762606"/>
    <w:rsid w:val="168129A1"/>
    <w:rsid w:val="16A4586B"/>
    <w:rsid w:val="16A668AC"/>
    <w:rsid w:val="16B15DAE"/>
    <w:rsid w:val="16E6314C"/>
    <w:rsid w:val="1715758D"/>
    <w:rsid w:val="17233AC4"/>
    <w:rsid w:val="172B3A97"/>
    <w:rsid w:val="172D0D7B"/>
    <w:rsid w:val="1736480A"/>
    <w:rsid w:val="17400AAE"/>
    <w:rsid w:val="1743614F"/>
    <w:rsid w:val="175470E6"/>
    <w:rsid w:val="17824C23"/>
    <w:rsid w:val="17892EE2"/>
    <w:rsid w:val="17A34B99"/>
    <w:rsid w:val="17B60D70"/>
    <w:rsid w:val="17E07B9B"/>
    <w:rsid w:val="184620F4"/>
    <w:rsid w:val="18504D21"/>
    <w:rsid w:val="18545973"/>
    <w:rsid w:val="185A794E"/>
    <w:rsid w:val="185B5474"/>
    <w:rsid w:val="187A1D9E"/>
    <w:rsid w:val="187A2E15"/>
    <w:rsid w:val="187D2833"/>
    <w:rsid w:val="18825233"/>
    <w:rsid w:val="18905C60"/>
    <w:rsid w:val="18932E60"/>
    <w:rsid w:val="18AE7C99"/>
    <w:rsid w:val="19111E13"/>
    <w:rsid w:val="19127700"/>
    <w:rsid w:val="191B532F"/>
    <w:rsid w:val="191F15C8"/>
    <w:rsid w:val="192845B7"/>
    <w:rsid w:val="19290C12"/>
    <w:rsid w:val="192D0BBE"/>
    <w:rsid w:val="193A44D0"/>
    <w:rsid w:val="193E726F"/>
    <w:rsid w:val="194303E2"/>
    <w:rsid w:val="194505FE"/>
    <w:rsid w:val="19461C80"/>
    <w:rsid w:val="194938C5"/>
    <w:rsid w:val="194E3B52"/>
    <w:rsid w:val="197F0DB4"/>
    <w:rsid w:val="19A364CF"/>
    <w:rsid w:val="19C63BAA"/>
    <w:rsid w:val="19D33304"/>
    <w:rsid w:val="1A102D79"/>
    <w:rsid w:val="1A1B310D"/>
    <w:rsid w:val="1A1C3150"/>
    <w:rsid w:val="1A34170F"/>
    <w:rsid w:val="1A4B4362"/>
    <w:rsid w:val="1A715120"/>
    <w:rsid w:val="1A7D1C13"/>
    <w:rsid w:val="1A7E5F5F"/>
    <w:rsid w:val="1A9625E6"/>
    <w:rsid w:val="1AA650CC"/>
    <w:rsid w:val="1AAC469C"/>
    <w:rsid w:val="1ABD2416"/>
    <w:rsid w:val="1ACD3DD5"/>
    <w:rsid w:val="1AD339E7"/>
    <w:rsid w:val="1AF45F58"/>
    <w:rsid w:val="1AFC2F3E"/>
    <w:rsid w:val="1B08435D"/>
    <w:rsid w:val="1B10165B"/>
    <w:rsid w:val="1B101C80"/>
    <w:rsid w:val="1B205F40"/>
    <w:rsid w:val="1B350988"/>
    <w:rsid w:val="1B4A4D31"/>
    <w:rsid w:val="1B9019AB"/>
    <w:rsid w:val="1B971993"/>
    <w:rsid w:val="1BB93B82"/>
    <w:rsid w:val="1BBC3AEE"/>
    <w:rsid w:val="1BE077C7"/>
    <w:rsid w:val="1BF65037"/>
    <w:rsid w:val="1C2414AE"/>
    <w:rsid w:val="1C251177"/>
    <w:rsid w:val="1C252021"/>
    <w:rsid w:val="1C2A5889"/>
    <w:rsid w:val="1C3C77D7"/>
    <w:rsid w:val="1C484CA5"/>
    <w:rsid w:val="1C954CD6"/>
    <w:rsid w:val="1C961170"/>
    <w:rsid w:val="1C97038B"/>
    <w:rsid w:val="1CB117C2"/>
    <w:rsid w:val="1CB36995"/>
    <w:rsid w:val="1CD6638A"/>
    <w:rsid w:val="1CDF48C5"/>
    <w:rsid w:val="1CE84FC9"/>
    <w:rsid w:val="1CF04C7C"/>
    <w:rsid w:val="1D035821"/>
    <w:rsid w:val="1D161263"/>
    <w:rsid w:val="1D1F4B85"/>
    <w:rsid w:val="1D2F5A0C"/>
    <w:rsid w:val="1D4E4561"/>
    <w:rsid w:val="1D5C799E"/>
    <w:rsid w:val="1D654C57"/>
    <w:rsid w:val="1D6879FE"/>
    <w:rsid w:val="1D8D4321"/>
    <w:rsid w:val="1D980DE3"/>
    <w:rsid w:val="1DA6457A"/>
    <w:rsid w:val="1DC046F7"/>
    <w:rsid w:val="1DD60E27"/>
    <w:rsid w:val="1DE70E95"/>
    <w:rsid w:val="1DE836F2"/>
    <w:rsid w:val="1E1D56A5"/>
    <w:rsid w:val="1E39042C"/>
    <w:rsid w:val="1E42510C"/>
    <w:rsid w:val="1E4569AA"/>
    <w:rsid w:val="1E4F15D7"/>
    <w:rsid w:val="1E5B6B21"/>
    <w:rsid w:val="1E693EC0"/>
    <w:rsid w:val="1E765A98"/>
    <w:rsid w:val="1EA1050D"/>
    <w:rsid w:val="1EBF49AE"/>
    <w:rsid w:val="1EC60710"/>
    <w:rsid w:val="1ED54C34"/>
    <w:rsid w:val="1EF503D0"/>
    <w:rsid w:val="1F146DEC"/>
    <w:rsid w:val="1F29296D"/>
    <w:rsid w:val="1F4A4DA5"/>
    <w:rsid w:val="1F6470C9"/>
    <w:rsid w:val="1F6D03DB"/>
    <w:rsid w:val="1F6E1F30"/>
    <w:rsid w:val="1FB721B1"/>
    <w:rsid w:val="1FBC7140"/>
    <w:rsid w:val="1FDB534C"/>
    <w:rsid w:val="1FE02E2E"/>
    <w:rsid w:val="1FFB7C68"/>
    <w:rsid w:val="20036B1D"/>
    <w:rsid w:val="201520CA"/>
    <w:rsid w:val="20305D39"/>
    <w:rsid w:val="203420E1"/>
    <w:rsid w:val="203F19F6"/>
    <w:rsid w:val="20413234"/>
    <w:rsid w:val="20564928"/>
    <w:rsid w:val="207D3286"/>
    <w:rsid w:val="207E2384"/>
    <w:rsid w:val="209D0D1F"/>
    <w:rsid w:val="20B147CB"/>
    <w:rsid w:val="20B93996"/>
    <w:rsid w:val="20E72867"/>
    <w:rsid w:val="20E73D48"/>
    <w:rsid w:val="20E83906"/>
    <w:rsid w:val="2112296A"/>
    <w:rsid w:val="213B742C"/>
    <w:rsid w:val="21405CE5"/>
    <w:rsid w:val="21612647"/>
    <w:rsid w:val="217C0935"/>
    <w:rsid w:val="219914E7"/>
    <w:rsid w:val="21A8485F"/>
    <w:rsid w:val="21A918D8"/>
    <w:rsid w:val="21C422DC"/>
    <w:rsid w:val="21DC7625"/>
    <w:rsid w:val="21F42BC1"/>
    <w:rsid w:val="22140B6D"/>
    <w:rsid w:val="221F2C4F"/>
    <w:rsid w:val="2228286B"/>
    <w:rsid w:val="22596EC8"/>
    <w:rsid w:val="225E44DE"/>
    <w:rsid w:val="22623FCE"/>
    <w:rsid w:val="226A2E83"/>
    <w:rsid w:val="226E2973"/>
    <w:rsid w:val="229E0B15"/>
    <w:rsid w:val="22A068A5"/>
    <w:rsid w:val="22AC0852"/>
    <w:rsid w:val="22B67E76"/>
    <w:rsid w:val="22BD604A"/>
    <w:rsid w:val="22CC769A"/>
    <w:rsid w:val="22E47FB9"/>
    <w:rsid w:val="23094FE9"/>
    <w:rsid w:val="231150AD"/>
    <w:rsid w:val="23137077"/>
    <w:rsid w:val="232F19D7"/>
    <w:rsid w:val="234E65B1"/>
    <w:rsid w:val="235651B5"/>
    <w:rsid w:val="23580F2E"/>
    <w:rsid w:val="236C7D28"/>
    <w:rsid w:val="2375388E"/>
    <w:rsid w:val="238F6ADB"/>
    <w:rsid w:val="23A3664D"/>
    <w:rsid w:val="23AD377E"/>
    <w:rsid w:val="23AD47E5"/>
    <w:rsid w:val="23B41FE7"/>
    <w:rsid w:val="23C14D25"/>
    <w:rsid w:val="23C6058D"/>
    <w:rsid w:val="23C640E9"/>
    <w:rsid w:val="23DF43DC"/>
    <w:rsid w:val="23FC3FAF"/>
    <w:rsid w:val="24030E99"/>
    <w:rsid w:val="241C48BC"/>
    <w:rsid w:val="24214EB9"/>
    <w:rsid w:val="24243AF6"/>
    <w:rsid w:val="2434730F"/>
    <w:rsid w:val="24387535"/>
    <w:rsid w:val="243F62FD"/>
    <w:rsid w:val="24443260"/>
    <w:rsid w:val="24716755"/>
    <w:rsid w:val="247B6739"/>
    <w:rsid w:val="24947236"/>
    <w:rsid w:val="24A8483F"/>
    <w:rsid w:val="25113A8A"/>
    <w:rsid w:val="25131E1B"/>
    <w:rsid w:val="251A293E"/>
    <w:rsid w:val="255D282B"/>
    <w:rsid w:val="256A4F48"/>
    <w:rsid w:val="256D7F6F"/>
    <w:rsid w:val="25932A13"/>
    <w:rsid w:val="25965314"/>
    <w:rsid w:val="259D3570"/>
    <w:rsid w:val="25E1520A"/>
    <w:rsid w:val="260D24B0"/>
    <w:rsid w:val="260D5FFF"/>
    <w:rsid w:val="262E1526"/>
    <w:rsid w:val="26555BF8"/>
    <w:rsid w:val="265C4BDF"/>
    <w:rsid w:val="26694CB8"/>
    <w:rsid w:val="266A3452"/>
    <w:rsid w:val="2681701F"/>
    <w:rsid w:val="26854F97"/>
    <w:rsid w:val="2687475B"/>
    <w:rsid w:val="26964247"/>
    <w:rsid w:val="26977FBF"/>
    <w:rsid w:val="269F085D"/>
    <w:rsid w:val="26A5448A"/>
    <w:rsid w:val="26B44146"/>
    <w:rsid w:val="26B74F7E"/>
    <w:rsid w:val="26E57B75"/>
    <w:rsid w:val="26F929A0"/>
    <w:rsid w:val="270D0281"/>
    <w:rsid w:val="270D202F"/>
    <w:rsid w:val="27196C26"/>
    <w:rsid w:val="273B38C4"/>
    <w:rsid w:val="27651E6B"/>
    <w:rsid w:val="27787DF0"/>
    <w:rsid w:val="27897907"/>
    <w:rsid w:val="27AC6CA1"/>
    <w:rsid w:val="27B33C90"/>
    <w:rsid w:val="27D83504"/>
    <w:rsid w:val="27F531EF"/>
    <w:rsid w:val="27F95041"/>
    <w:rsid w:val="28097CC4"/>
    <w:rsid w:val="286529C9"/>
    <w:rsid w:val="28963807"/>
    <w:rsid w:val="28972098"/>
    <w:rsid w:val="28AF4EEF"/>
    <w:rsid w:val="28E62898"/>
    <w:rsid w:val="28EF3856"/>
    <w:rsid w:val="29023E15"/>
    <w:rsid w:val="2927562A"/>
    <w:rsid w:val="29377B26"/>
    <w:rsid w:val="296B6C88"/>
    <w:rsid w:val="299D3B3E"/>
    <w:rsid w:val="299F5423"/>
    <w:rsid w:val="29AB614E"/>
    <w:rsid w:val="29C80110"/>
    <w:rsid w:val="2A3802F6"/>
    <w:rsid w:val="2A510EDB"/>
    <w:rsid w:val="2A81355A"/>
    <w:rsid w:val="2A8D3B91"/>
    <w:rsid w:val="2AA25896"/>
    <w:rsid w:val="2AA333D6"/>
    <w:rsid w:val="2AAD6003"/>
    <w:rsid w:val="2AC406D4"/>
    <w:rsid w:val="2AC450FA"/>
    <w:rsid w:val="2ACF7DDB"/>
    <w:rsid w:val="2AE65F68"/>
    <w:rsid w:val="2AF4778E"/>
    <w:rsid w:val="2B075DF1"/>
    <w:rsid w:val="2B182696"/>
    <w:rsid w:val="2B6A3EF4"/>
    <w:rsid w:val="2B7663F5"/>
    <w:rsid w:val="2B7E67D4"/>
    <w:rsid w:val="2B8247D2"/>
    <w:rsid w:val="2B8C79C6"/>
    <w:rsid w:val="2B8D4A10"/>
    <w:rsid w:val="2B96037D"/>
    <w:rsid w:val="2B96637F"/>
    <w:rsid w:val="2BA72A52"/>
    <w:rsid w:val="2BA80F35"/>
    <w:rsid w:val="2BA94A1C"/>
    <w:rsid w:val="2BB138D1"/>
    <w:rsid w:val="2BC25DD1"/>
    <w:rsid w:val="2BD00496"/>
    <w:rsid w:val="2BE11CDE"/>
    <w:rsid w:val="2BFB3906"/>
    <w:rsid w:val="2C1D0F66"/>
    <w:rsid w:val="2C646B95"/>
    <w:rsid w:val="2C6F6A70"/>
    <w:rsid w:val="2C7D6FFF"/>
    <w:rsid w:val="2C8E72AF"/>
    <w:rsid w:val="2CA174A1"/>
    <w:rsid w:val="2CAD1597"/>
    <w:rsid w:val="2CDB6D27"/>
    <w:rsid w:val="2CE02C8D"/>
    <w:rsid w:val="2CE20A4B"/>
    <w:rsid w:val="2CEE2873"/>
    <w:rsid w:val="2CF63C91"/>
    <w:rsid w:val="2D0363AE"/>
    <w:rsid w:val="2D292F5C"/>
    <w:rsid w:val="2D293EC7"/>
    <w:rsid w:val="2D4A7F61"/>
    <w:rsid w:val="2D722BF4"/>
    <w:rsid w:val="2DDA187D"/>
    <w:rsid w:val="2DE33AEA"/>
    <w:rsid w:val="2DF81343"/>
    <w:rsid w:val="2E084CF7"/>
    <w:rsid w:val="2E235749"/>
    <w:rsid w:val="2E2657C9"/>
    <w:rsid w:val="2E334A71"/>
    <w:rsid w:val="2E4B698C"/>
    <w:rsid w:val="2E826747"/>
    <w:rsid w:val="2E8B21B7"/>
    <w:rsid w:val="2E8C0A16"/>
    <w:rsid w:val="2EC5171E"/>
    <w:rsid w:val="2EF064BE"/>
    <w:rsid w:val="2F041F69"/>
    <w:rsid w:val="2F2131FE"/>
    <w:rsid w:val="2F3141B4"/>
    <w:rsid w:val="2F420BEB"/>
    <w:rsid w:val="2F5B427F"/>
    <w:rsid w:val="2F5C0D20"/>
    <w:rsid w:val="2F6F7D2B"/>
    <w:rsid w:val="2F745341"/>
    <w:rsid w:val="2F7E428B"/>
    <w:rsid w:val="2F882F38"/>
    <w:rsid w:val="2F8A246F"/>
    <w:rsid w:val="2F8D29E4"/>
    <w:rsid w:val="2F966089"/>
    <w:rsid w:val="2FA807CB"/>
    <w:rsid w:val="2FCF5258"/>
    <w:rsid w:val="2FDB3DCD"/>
    <w:rsid w:val="2FEE50F3"/>
    <w:rsid w:val="2FF95846"/>
    <w:rsid w:val="300D4E4E"/>
    <w:rsid w:val="302C5C1C"/>
    <w:rsid w:val="302F2452"/>
    <w:rsid w:val="30354AD0"/>
    <w:rsid w:val="303D7627"/>
    <w:rsid w:val="30416AFF"/>
    <w:rsid w:val="30474804"/>
    <w:rsid w:val="30475626"/>
    <w:rsid w:val="305B205D"/>
    <w:rsid w:val="30787FFF"/>
    <w:rsid w:val="308E41E1"/>
    <w:rsid w:val="309A0DD7"/>
    <w:rsid w:val="30AA08EF"/>
    <w:rsid w:val="30B30F92"/>
    <w:rsid w:val="30E43E01"/>
    <w:rsid w:val="30F027A5"/>
    <w:rsid w:val="30FA1876"/>
    <w:rsid w:val="312A57DF"/>
    <w:rsid w:val="313C0C3F"/>
    <w:rsid w:val="314A2644"/>
    <w:rsid w:val="315D262B"/>
    <w:rsid w:val="316352EE"/>
    <w:rsid w:val="316F550D"/>
    <w:rsid w:val="31755EAA"/>
    <w:rsid w:val="317F3B29"/>
    <w:rsid w:val="31802638"/>
    <w:rsid w:val="31861AB3"/>
    <w:rsid w:val="318B0A88"/>
    <w:rsid w:val="31A16195"/>
    <w:rsid w:val="32083421"/>
    <w:rsid w:val="320D5FAF"/>
    <w:rsid w:val="32230959"/>
    <w:rsid w:val="3229115E"/>
    <w:rsid w:val="323472F0"/>
    <w:rsid w:val="327678EE"/>
    <w:rsid w:val="32771750"/>
    <w:rsid w:val="328B4E7C"/>
    <w:rsid w:val="32B67A1F"/>
    <w:rsid w:val="32B83797"/>
    <w:rsid w:val="32B94738"/>
    <w:rsid w:val="32E225C2"/>
    <w:rsid w:val="32FB3FA8"/>
    <w:rsid w:val="33223E67"/>
    <w:rsid w:val="33564457"/>
    <w:rsid w:val="33647196"/>
    <w:rsid w:val="336A2CE3"/>
    <w:rsid w:val="337376BE"/>
    <w:rsid w:val="33775400"/>
    <w:rsid w:val="339276C1"/>
    <w:rsid w:val="33CD5020"/>
    <w:rsid w:val="33D068BE"/>
    <w:rsid w:val="33D60378"/>
    <w:rsid w:val="33FA1E59"/>
    <w:rsid w:val="33FE02F2"/>
    <w:rsid w:val="33FE4FDC"/>
    <w:rsid w:val="342C3FB8"/>
    <w:rsid w:val="34390907"/>
    <w:rsid w:val="343A05E5"/>
    <w:rsid w:val="344F35FA"/>
    <w:rsid w:val="34826C54"/>
    <w:rsid w:val="34871673"/>
    <w:rsid w:val="34967B08"/>
    <w:rsid w:val="34B85698"/>
    <w:rsid w:val="34DD2E52"/>
    <w:rsid w:val="35081992"/>
    <w:rsid w:val="3509476F"/>
    <w:rsid w:val="350E58F0"/>
    <w:rsid w:val="35187BC7"/>
    <w:rsid w:val="35355F5A"/>
    <w:rsid w:val="353A5B20"/>
    <w:rsid w:val="35457DE1"/>
    <w:rsid w:val="354B6B44"/>
    <w:rsid w:val="354E03E2"/>
    <w:rsid w:val="35867B7C"/>
    <w:rsid w:val="359D0F48"/>
    <w:rsid w:val="35A41DB0"/>
    <w:rsid w:val="35AD335B"/>
    <w:rsid w:val="35D2691D"/>
    <w:rsid w:val="35D3071C"/>
    <w:rsid w:val="35E00EF6"/>
    <w:rsid w:val="35EA3267"/>
    <w:rsid w:val="35FE0934"/>
    <w:rsid w:val="361F394F"/>
    <w:rsid w:val="362C7E66"/>
    <w:rsid w:val="36343AA4"/>
    <w:rsid w:val="36462DE7"/>
    <w:rsid w:val="36785717"/>
    <w:rsid w:val="36835E6A"/>
    <w:rsid w:val="36962041"/>
    <w:rsid w:val="36A62466"/>
    <w:rsid w:val="36CE77FC"/>
    <w:rsid w:val="36D951CD"/>
    <w:rsid w:val="36DE2BF5"/>
    <w:rsid w:val="36DF7544"/>
    <w:rsid w:val="36E032BC"/>
    <w:rsid w:val="370011A5"/>
    <w:rsid w:val="374F7AC7"/>
    <w:rsid w:val="37607268"/>
    <w:rsid w:val="37722B42"/>
    <w:rsid w:val="377B5703"/>
    <w:rsid w:val="378351A7"/>
    <w:rsid w:val="37841E99"/>
    <w:rsid w:val="378E0F6A"/>
    <w:rsid w:val="37973097"/>
    <w:rsid w:val="37A10C9D"/>
    <w:rsid w:val="37B02C8E"/>
    <w:rsid w:val="37B46781"/>
    <w:rsid w:val="37B9709F"/>
    <w:rsid w:val="37CA3A48"/>
    <w:rsid w:val="37D0718F"/>
    <w:rsid w:val="37D440E8"/>
    <w:rsid w:val="37FC6F3C"/>
    <w:rsid w:val="383425AF"/>
    <w:rsid w:val="384927BA"/>
    <w:rsid w:val="38594085"/>
    <w:rsid w:val="38675A43"/>
    <w:rsid w:val="3877509F"/>
    <w:rsid w:val="38A510A5"/>
    <w:rsid w:val="38C904AC"/>
    <w:rsid w:val="38E17225"/>
    <w:rsid w:val="38ED76E9"/>
    <w:rsid w:val="38F21F6F"/>
    <w:rsid w:val="38F540B2"/>
    <w:rsid w:val="38FB79D2"/>
    <w:rsid w:val="390451D1"/>
    <w:rsid w:val="390609A9"/>
    <w:rsid w:val="39082507"/>
    <w:rsid w:val="390F69A4"/>
    <w:rsid w:val="39182A0E"/>
    <w:rsid w:val="39367B5E"/>
    <w:rsid w:val="393C6ED0"/>
    <w:rsid w:val="399B34CA"/>
    <w:rsid w:val="39CE38A0"/>
    <w:rsid w:val="39D678C4"/>
    <w:rsid w:val="39E817C8"/>
    <w:rsid w:val="39F5707E"/>
    <w:rsid w:val="3A086DB2"/>
    <w:rsid w:val="3A0C14D1"/>
    <w:rsid w:val="3A256DE6"/>
    <w:rsid w:val="3A3219F7"/>
    <w:rsid w:val="3A5C23F3"/>
    <w:rsid w:val="3A8B75CF"/>
    <w:rsid w:val="3A976388"/>
    <w:rsid w:val="3A9C74FA"/>
    <w:rsid w:val="3AA332A3"/>
    <w:rsid w:val="3AB32112"/>
    <w:rsid w:val="3AC52EF5"/>
    <w:rsid w:val="3AD971F0"/>
    <w:rsid w:val="3AE25855"/>
    <w:rsid w:val="3AF9494C"/>
    <w:rsid w:val="3B2B3C52"/>
    <w:rsid w:val="3B542B4A"/>
    <w:rsid w:val="3B5A2114"/>
    <w:rsid w:val="3B824A8D"/>
    <w:rsid w:val="3B923E70"/>
    <w:rsid w:val="3BB20630"/>
    <w:rsid w:val="3BC078DB"/>
    <w:rsid w:val="3BCE5DD9"/>
    <w:rsid w:val="3BD135AF"/>
    <w:rsid w:val="3BD550BE"/>
    <w:rsid w:val="3BD57234"/>
    <w:rsid w:val="3BEB0739"/>
    <w:rsid w:val="3BFD046C"/>
    <w:rsid w:val="3C0D6E7A"/>
    <w:rsid w:val="3C225696"/>
    <w:rsid w:val="3C265C15"/>
    <w:rsid w:val="3C2862FB"/>
    <w:rsid w:val="3C382F03"/>
    <w:rsid w:val="3C3C2B31"/>
    <w:rsid w:val="3C4B70E9"/>
    <w:rsid w:val="3C7C081B"/>
    <w:rsid w:val="3C7F70D3"/>
    <w:rsid w:val="3C9E1C4F"/>
    <w:rsid w:val="3CBB50F2"/>
    <w:rsid w:val="3CC32A6F"/>
    <w:rsid w:val="3CE91BDD"/>
    <w:rsid w:val="3D077F7A"/>
    <w:rsid w:val="3D130070"/>
    <w:rsid w:val="3D433D9E"/>
    <w:rsid w:val="3D456F15"/>
    <w:rsid w:val="3D5139EC"/>
    <w:rsid w:val="3D9B2F79"/>
    <w:rsid w:val="3D9D3CB5"/>
    <w:rsid w:val="3DA07301"/>
    <w:rsid w:val="3DB05915"/>
    <w:rsid w:val="3DB0773E"/>
    <w:rsid w:val="3DB70597"/>
    <w:rsid w:val="3DB70AE3"/>
    <w:rsid w:val="3DC47C3F"/>
    <w:rsid w:val="3DCA2CDF"/>
    <w:rsid w:val="3E09759C"/>
    <w:rsid w:val="3E12323F"/>
    <w:rsid w:val="3E13537A"/>
    <w:rsid w:val="3E1F291C"/>
    <w:rsid w:val="3E1F3045"/>
    <w:rsid w:val="3E1F46CA"/>
    <w:rsid w:val="3E2B03AC"/>
    <w:rsid w:val="3E4731EE"/>
    <w:rsid w:val="3E4D472A"/>
    <w:rsid w:val="3E642A25"/>
    <w:rsid w:val="3E664673"/>
    <w:rsid w:val="3E6947D3"/>
    <w:rsid w:val="3E6C3E11"/>
    <w:rsid w:val="3E7F6A62"/>
    <w:rsid w:val="3E9661CA"/>
    <w:rsid w:val="3E9862CA"/>
    <w:rsid w:val="3EB24CDD"/>
    <w:rsid w:val="3EC37F59"/>
    <w:rsid w:val="3ED93781"/>
    <w:rsid w:val="3EEC6CA2"/>
    <w:rsid w:val="3EF17216"/>
    <w:rsid w:val="3EF45B57"/>
    <w:rsid w:val="3EF72A60"/>
    <w:rsid w:val="3F2F3014"/>
    <w:rsid w:val="3F3B181C"/>
    <w:rsid w:val="3F620FE1"/>
    <w:rsid w:val="3F700E85"/>
    <w:rsid w:val="3F7E716F"/>
    <w:rsid w:val="3F8A4DFD"/>
    <w:rsid w:val="3FB971E9"/>
    <w:rsid w:val="3FC10734"/>
    <w:rsid w:val="3FC25C55"/>
    <w:rsid w:val="3FC733A8"/>
    <w:rsid w:val="3FD634AE"/>
    <w:rsid w:val="3FF15439"/>
    <w:rsid w:val="3FF5714E"/>
    <w:rsid w:val="3FF878C8"/>
    <w:rsid w:val="40073668"/>
    <w:rsid w:val="4016215C"/>
    <w:rsid w:val="401B00E9"/>
    <w:rsid w:val="4024421A"/>
    <w:rsid w:val="40246500"/>
    <w:rsid w:val="40297A82"/>
    <w:rsid w:val="402D5F84"/>
    <w:rsid w:val="403C6791"/>
    <w:rsid w:val="404F3252"/>
    <w:rsid w:val="4050500F"/>
    <w:rsid w:val="407C0323"/>
    <w:rsid w:val="408D14D1"/>
    <w:rsid w:val="40A030D6"/>
    <w:rsid w:val="40B27A77"/>
    <w:rsid w:val="40B732E0"/>
    <w:rsid w:val="40C94DC1"/>
    <w:rsid w:val="40D93256"/>
    <w:rsid w:val="40E67721"/>
    <w:rsid w:val="40FD164C"/>
    <w:rsid w:val="41140732"/>
    <w:rsid w:val="41561B94"/>
    <w:rsid w:val="4160411F"/>
    <w:rsid w:val="4184543D"/>
    <w:rsid w:val="41AB37B4"/>
    <w:rsid w:val="41BA3087"/>
    <w:rsid w:val="41F1301B"/>
    <w:rsid w:val="41F7515B"/>
    <w:rsid w:val="421A3B26"/>
    <w:rsid w:val="42434C7D"/>
    <w:rsid w:val="424C7A58"/>
    <w:rsid w:val="42506540"/>
    <w:rsid w:val="42606234"/>
    <w:rsid w:val="4274511A"/>
    <w:rsid w:val="42770F78"/>
    <w:rsid w:val="427F607F"/>
    <w:rsid w:val="42BF46CD"/>
    <w:rsid w:val="42C16071"/>
    <w:rsid w:val="42C2539B"/>
    <w:rsid w:val="42FB4E71"/>
    <w:rsid w:val="43252782"/>
    <w:rsid w:val="43477DA1"/>
    <w:rsid w:val="434E0803"/>
    <w:rsid w:val="43503924"/>
    <w:rsid w:val="43535A19"/>
    <w:rsid w:val="43574906"/>
    <w:rsid w:val="43923B90"/>
    <w:rsid w:val="439C056B"/>
    <w:rsid w:val="43A53A1F"/>
    <w:rsid w:val="43AD4526"/>
    <w:rsid w:val="43C62A37"/>
    <w:rsid w:val="43CA408B"/>
    <w:rsid w:val="43D917BF"/>
    <w:rsid w:val="43F525F4"/>
    <w:rsid w:val="44081EBE"/>
    <w:rsid w:val="442742D8"/>
    <w:rsid w:val="443C4228"/>
    <w:rsid w:val="44451B6A"/>
    <w:rsid w:val="447A7498"/>
    <w:rsid w:val="447B4624"/>
    <w:rsid w:val="44A936BE"/>
    <w:rsid w:val="44B17599"/>
    <w:rsid w:val="44B33DBE"/>
    <w:rsid w:val="44BD5DC6"/>
    <w:rsid w:val="44CE09D4"/>
    <w:rsid w:val="44E4130C"/>
    <w:rsid w:val="45056E81"/>
    <w:rsid w:val="4548374C"/>
    <w:rsid w:val="454F1D39"/>
    <w:rsid w:val="4550785F"/>
    <w:rsid w:val="45517711"/>
    <w:rsid w:val="45665F33"/>
    <w:rsid w:val="4570367A"/>
    <w:rsid w:val="45815C6A"/>
    <w:rsid w:val="45A007E6"/>
    <w:rsid w:val="45A148D8"/>
    <w:rsid w:val="45A174B6"/>
    <w:rsid w:val="45B459CE"/>
    <w:rsid w:val="45B608B1"/>
    <w:rsid w:val="45B75FEC"/>
    <w:rsid w:val="45B918A8"/>
    <w:rsid w:val="45CA4366"/>
    <w:rsid w:val="45CD7101"/>
    <w:rsid w:val="45D87F80"/>
    <w:rsid w:val="45E70570"/>
    <w:rsid w:val="45F973F8"/>
    <w:rsid w:val="46067393"/>
    <w:rsid w:val="460A3F80"/>
    <w:rsid w:val="46244F73"/>
    <w:rsid w:val="462C5BD6"/>
    <w:rsid w:val="46396545"/>
    <w:rsid w:val="463D6035"/>
    <w:rsid w:val="4642443F"/>
    <w:rsid w:val="46435662"/>
    <w:rsid w:val="46582E6F"/>
    <w:rsid w:val="46696E2A"/>
    <w:rsid w:val="46715CDF"/>
    <w:rsid w:val="46A811C0"/>
    <w:rsid w:val="46C50951"/>
    <w:rsid w:val="46C93D6D"/>
    <w:rsid w:val="46DD3374"/>
    <w:rsid w:val="46F30DEA"/>
    <w:rsid w:val="47286CF4"/>
    <w:rsid w:val="473E3F98"/>
    <w:rsid w:val="47613A98"/>
    <w:rsid w:val="47833F1C"/>
    <w:rsid w:val="478B42FF"/>
    <w:rsid w:val="47AB6B38"/>
    <w:rsid w:val="47B44443"/>
    <w:rsid w:val="47C10635"/>
    <w:rsid w:val="47C562E2"/>
    <w:rsid w:val="47CA4753"/>
    <w:rsid w:val="48084AAB"/>
    <w:rsid w:val="48253716"/>
    <w:rsid w:val="48270D4B"/>
    <w:rsid w:val="482B4925"/>
    <w:rsid w:val="483E6094"/>
    <w:rsid w:val="484368A8"/>
    <w:rsid w:val="484A67E7"/>
    <w:rsid w:val="48735D3E"/>
    <w:rsid w:val="48830599"/>
    <w:rsid w:val="48870C8D"/>
    <w:rsid w:val="48A40B67"/>
    <w:rsid w:val="48DE2CEE"/>
    <w:rsid w:val="48E617D4"/>
    <w:rsid w:val="490966A2"/>
    <w:rsid w:val="49177011"/>
    <w:rsid w:val="491C5DE7"/>
    <w:rsid w:val="49267F42"/>
    <w:rsid w:val="49422830"/>
    <w:rsid w:val="49443F56"/>
    <w:rsid w:val="4950607F"/>
    <w:rsid w:val="49714AB5"/>
    <w:rsid w:val="497A134E"/>
    <w:rsid w:val="49881119"/>
    <w:rsid w:val="498F2E4A"/>
    <w:rsid w:val="49BF206F"/>
    <w:rsid w:val="49EB2377"/>
    <w:rsid w:val="4A280204"/>
    <w:rsid w:val="4A415DA2"/>
    <w:rsid w:val="4A4C4B5A"/>
    <w:rsid w:val="4A5C478F"/>
    <w:rsid w:val="4A606796"/>
    <w:rsid w:val="4A767D68"/>
    <w:rsid w:val="4A7B537E"/>
    <w:rsid w:val="4A7F776E"/>
    <w:rsid w:val="4AA76173"/>
    <w:rsid w:val="4ACC7988"/>
    <w:rsid w:val="4ADA311C"/>
    <w:rsid w:val="4B013AD5"/>
    <w:rsid w:val="4B177FE4"/>
    <w:rsid w:val="4B294DDA"/>
    <w:rsid w:val="4B340639"/>
    <w:rsid w:val="4B38501D"/>
    <w:rsid w:val="4B447E66"/>
    <w:rsid w:val="4B530740"/>
    <w:rsid w:val="4B5E4AAE"/>
    <w:rsid w:val="4B685902"/>
    <w:rsid w:val="4B9A49BE"/>
    <w:rsid w:val="4BA33F6B"/>
    <w:rsid w:val="4BBD5522"/>
    <w:rsid w:val="4BC3678F"/>
    <w:rsid w:val="4BCA714B"/>
    <w:rsid w:val="4BD25789"/>
    <w:rsid w:val="4C0D2C73"/>
    <w:rsid w:val="4C105181"/>
    <w:rsid w:val="4C1A57FA"/>
    <w:rsid w:val="4C3B3017"/>
    <w:rsid w:val="4C455C43"/>
    <w:rsid w:val="4C7D5AE9"/>
    <w:rsid w:val="4C9C6EC4"/>
    <w:rsid w:val="4CA502B0"/>
    <w:rsid w:val="4CA87F80"/>
    <w:rsid w:val="4D186A83"/>
    <w:rsid w:val="4D1B24FA"/>
    <w:rsid w:val="4D5720C4"/>
    <w:rsid w:val="4D6009B5"/>
    <w:rsid w:val="4D8F77C9"/>
    <w:rsid w:val="4D994499"/>
    <w:rsid w:val="4DAC1F1A"/>
    <w:rsid w:val="4DDF6E87"/>
    <w:rsid w:val="4DE374C2"/>
    <w:rsid w:val="4DFA23FD"/>
    <w:rsid w:val="4E086F29"/>
    <w:rsid w:val="4E241889"/>
    <w:rsid w:val="4E2F2707"/>
    <w:rsid w:val="4E423C48"/>
    <w:rsid w:val="4E69104E"/>
    <w:rsid w:val="4E7740AE"/>
    <w:rsid w:val="4E944C60"/>
    <w:rsid w:val="4EAA1BA2"/>
    <w:rsid w:val="4EB87DC9"/>
    <w:rsid w:val="4EBF2996"/>
    <w:rsid w:val="4EC45545"/>
    <w:rsid w:val="4ECE11EE"/>
    <w:rsid w:val="4ED96B17"/>
    <w:rsid w:val="4EDB4DD5"/>
    <w:rsid w:val="4EE7471F"/>
    <w:rsid w:val="4EE93046"/>
    <w:rsid w:val="4EFA15E0"/>
    <w:rsid w:val="4F13528D"/>
    <w:rsid w:val="4F1D6A04"/>
    <w:rsid w:val="4F4246BC"/>
    <w:rsid w:val="4F644633"/>
    <w:rsid w:val="4F8E7CC4"/>
    <w:rsid w:val="4FB06BA2"/>
    <w:rsid w:val="4FC11B81"/>
    <w:rsid w:val="4FD277EE"/>
    <w:rsid w:val="4FE2365B"/>
    <w:rsid w:val="4FEB4D54"/>
    <w:rsid w:val="50454902"/>
    <w:rsid w:val="5055041F"/>
    <w:rsid w:val="50592314"/>
    <w:rsid w:val="506A211C"/>
    <w:rsid w:val="506D7517"/>
    <w:rsid w:val="50852FF9"/>
    <w:rsid w:val="508C2093"/>
    <w:rsid w:val="50A3118B"/>
    <w:rsid w:val="50BE6F9A"/>
    <w:rsid w:val="50BF63A3"/>
    <w:rsid w:val="510613DE"/>
    <w:rsid w:val="51130A4D"/>
    <w:rsid w:val="51234079"/>
    <w:rsid w:val="515F3303"/>
    <w:rsid w:val="51650DD1"/>
    <w:rsid w:val="51834B73"/>
    <w:rsid w:val="51AE134D"/>
    <w:rsid w:val="51BA020E"/>
    <w:rsid w:val="51D610EC"/>
    <w:rsid w:val="52116186"/>
    <w:rsid w:val="523636A7"/>
    <w:rsid w:val="523A167B"/>
    <w:rsid w:val="524F5EB6"/>
    <w:rsid w:val="525C0CE0"/>
    <w:rsid w:val="52877B57"/>
    <w:rsid w:val="529C298E"/>
    <w:rsid w:val="529E7E5B"/>
    <w:rsid w:val="52AB4326"/>
    <w:rsid w:val="52B96141"/>
    <w:rsid w:val="52C2463C"/>
    <w:rsid w:val="52D01AC5"/>
    <w:rsid w:val="53112043"/>
    <w:rsid w:val="53146370"/>
    <w:rsid w:val="531B14AC"/>
    <w:rsid w:val="53334A48"/>
    <w:rsid w:val="53652785"/>
    <w:rsid w:val="539344C3"/>
    <w:rsid w:val="539D6365"/>
    <w:rsid w:val="539F2BE6"/>
    <w:rsid w:val="53A25729"/>
    <w:rsid w:val="53A33267"/>
    <w:rsid w:val="53B43612"/>
    <w:rsid w:val="53DA1367"/>
    <w:rsid w:val="53F71642"/>
    <w:rsid w:val="54137260"/>
    <w:rsid w:val="54436F0C"/>
    <w:rsid w:val="54447157"/>
    <w:rsid w:val="54617393"/>
    <w:rsid w:val="547B6C50"/>
    <w:rsid w:val="548E5CAE"/>
    <w:rsid w:val="549E05E7"/>
    <w:rsid w:val="54AC2597"/>
    <w:rsid w:val="54B363DE"/>
    <w:rsid w:val="54B55930"/>
    <w:rsid w:val="54CC782F"/>
    <w:rsid w:val="54E51093"/>
    <w:rsid w:val="55083CB2"/>
    <w:rsid w:val="55195EBF"/>
    <w:rsid w:val="551B3B96"/>
    <w:rsid w:val="55405246"/>
    <w:rsid w:val="55475DD9"/>
    <w:rsid w:val="554C1057"/>
    <w:rsid w:val="557973EA"/>
    <w:rsid w:val="55821640"/>
    <w:rsid w:val="559426D6"/>
    <w:rsid w:val="55A03EEB"/>
    <w:rsid w:val="55AA7BFB"/>
    <w:rsid w:val="55EC5A7A"/>
    <w:rsid w:val="56137AD5"/>
    <w:rsid w:val="562A6DB6"/>
    <w:rsid w:val="56336B0D"/>
    <w:rsid w:val="565607A7"/>
    <w:rsid w:val="565E77F7"/>
    <w:rsid w:val="56600384"/>
    <w:rsid w:val="56670CF5"/>
    <w:rsid w:val="566F5BA3"/>
    <w:rsid w:val="56794E67"/>
    <w:rsid w:val="569903A3"/>
    <w:rsid w:val="569C2904"/>
    <w:rsid w:val="56A77EA1"/>
    <w:rsid w:val="56B75990"/>
    <w:rsid w:val="56CD4470"/>
    <w:rsid w:val="56CD513A"/>
    <w:rsid w:val="56F0765F"/>
    <w:rsid w:val="570B237E"/>
    <w:rsid w:val="570F30D6"/>
    <w:rsid w:val="57122BC6"/>
    <w:rsid w:val="57184DA4"/>
    <w:rsid w:val="5749500F"/>
    <w:rsid w:val="57517B92"/>
    <w:rsid w:val="57525A8B"/>
    <w:rsid w:val="57692DEB"/>
    <w:rsid w:val="579A58EE"/>
    <w:rsid w:val="579B0E0D"/>
    <w:rsid w:val="57C245EC"/>
    <w:rsid w:val="57C2639A"/>
    <w:rsid w:val="57F352CE"/>
    <w:rsid w:val="57FA046D"/>
    <w:rsid w:val="580A1AEF"/>
    <w:rsid w:val="581672B0"/>
    <w:rsid w:val="581C2F61"/>
    <w:rsid w:val="58256929"/>
    <w:rsid w:val="585163F1"/>
    <w:rsid w:val="585414FC"/>
    <w:rsid w:val="58615BB3"/>
    <w:rsid w:val="58694401"/>
    <w:rsid w:val="586E207E"/>
    <w:rsid w:val="586E26D1"/>
    <w:rsid w:val="5875165E"/>
    <w:rsid w:val="58845D45"/>
    <w:rsid w:val="58900246"/>
    <w:rsid w:val="58900F42"/>
    <w:rsid w:val="58916856"/>
    <w:rsid w:val="58A33918"/>
    <w:rsid w:val="58B008E9"/>
    <w:rsid w:val="58DB4AA0"/>
    <w:rsid w:val="58F44C79"/>
    <w:rsid w:val="5900361E"/>
    <w:rsid w:val="590A0142"/>
    <w:rsid w:val="591A3FB4"/>
    <w:rsid w:val="593C3F2A"/>
    <w:rsid w:val="593C68FB"/>
    <w:rsid w:val="59597E8C"/>
    <w:rsid w:val="59850D58"/>
    <w:rsid w:val="599E73E6"/>
    <w:rsid w:val="59A673BE"/>
    <w:rsid w:val="59BD25AD"/>
    <w:rsid w:val="59E20F76"/>
    <w:rsid w:val="59F803A7"/>
    <w:rsid w:val="5A1924BD"/>
    <w:rsid w:val="5A2069EA"/>
    <w:rsid w:val="5A382944"/>
    <w:rsid w:val="5A4F5EDF"/>
    <w:rsid w:val="5A7A11BB"/>
    <w:rsid w:val="5AD977C2"/>
    <w:rsid w:val="5AE8436A"/>
    <w:rsid w:val="5AFF7905"/>
    <w:rsid w:val="5B123DD8"/>
    <w:rsid w:val="5B3E5FBD"/>
    <w:rsid w:val="5B4D20DA"/>
    <w:rsid w:val="5B767BC7"/>
    <w:rsid w:val="5B7969B6"/>
    <w:rsid w:val="5B7E56ED"/>
    <w:rsid w:val="5B857E0A"/>
    <w:rsid w:val="5B89601B"/>
    <w:rsid w:val="5BB02EA3"/>
    <w:rsid w:val="5BB90894"/>
    <w:rsid w:val="5BBE156E"/>
    <w:rsid w:val="5BC30933"/>
    <w:rsid w:val="5BC55769"/>
    <w:rsid w:val="5BE10621"/>
    <w:rsid w:val="5C2569D8"/>
    <w:rsid w:val="5C313EFF"/>
    <w:rsid w:val="5C424478"/>
    <w:rsid w:val="5C480E38"/>
    <w:rsid w:val="5C4810AA"/>
    <w:rsid w:val="5C91458D"/>
    <w:rsid w:val="5C97642D"/>
    <w:rsid w:val="5CDE50F3"/>
    <w:rsid w:val="5CEB2676"/>
    <w:rsid w:val="5D147ACC"/>
    <w:rsid w:val="5D186A5C"/>
    <w:rsid w:val="5D245401"/>
    <w:rsid w:val="5D2F3C01"/>
    <w:rsid w:val="5D3338F7"/>
    <w:rsid w:val="5D556C99"/>
    <w:rsid w:val="5D78495C"/>
    <w:rsid w:val="5D804F27"/>
    <w:rsid w:val="5D9E162F"/>
    <w:rsid w:val="5DAB2D49"/>
    <w:rsid w:val="5DC56BE4"/>
    <w:rsid w:val="5DF67822"/>
    <w:rsid w:val="5DF901F0"/>
    <w:rsid w:val="5E132CF0"/>
    <w:rsid w:val="5E2507A1"/>
    <w:rsid w:val="5E2F405E"/>
    <w:rsid w:val="5E4044BD"/>
    <w:rsid w:val="5E59732C"/>
    <w:rsid w:val="5E5D506F"/>
    <w:rsid w:val="5E622685"/>
    <w:rsid w:val="5E6A75DC"/>
    <w:rsid w:val="5E810042"/>
    <w:rsid w:val="5E96232F"/>
    <w:rsid w:val="5E987E55"/>
    <w:rsid w:val="5EA467FA"/>
    <w:rsid w:val="5EAB0589"/>
    <w:rsid w:val="5EC62C14"/>
    <w:rsid w:val="5ECC10FB"/>
    <w:rsid w:val="5EDE5351"/>
    <w:rsid w:val="5EEB5C6C"/>
    <w:rsid w:val="5EFC51BA"/>
    <w:rsid w:val="5F0A6934"/>
    <w:rsid w:val="5F132B6E"/>
    <w:rsid w:val="5F2D72D5"/>
    <w:rsid w:val="5F351B48"/>
    <w:rsid w:val="5F45213F"/>
    <w:rsid w:val="5F630698"/>
    <w:rsid w:val="5F69525E"/>
    <w:rsid w:val="5F6A598E"/>
    <w:rsid w:val="5F6C401A"/>
    <w:rsid w:val="5F733846"/>
    <w:rsid w:val="5F7F40F4"/>
    <w:rsid w:val="5F950838"/>
    <w:rsid w:val="5F9C3975"/>
    <w:rsid w:val="5FA55E96"/>
    <w:rsid w:val="5FBA6419"/>
    <w:rsid w:val="5FD464DF"/>
    <w:rsid w:val="5FD90725"/>
    <w:rsid w:val="5FD96977"/>
    <w:rsid w:val="5FDC62D8"/>
    <w:rsid w:val="600B28A8"/>
    <w:rsid w:val="600F05EB"/>
    <w:rsid w:val="601203DC"/>
    <w:rsid w:val="60151C53"/>
    <w:rsid w:val="60370713"/>
    <w:rsid w:val="606060AF"/>
    <w:rsid w:val="60624BBE"/>
    <w:rsid w:val="6065020A"/>
    <w:rsid w:val="60676DCA"/>
    <w:rsid w:val="6084426E"/>
    <w:rsid w:val="608E030B"/>
    <w:rsid w:val="608E7761"/>
    <w:rsid w:val="60A10BBB"/>
    <w:rsid w:val="60C413D5"/>
    <w:rsid w:val="60C53FFF"/>
    <w:rsid w:val="60C65089"/>
    <w:rsid w:val="60DA0809"/>
    <w:rsid w:val="60EF726F"/>
    <w:rsid w:val="610819C2"/>
    <w:rsid w:val="61236549"/>
    <w:rsid w:val="612B3202"/>
    <w:rsid w:val="6131633F"/>
    <w:rsid w:val="61336D07"/>
    <w:rsid w:val="613623CE"/>
    <w:rsid w:val="6138147B"/>
    <w:rsid w:val="61831D33"/>
    <w:rsid w:val="618B3D19"/>
    <w:rsid w:val="61A46B11"/>
    <w:rsid w:val="61A54FC4"/>
    <w:rsid w:val="61BE4076"/>
    <w:rsid w:val="61D70C94"/>
    <w:rsid w:val="61DF0CA9"/>
    <w:rsid w:val="61ED6709"/>
    <w:rsid w:val="621B5576"/>
    <w:rsid w:val="6226580B"/>
    <w:rsid w:val="624E318C"/>
    <w:rsid w:val="624F1172"/>
    <w:rsid w:val="625D5651"/>
    <w:rsid w:val="62636760"/>
    <w:rsid w:val="626562A0"/>
    <w:rsid w:val="626B71FE"/>
    <w:rsid w:val="62744852"/>
    <w:rsid w:val="6280132C"/>
    <w:rsid w:val="628E28E5"/>
    <w:rsid w:val="629871C2"/>
    <w:rsid w:val="62995C8C"/>
    <w:rsid w:val="62AE5E99"/>
    <w:rsid w:val="62D96C3F"/>
    <w:rsid w:val="62E96ED1"/>
    <w:rsid w:val="62F827B0"/>
    <w:rsid w:val="63163A3E"/>
    <w:rsid w:val="632154F3"/>
    <w:rsid w:val="632E547F"/>
    <w:rsid w:val="633345F0"/>
    <w:rsid w:val="633B7DC8"/>
    <w:rsid w:val="634B7B8C"/>
    <w:rsid w:val="635F25C0"/>
    <w:rsid w:val="638264C1"/>
    <w:rsid w:val="63A6752B"/>
    <w:rsid w:val="63B76FCF"/>
    <w:rsid w:val="63E36016"/>
    <w:rsid w:val="6417181C"/>
    <w:rsid w:val="642B52C7"/>
    <w:rsid w:val="642D54E3"/>
    <w:rsid w:val="643D6FD7"/>
    <w:rsid w:val="643F0DC9"/>
    <w:rsid w:val="644D5F04"/>
    <w:rsid w:val="64535AF0"/>
    <w:rsid w:val="64563013"/>
    <w:rsid w:val="645F3A90"/>
    <w:rsid w:val="64874BF3"/>
    <w:rsid w:val="648A46B1"/>
    <w:rsid w:val="649410BE"/>
    <w:rsid w:val="64A136D4"/>
    <w:rsid w:val="64BB0877"/>
    <w:rsid w:val="64E16222"/>
    <w:rsid w:val="64F46A76"/>
    <w:rsid w:val="652266CA"/>
    <w:rsid w:val="654256D3"/>
    <w:rsid w:val="654571A4"/>
    <w:rsid w:val="6548602A"/>
    <w:rsid w:val="654B3E73"/>
    <w:rsid w:val="65550A4F"/>
    <w:rsid w:val="657E7F74"/>
    <w:rsid w:val="65902389"/>
    <w:rsid w:val="65913850"/>
    <w:rsid w:val="659B2043"/>
    <w:rsid w:val="65A11CE5"/>
    <w:rsid w:val="65A61A5E"/>
    <w:rsid w:val="65C5081A"/>
    <w:rsid w:val="65D11E9E"/>
    <w:rsid w:val="65D1387D"/>
    <w:rsid w:val="65F22540"/>
    <w:rsid w:val="65F77B57"/>
    <w:rsid w:val="660071FD"/>
    <w:rsid w:val="66195D1F"/>
    <w:rsid w:val="66277148"/>
    <w:rsid w:val="663A3EE7"/>
    <w:rsid w:val="663C7C5F"/>
    <w:rsid w:val="665F536C"/>
    <w:rsid w:val="666C7391"/>
    <w:rsid w:val="668176AF"/>
    <w:rsid w:val="669A3963"/>
    <w:rsid w:val="669A4412"/>
    <w:rsid w:val="669E5C19"/>
    <w:rsid w:val="66B82E56"/>
    <w:rsid w:val="66BE0674"/>
    <w:rsid w:val="66C42A71"/>
    <w:rsid w:val="66D24120"/>
    <w:rsid w:val="66F54EE0"/>
    <w:rsid w:val="66F9464E"/>
    <w:rsid w:val="66FD6B02"/>
    <w:rsid w:val="66FD7BAF"/>
    <w:rsid w:val="670562A3"/>
    <w:rsid w:val="67232396"/>
    <w:rsid w:val="6739419F"/>
    <w:rsid w:val="673D77EB"/>
    <w:rsid w:val="675461A1"/>
    <w:rsid w:val="677B6565"/>
    <w:rsid w:val="6784498F"/>
    <w:rsid w:val="67901C4F"/>
    <w:rsid w:val="679F2254"/>
    <w:rsid w:val="67B51A77"/>
    <w:rsid w:val="67BA382B"/>
    <w:rsid w:val="67CF53F1"/>
    <w:rsid w:val="67D50650"/>
    <w:rsid w:val="67D643AB"/>
    <w:rsid w:val="67D77C40"/>
    <w:rsid w:val="67F72FBC"/>
    <w:rsid w:val="68014955"/>
    <w:rsid w:val="680D5E70"/>
    <w:rsid w:val="681922FA"/>
    <w:rsid w:val="682C6E97"/>
    <w:rsid w:val="6834244F"/>
    <w:rsid w:val="68522367"/>
    <w:rsid w:val="68566FEC"/>
    <w:rsid w:val="685E4C22"/>
    <w:rsid w:val="686457A3"/>
    <w:rsid w:val="686659D7"/>
    <w:rsid w:val="68B7537B"/>
    <w:rsid w:val="68B84F00"/>
    <w:rsid w:val="68BA09C6"/>
    <w:rsid w:val="68C72C21"/>
    <w:rsid w:val="68C857DA"/>
    <w:rsid w:val="68E0354D"/>
    <w:rsid w:val="68E635A2"/>
    <w:rsid w:val="68F20AA9"/>
    <w:rsid w:val="68F616BF"/>
    <w:rsid w:val="69054339"/>
    <w:rsid w:val="69151320"/>
    <w:rsid w:val="693A5225"/>
    <w:rsid w:val="69422432"/>
    <w:rsid w:val="696D6542"/>
    <w:rsid w:val="69793BEA"/>
    <w:rsid w:val="698457E6"/>
    <w:rsid w:val="69880FCE"/>
    <w:rsid w:val="698E07D2"/>
    <w:rsid w:val="69961FAC"/>
    <w:rsid w:val="699F2625"/>
    <w:rsid w:val="69A51678"/>
    <w:rsid w:val="69B02460"/>
    <w:rsid w:val="69BA15C7"/>
    <w:rsid w:val="69C45FA2"/>
    <w:rsid w:val="6A1905E9"/>
    <w:rsid w:val="6A205D9D"/>
    <w:rsid w:val="6A425119"/>
    <w:rsid w:val="6A45564A"/>
    <w:rsid w:val="6A464C09"/>
    <w:rsid w:val="6A927E4E"/>
    <w:rsid w:val="6AA9583A"/>
    <w:rsid w:val="6ADA3D9D"/>
    <w:rsid w:val="6B0B19AE"/>
    <w:rsid w:val="6B19231D"/>
    <w:rsid w:val="6B3074BD"/>
    <w:rsid w:val="6B683D09"/>
    <w:rsid w:val="6B7732DD"/>
    <w:rsid w:val="6B8101A2"/>
    <w:rsid w:val="6B981494"/>
    <w:rsid w:val="6B993E15"/>
    <w:rsid w:val="6BA92D4B"/>
    <w:rsid w:val="6BF12D98"/>
    <w:rsid w:val="6BF456DE"/>
    <w:rsid w:val="6C136D6D"/>
    <w:rsid w:val="6C2216A6"/>
    <w:rsid w:val="6C35284A"/>
    <w:rsid w:val="6C3D64DF"/>
    <w:rsid w:val="6C3E55D4"/>
    <w:rsid w:val="6C586E75"/>
    <w:rsid w:val="6C6367AC"/>
    <w:rsid w:val="6C691082"/>
    <w:rsid w:val="6C6E6330"/>
    <w:rsid w:val="6C992C0F"/>
    <w:rsid w:val="6CB33645"/>
    <w:rsid w:val="6CCB00A5"/>
    <w:rsid w:val="6CD1104B"/>
    <w:rsid w:val="6CE34991"/>
    <w:rsid w:val="6D0107FB"/>
    <w:rsid w:val="6D17288C"/>
    <w:rsid w:val="6D176D30"/>
    <w:rsid w:val="6D2B1638"/>
    <w:rsid w:val="6D2E358B"/>
    <w:rsid w:val="6D320C2E"/>
    <w:rsid w:val="6D361B08"/>
    <w:rsid w:val="6D3C2AD7"/>
    <w:rsid w:val="6D445395"/>
    <w:rsid w:val="6D4502D9"/>
    <w:rsid w:val="6D5E670D"/>
    <w:rsid w:val="6D655CEE"/>
    <w:rsid w:val="6D68133A"/>
    <w:rsid w:val="6D7B511A"/>
    <w:rsid w:val="6D8019DF"/>
    <w:rsid w:val="6D8E3228"/>
    <w:rsid w:val="6D9E2FAE"/>
    <w:rsid w:val="6DB74770"/>
    <w:rsid w:val="6DD531CE"/>
    <w:rsid w:val="6DDE15FC"/>
    <w:rsid w:val="6DE210EC"/>
    <w:rsid w:val="6DE76618"/>
    <w:rsid w:val="6DF17581"/>
    <w:rsid w:val="6DFB5D0A"/>
    <w:rsid w:val="6DFE1E43"/>
    <w:rsid w:val="6E2A554D"/>
    <w:rsid w:val="6E2A65EF"/>
    <w:rsid w:val="6E435213"/>
    <w:rsid w:val="6E5C0E9F"/>
    <w:rsid w:val="6E621798"/>
    <w:rsid w:val="6E652AF5"/>
    <w:rsid w:val="6E6731E5"/>
    <w:rsid w:val="6E894075"/>
    <w:rsid w:val="6E8B4986"/>
    <w:rsid w:val="6E90388F"/>
    <w:rsid w:val="6EF961C2"/>
    <w:rsid w:val="6EFB0794"/>
    <w:rsid w:val="6F0357BE"/>
    <w:rsid w:val="6F0D7A31"/>
    <w:rsid w:val="6F1F323C"/>
    <w:rsid w:val="6F2B6AC3"/>
    <w:rsid w:val="6F590925"/>
    <w:rsid w:val="6F6B4593"/>
    <w:rsid w:val="6F742218"/>
    <w:rsid w:val="6F7C731F"/>
    <w:rsid w:val="6F8952E4"/>
    <w:rsid w:val="6FA953FE"/>
    <w:rsid w:val="6FCC569C"/>
    <w:rsid w:val="6FCC613E"/>
    <w:rsid w:val="6FE31BB4"/>
    <w:rsid w:val="6FE57F3D"/>
    <w:rsid w:val="6FE86762"/>
    <w:rsid w:val="6FFB0457"/>
    <w:rsid w:val="6FFC37B4"/>
    <w:rsid w:val="700417EE"/>
    <w:rsid w:val="701632CF"/>
    <w:rsid w:val="701742D5"/>
    <w:rsid w:val="701A2DBF"/>
    <w:rsid w:val="702F0734"/>
    <w:rsid w:val="703C630F"/>
    <w:rsid w:val="70763D6E"/>
    <w:rsid w:val="70A95EF1"/>
    <w:rsid w:val="70E039B2"/>
    <w:rsid w:val="70E17439"/>
    <w:rsid w:val="70E95B16"/>
    <w:rsid w:val="70F8122E"/>
    <w:rsid w:val="711738A8"/>
    <w:rsid w:val="711A541B"/>
    <w:rsid w:val="714B6FA9"/>
    <w:rsid w:val="714F69EA"/>
    <w:rsid w:val="71500A63"/>
    <w:rsid w:val="717402AD"/>
    <w:rsid w:val="717800C7"/>
    <w:rsid w:val="717867DD"/>
    <w:rsid w:val="717A2908"/>
    <w:rsid w:val="71845937"/>
    <w:rsid w:val="71AA38B1"/>
    <w:rsid w:val="71AD12EF"/>
    <w:rsid w:val="71AE3D1E"/>
    <w:rsid w:val="71DC3C73"/>
    <w:rsid w:val="71E05992"/>
    <w:rsid w:val="71E47A47"/>
    <w:rsid w:val="71EF3DD8"/>
    <w:rsid w:val="71F413EE"/>
    <w:rsid w:val="72037883"/>
    <w:rsid w:val="72085008"/>
    <w:rsid w:val="72190E55"/>
    <w:rsid w:val="72451C4A"/>
    <w:rsid w:val="724D0AFE"/>
    <w:rsid w:val="725620A9"/>
    <w:rsid w:val="72651AE9"/>
    <w:rsid w:val="72712A3F"/>
    <w:rsid w:val="72924D40"/>
    <w:rsid w:val="72964253"/>
    <w:rsid w:val="72B648F6"/>
    <w:rsid w:val="72B76A57"/>
    <w:rsid w:val="72C5311C"/>
    <w:rsid w:val="72D248C7"/>
    <w:rsid w:val="72F64A73"/>
    <w:rsid w:val="72FA6ED8"/>
    <w:rsid w:val="72FE5F3C"/>
    <w:rsid w:val="72FF6DC6"/>
    <w:rsid w:val="730854BF"/>
    <w:rsid w:val="73506AF8"/>
    <w:rsid w:val="73565C82"/>
    <w:rsid w:val="73994C91"/>
    <w:rsid w:val="73A806E2"/>
    <w:rsid w:val="73B31ED4"/>
    <w:rsid w:val="73BC418E"/>
    <w:rsid w:val="73D70FC8"/>
    <w:rsid w:val="73EA06EE"/>
    <w:rsid w:val="73ED4347"/>
    <w:rsid w:val="740432D4"/>
    <w:rsid w:val="74082F2F"/>
    <w:rsid w:val="741436E6"/>
    <w:rsid w:val="74620786"/>
    <w:rsid w:val="74652236"/>
    <w:rsid w:val="74681C20"/>
    <w:rsid w:val="746D0CF1"/>
    <w:rsid w:val="7491561A"/>
    <w:rsid w:val="74956EB9"/>
    <w:rsid w:val="749D28C5"/>
    <w:rsid w:val="74AB6DA6"/>
    <w:rsid w:val="74AE1D28"/>
    <w:rsid w:val="74C90995"/>
    <w:rsid w:val="74C952E7"/>
    <w:rsid w:val="74E33B8B"/>
    <w:rsid w:val="74F31E31"/>
    <w:rsid w:val="74F65268"/>
    <w:rsid w:val="75124B06"/>
    <w:rsid w:val="751A181E"/>
    <w:rsid w:val="751D3870"/>
    <w:rsid w:val="7520091D"/>
    <w:rsid w:val="75460D0A"/>
    <w:rsid w:val="754E31AA"/>
    <w:rsid w:val="755D72AA"/>
    <w:rsid w:val="75640639"/>
    <w:rsid w:val="756553C7"/>
    <w:rsid w:val="758855B8"/>
    <w:rsid w:val="758B3E18"/>
    <w:rsid w:val="759C6025"/>
    <w:rsid w:val="75A44ED9"/>
    <w:rsid w:val="75CB0137"/>
    <w:rsid w:val="75DE0A54"/>
    <w:rsid w:val="75E77048"/>
    <w:rsid w:val="75EC52FE"/>
    <w:rsid w:val="760234CD"/>
    <w:rsid w:val="760B34E8"/>
    <w:rsid w:val="761D0291"/>
    <w:rsid w:val="761F47D6"/>
    <w:rsid w:val="764F68B0"/>
    <w:rsid w:val="765661D4"/>
    <w:rsid w:val="7662101C"/>
    <w:rsid w:val="767E179B"/>
    <w:rsid w:val="769D3E02"/>
    <w:rsid w:val="76AC2B94"/>
    <w:rsid w:val="76AC6359"/>
    <w:rsid w:val="76C82774"/>
    <w:rsid w:val="76F0259F"/>
    <w:rsid w:val="77056E7C"/>
    <w:rsid w:val="77111612"/>
    <w:rsid w:val="771B4C9C"/>
    <w:rsid w:val="77251495"/>
    <w:rsid w:val="773778C2"/>
    <w:rsid w:val="77511122"/>
    <w:rsid w:val="77D24EB7"/>
    <w:rsid w:val="77E0679B"/>
    <w:rsid w:val="77E40F26"/>
    <w:rsid w:val="77FE4D75"/>
    <w:rsid w:val="78021E42"/>
    <w:rsid w:val="780602A4"/>
    <w:rsid w:val="78082846"/>
    <w:rsid w:val="781D07A0"/>
    <w:rsid w:val="782D5C99"/>
    <w:rsid w:val="78354AF9"/>
    <w:rsid w:val="783C790D"/>
    <w:rsid w:val="784842F0"/>
    <w:rsid w:val="786077DD"/>
    <w:rsid w:val="78695321"/>
    <w:rsid w:val="787337F7"/>
    <w:rsid w:val="787E0B50"/>
    <w:rsid w:val="7890494D"/>
    <w:rsid w:val="789932EE"/>
    <w:rsid w:val="78AC2E26"/>
    <w:rsid w:val="78BB34B4"/>
    <w:rsid w:val="78DF3E8C"/>
    <w:rsid w:val="78E2413B"/>
    <w:rsid w:val="78EF0B61"/>
    <w:rsid w:val="78EF3981"/>
    <w:rsid w:val="78F74EDC"/>
    <w:rsid w:val="78FF6FF6"/>
    <w:rsid w:val="79176A2C"/>
    <w:rsid w:val="79377117"/>
    <w:rsid w:val="793E0937"/>
    <w:rsid w:val="79571BA4"/>
    <w:rsid w:val="795A247F"/>
    <w:rsid w:val="795C2A02"/>
    <w:rsid w:val="79882FA3"/>
    <w:rsid w:val="799650EA"/>
    <w:rsid w:val="79C6222F"/>
    <w:rsid w:val="79C8172F"/>
    <w:rsid w:val="79E907A1"/>
    <w:rsid w:val="79F14F97"/>
    <w:rsid w:val="79FA1FAB"/>
    <w:rsid w:val="79FE33FA"/>
    <w:rsid w:val="7A0E5017"/>
    <w:rsid w:val="7A2307BF"/>
    <w:rsid w:val="7A260E7E"/>
    <w:rsid w:val="7A486D1D"/>
    <w:rsid w:val="7A4E3666"/>
    <w:rsid w:val="7A6A04A0"/>
    <w:rsid w:val="7A7466C1"/>
    <w:rsid w:val="7A8221FE"/>
    <w:rsid w:val="7AA17C39"/>
    <w:rsid w:val="7AAF2A20"/>
    <w:rsid w:val="7ADC27A3"/>
    <w:rsid w:val="7AF65834"/>
    <w:rsid w:val="7B0D608D"/>
    <w:rsid w:val="7B1D7C08"/>
    <w:rsid w:val="7B313090"/>
    <w:rsid w:val="7B5B24DE"/>
    <w:rsid w:val="7B6E3FBF"/>
    <w:rsid w:val="7B8373C8"/>
    <w:rsid w:val="7B9B0B2D"/>
    <w:rsid w:val="7BA35EEC"/>
    <w:rsid w:val="7BBB055C"/>
    <w:rsid w:val="7BC95D35"/>
    <w:rsid w:val="7BCF367B"/>
    <w:rsid w:val="7C104CD2"/>
    <w:rsid w:val="7C1D51A9"/>
    <w:rsid w:val="7C1E5F70"/>
    <w:rsid w:val="7C245FB3"/>
    <w:rsid w:val="7C2645C2"/>
    <w:rsid w:val="7C291201"/>
    <w:rsid w:val="7C5A2796"/>
    <w:rsid w:val="7C5C650E"/>
    <w:rsid w:val="7C5D3063"/>
    <w:rsid w:val="7C5E7D88"/>
    <w:rsid w:val="7C703D67"/>
    <w:rsid w:val="7CA817AA"/>
    <w:rsid w:val="7CCE35F1"/>
    <w:rsid w:val="7CD42548"/>
    <w:rsid w:val="7CD74E1C"/>
    <w:rsid w:val="7D31333B"/>
    <w:rsid w:val="7D4D5E56"/>
    <w:rsid w:val="7D5C1B92"/>
    <w:rsid w:val="7D5D42EC"/>
    <w:rsid w:val="7D741916"/>
    <w:rsid w:val="7D7B1565"/>
    <w:rsid w:val="7DAA5437"/>
    <w:rsid w:val="7DB91297"/>
    <w:rsid w:val="7DC07039"/>
    <w:rsid w:val="7DD90D08"/>
    <w:rsid w:val="7DE71E07"/>
    <w:rsid w:val="7DEC7DAB"/>
    <w:rsid w:val="7DF438B1"/>
    <w:rsid w:val="7DFD5ACF"/>
    <w:rsid w:val="7E0D5D12"/>
    <w:rsid w:val="7E16508A"/>
    <w:rsid w:val="7E244EA5"/>
    <w:rsid w:val="7E372D8F"/>
    <w:rsid w:val="7E6E2528"/>
    <w:rsid w:val="7E83388F"/>
    <w:rsid w:val="7EBC7738"/>
    <w:rsid w:val="7ECD3B93"/>
    <w:rsid w:val="7ED71149"/>
    <w:rsid w:val="7EDB7BBE"/>
    <w:rsid w:val="7EF96296"/>
    <w:rsid w:val="7F0F5AB9"/>
    <w:rsid w:val="7F136F7F"/>
    <w:rsid w:val="7F144E7E"/>
    <w:rsid w:val="7F300BDF"/>
    <w:rsid w:val="7F5259A6"/>
    <w:rsid w:val="7F565496"/>
    <w:rsid w:val="7F6A37A6"/>
    <w:rsid w:val="7F83447B"/>
    <w:rsid w:val="7F8A6AC9"/>
    <w:rsid w:val="7F8E2E82"/>
    <w:rsid w:val="7F937C8F"/>
    <w:rsid w:val="7F957128"/>
    <w:rsid w:val="7F97507F"/>
    <w:rsid w:val="7FBC6941"/>
    <w:rsid w:val="7FC85C74"/>
    <w:rsid w:val="7FCB0E53"/>
    <w:rsid w:val="7FCD302E"/>
    <w:rsid w:val="7FCE327F"/>
    <w:rsid w:val="7FE26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spacing w:before="280" w:after="290" w:line="376" w:lineRule="auto"/>
      <w:outlineLvl w:val="3"/>
    </w:pPr>
    <w:rPr>
      <w:rFonts w:asciiTheme="majorHAnsi" w:hAnsiTheme="majorHAnsi" w:cstheme="majorBidi"/>
      <w:b/>
      <w:bCs/>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autoRedefine/>
    <w:qFormat/>
    <w:uiPriority w:val="0"/>
    <w:rPr>
      <w:rFonts w:ascii="楷体_GB2312" w:hAnsi="Arial" w:eastAsia="楷体_GB2312"/>
      <w:szCs w:val="28"/>
    </w:rPr>
  </w:style>
  <w:style w:type="paragraph" w:styleId="9">
    <w:name w:val="Plain Text"/>
    <w:basedOn w:val="1"/>
    <w:autoRedefine/>
    <w:qFormat/>
    <w:uiPriority w:val="99"/>
    <w:rPr>
      <w:rFonts w:hAnsi="Courier New"/>
      <w:szCs w:val="22"/>
    </w:rPr>
  </w:style>
  <w:style w:type="paragraph" w:styleId="10">
    <w:name w:val="Balloon Text"/>
    <w:basedOn w:val="1"/>
    <w:link w:val="33"/>
    <w:autoRedefine/>
    <w:qFormat/>
    <w:uiPriority w:val="0"/>
    <w:pPr>
      <w:spacing w:line="240" w:lineRule="auto"/>
    </w:pPr>
    <w:rPr>
      <w:sz w:val="18"/>
      <w:szCs w:val="18"/>
    </w:rPr>
  </w:style>
  <w:style w:type="paragraph" w:styleId="11">
    <w:name w:val="footer"/>
    <w:basedOn w:val="1"/>
    <w:autoRedefine/>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2"/>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autoRedefine/>
    <w:qFormat/>
    <w:uiPriority w:val="0"/>
  </w:style>
  <w:style w:type="paragraph" w:styleId="14">
    <w:name w:val="Normal (Web)"/>
    <w:basedOn w:val="1"/>
    <w:autoRedefine/>
    <w:unhideWhenUsed/>
    <w:qFormat/>
    <w:uiPriority w:val="99"/>
    <w:pPr>
      <w:widowControl/>
      <w:spacing w:before="100" w:beforeAutospacing="1" w:after="100" w:afterAutospacing="1"/>
      <w:jc w:val="left"/>
    </w:pPr>
    <w:rPr>
      <w:rFonts w:hAnsi="宋体" w:eastAsia="宋体" w:cs="宋体"/>
      <w:sz w:val="24"/>
      <w:szCs w:val="24"/>
    </w:rPr>
  </w:style>
  <w:style w:type="paragraph" w:styleId="15">
    <w:name w:val="Body Text First Indent"/>
    <w:basedOn w:val="1"/>
    <w:qFormat/>
    <w:uiPriority w:val="0"/>
    <w:pPr>
      <w:spacing w:before="0" w:after="120"/>
      <w:ind w:left="0" w:firstLine="420" w:firstLineChars="100"/>
    </w:pPr>
    <w:rPr>
      <w:rFonts w:eastAsia="Calibri"/>
      <w:sz w:val="22"/>
      <w:szCs w:val="2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autoRedefine/>
    <w:qFormat/>
    <w:uiPriority w:val="0"/>
  </w:style>
  <w:style w:type="character" w:styleId="21">
    <w:name w:val="FollowedHyperlink"/>
    <w:basedOn w:val="18"/>
    <w:autoRedefine/>
    <w:qFormat/>
    <w:uiPriority w:val="0"/>
    <w:rPr>
      <w:color w:val="800080"/>
      <w:u w:val="none"/>
    </w:rPr>
  </w:style>
  <w:style w:type="character" w:styleId="22">
    <w:name w:val="Hyperlink"/>
    <w:basedOn w:val="18"/>
    <w:autoRedefine/>
    <w:qFormat/>
    <w:uiPriority w:val="0"/>
    <w:rPr>
      <w:color w:val="0000FF"/>
      <w:u w:val="none"/>
    </w:rPr>
  </w:style>
  <w:style w:type="character" w:styleId="23">
    <w:name w:val="annotation reference"/>
    <w:basedOn w:val="18"/>
    <w:qFormat/>
    <w:uiPriority w:val="0"/>
    <w:rPr>
      <w:sz w:val="21"/>
      <w:szCs w:val="21"/>
    </w:rPr>
  </w:style>
  <w:style w:type="paragraph" w:customStyle="1" w:styleId="24">
    <w:name w:val="NormalIndent"/>
    <w:basedOn w:val="1"/>
    <w:autoRedefine/>
    <w:qFormat/>
    <w:uiPriority w:val="0"/>
    <w:pPr>
      <w:widowControl/>
      <w:ind w:firstLine="420"/>
    </w:pPr>
  </w:style>
  <w:style w:type="paragraph" w:customStyle="1" w:styleId="25">
    <w:name w:val="正文（文本）"/>
    <w:autoRedefine/>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26">
    <w:name w:val="列表段落1"/>
    <w:basedOn w:val="1"/>
    <w:autoRedefine/>
    <w:qFormat/>
    <w:uiPriority w:val="0"/>
    <w:pPr>
      <w:adjustRightInd/>
      <w:spacing w:line="240" w:lineRule="auto"/>
      <w:ind w:firstLine="420" w:firstLineChars="200"/>
      <w:textAlignment w:val="auto"/>
    </w:pPr>
    <w:rPr>
      <w:rFonts w:ascii="Calibri" w:hAnsi="Calibri" w:eastAsia="宋体"/>
      <w:kern w:val="2"/>
      <w:sz w:val="21"/>
    </w:rPr>
  </w:style>
  <w:style w:type="paragraph" w:customStyle="1" w:styleId="27">
    <w:name w:val="正文空2格  1."/>
    <w:basedOn w:val="1"/>
    <w:autoRedefine/>
    <w:qFormat/>
    <w:uiPriority w:val="0"/>
    <w:pPr>
      <w:ind w:firstLine="480" w:firstLineChars="200"/>
    </w:pPr>
    <w:rPr>
      <w:rFonts w:cs="宋体"/>
      <w:szCs w:val="20"/>
    </w:rPr>
  </w:style>
  <w:style w:type="paragraph" w:customStyle="1" w:styleId="28">
    <w:name w:val="正文 1.1"/>
    <w:basedOn w:val="1"/>
    <w:next w:val="29"/>
    <w:autoRedefine/>
    <w:qFormat/>
    <w:uiPriority w:val="0"/>
    <w:pPr>
      <w:numPr>
        <w:ilvl w:val="1"/>
        <w:numId w:val="1"/>
      </w:numPr>
      <w:outlineLvl w:val="1"/>
    </w:pPr>
    <w:rPr>
      <w:rFonts w:ascii="仿宋" w:hAnsi="仿宋"/>
      <w:b/>
    </w:rPr>
  </w:style>
  <w:style w:type="paragraph" w:customStyle="1" w:styleId="29">
    <w:name w:val="正文 1.1.1"/>
    <w:basedOn w:val="1"/>
    <w:next w:val="1"/>
    <w:autoRedefine/>
    <w:qFormat/>
    <w:uiPriority w:val="0"/>
    <w:pPr>
      <w:numPr>
        <w:ilvl w:val="2"/>
        <w:numId w:val="1"/>
      </w:numPr>
      <w:outlineLvl w:val="2"/>
    </w:pPr>
    <w:rPr>
      <w:rFonts w:hAnsi="宋体" w:eastAsia="宋体"/>
      <w:color w:val="FF0000"/>
    </w:rPr>
  </w:style>
  <w:style w:type="paragraph" w:customStyle="1" w:styleId="30">
    <w:name w:val="正文缩进1"/>
    <w:basedOn w:val="1"/>
    <w:autoRedefine/>
    <w:qFormat/>
    <w:uiPriority w:val="0"/>
    <w:pPr>
      <w:ind w:firstLine="420" w:firstLineChars="200"/>
    </w:pPr>
    <w:rPr>
      <w:sz w:val="24"/>
    </w:rPr>
  </w:style>
  <w:style w:type="character" w:customStyle="1" w:styleId="31">
    <w:name w:val="页码1"/>
    <w:basedOn w:val="18"/>
    <w:autoRedefine/>
    <w:qFormat/>
    <w:uiPriority w:val="0"/>
  </w:style>
  <w:style w:type="character" w:customStyle="1" w:styleId="32">
    <w:name w:val="页眉 字符"/>
    <w:basedOn w:val="18"/>
    <w:link w:val="12"/>
    <w:autoRedefine/>
    <w:qFormat/>
    <w:uiPriority w:val="0"/>
    <w:rPr>
      <w:rFonts w:ascii="宋体" w:hAnsi="Times New Roman" w:eastAsia="仿宋" w:cs="Times New Roman"/>
      <w:sz w:val="18"/>
      <w:szCs w:val="18"/>
    </w:rPr>
  </w:style>
  <w:style w:type="character" w:customStyle="1" w:styleId="33">
    <w:name w:val="批注框文本 字符"/>
    <w:basedOn w:val="18"/>
    <w:link w:val="10"/>
    <w:autoRedefine/>
    <w:qFormat/>
    <w:uiPriority w:val="0"/>
    <w:rPr>
      <w:rFonts w:ascii="宋体" w:eastAsia="仿宋"/>
      <w:sz w:val="18"/>
      <w:szCs w:val="18"/>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paragraph" w:customStyle="1" w:styleId="35">
    <w:name w:val="普通正文"/>
    <w:basedOn w:val="36"/>
    <w:autoRedefine/>
    <w:qFormat/>
    <w:uiPriority w:val="0"/>
    <w:pPr>
      <w:adjustRightInd w:val="0"/>
      <w:spacing w:before="120" w:after="120" w:line="360" w:lineRule="auto"/>
      <w:ind w:firstLine="480"/>
      <w:textAlignment w:val="baseline"/>
    </w:pPr>
    <w:rPr>
      <w:rFonts w:ascii="Arial" w:hAnsi="Arial"/>
      <w:sz w:val="24"/>
      <w:szCs w:val="24"/>
    </w:rPr>
  </w:style>
  <w:style w:type="paragraph" w:customStyle="1" w:styleId="36">
    <w:name w:val="正文1"/>
    <w:autoRedefine/>
    <w:qFormat/>
    <w:uiPriority w:val="0"/>
    <w:pPr>
      <w:widowControl w:val="0"/>
      <w:jc w:val="both"/>
    </w:pPr>
    <w:rPr>
      <w:rFonts w:ascii="Times New Roman" w:hAnsi="Times New Roman" w:eastAsia="宋体" w:cs="Times New Roman"/>
      <w:sz w:val="21"/>
      <w:szCs w:val="21"/>
      <w:lang w:val="en-US" w:eastAsia="zh-CN" w:bidi="ar-SA"/>
    </w:rPr>
  </w:style>
  <w:style w:type="paragraph" w:customStyle="1" w:styleId="37">
    <w:name w:val="列出段落1"/>
    <w:basedOn w:val="1"/>
    <w:autoRedefine/>
    <w:qFormat/>
    <w:uiPriority w:val="0"/>
    <w:pPr>
      <w:ind w:firstLine="420" w:firstLineChars="200"/>
    </w:pPr>
    <w:rPr>
      <w:szCs w:val="24"/>
    </w:rPr>
  </w:style>
  <w:style w:type="character" w:customStyle="1" w:styleId="38">
    <w:name w:val="nth-child(2)"/>
    <w:basedOn w:val="18"/>
    <w:autoRedefine/>
    <w:qFormat/>
    <w:uiPriority w:val="0"/>
  </w:style>
  <w:style w:type="character" w:customStyle="1" w:styleId="39">
    <w:name w:val="nth-child(2)1"/>
    <w:basedOn w:val="18"/>
    <w:autoRedefine/>
    <w:qFormat/>
    <w:uiPriority w:val="0"/>
  </w:style>
  <w:style w:type="character" w:customStyle="1" w:styleId="40">
    <w:name w:val="z2"/>
    <w:basedOn w:val="18"/>
    <w:autoRedefine/>
    <w:qFormat/>
    <w:uiPriority w:val="0"/>
    <w:rPr>
      <w:color w:val="0C69B7"/>
      <w:shd w:val="clear" w:color="auto" w:fill="FFFFFF"/>
    </w:rPr>
  </w:style>
  <w:style w:type="character" w:customStyle="1" w:styleId="41">
    <w:name w:val="zx"/>
    <w:basedOn w:val="18"/>
    <w:autoRedefine/>
    <w:qFormat/>
    <w:uiPriority w:val="0"/>
    <w:rPr>
      <w:color w:val="2FB8A0"/>
      <w:bdr w:val="single" w:color="2FB8A0" w:sz="4" w:space="0"/>
    </w:rPr>
  </w:style>
  <w:style w:type="character" w:customStyle="1" w:styleId="42">
    <w:name w:val="act"/>
    <w:basedOn w:val="18"/>
    <w:autoRedefine/>
    <w:qFormat/>
    <w:uiPriority w:val="0"/>
    <w:rPr>
      <w:shd w:val="clear" w:color="auto" w:fill="FF9900"/>
    </w:rPr>
  </w:style>
  <w:style w:type="character" w:customStyle="1" w:styleId="43">
    <w:name w:val="act1"/>
    <w:basedOn w:val="18"/>
    <w:autoRedefine/>
    <w:qFormat/>
    <w:uiPriority w:val="0"/>
    <w:rPr>
      <w:color w:val="0C69B7"/>
    </w:rPr>
  </w:style>
  <w:style w:type="character" w:customStyle="1" w:styleId="44">
    <w:name w:val="act2"/>
    <w:basedOn w:val="18"/>
    <w:autoRedefine/>
    <w:qFormat/>
    <w:uiPriority w:val="0"/>
    <w:rPr>
      <w:color w:val="4D87BE"/>
      <w:shd w:val="clear" w:color="auto" w:fill="FFFFFF"/>
    </w:rPr>
  </w:style>
  <w:style w:type="character" w:customStyle="1" w:styleId="45">
    <w:name w:val="act3"/>
    <w:basedOn w:val="18"/>
    <w:autoRedefine/>
    <w:qFormat/>
    <w:uiPriority w:val="0"/>
    <w:rPr>
      <w:color w:val="4D87BE"/>
      <w:shd w:val="clear" w:color="auto" w:fill="FFFFFF"/>
    </w:rPr>
  </w:style>
  <w:style w:type="character" w:customStyle="1" w:styleId="46">
    <w:name w:val="jb"/>
    <w:basedOn w:val="18"/>
    <w:autoRedefine/>
    <w:qFormat/>
    <w:uiPriority w:val="0"/>
    <w:rPr>
      <w:color w:val="E2A229"/>
      <w:bdr w:val="single" w:color="E2A229" w:sz="4" w:space="0"/>
    </w:rPr>
  </w:style>
  <w:style w:type="character" w:customStyle="1" w:styleId="47">
    <w:name w:val="ts"/>
    <w:basedOn w:val="18"/>
    <w:autoRedefine/>
    <w:qFormat/>
    <w:uiPriority w:val="0"/>
    <w:rPr>
      <w:color w:val="C82A3F"/>
      <w:bdr w:val="single" w:color="C82A3F" w:sz="4" w:space="0"/>
    </w:rPr>
  </w:style>
  <w:style w:type="character" w:customStyle="1" w:styleId="48">
    <w:name w:val="jxz"/>
    <w:basedOn w:val="18"/>
    <w:autoRedefine/>
    <w:qFormat/>
    <w:uiPriority w:val="0"/>
    <w:rPr>
      <w:color w:val="C82A3F"/>
      <w:bdr w:val="single" w:color="C82A3F" w:sz="4" w:space="0"/>
    </w:rPr>
  </w:style>
  <w:style w:type="character" w:customStyle="1" w:styleId="49">
    <w:name w:val="act4"/>
    <w:basedOn w:val="18"/>
    <w:autoRedefine/>
    <w:qFormat/>
    <w:uiPriority w:val="0"/>
    <w:rPr>
      <w:color w:val="4D87BE"/>
      <w:shd w:val="clear" w:color="auto" w:fill="FFFFFF"/>
    </w:rPr>
  </w:style>
  <w:style w:type="character" w:customStyle="1" w:styleId="50">
    <w:name w:val="act5"/>
    <w:basedOn w:val="18"/>
    <w:autoRedefine/>
    <w:qFormat/>
    <w:uiPriority w:val="0"/>
    <w:rPr>
      <w:color w:val="0C69B7"/>
    </w:rPr>
  </w:style>
  <w:style w:type="paragraph" w:customStyle="1" w:styleId="51">
    <w:name w:val="Char"/>
    <w:basedOn w:val="1"/>
    <w:autoRedefine/>
    <w:qFormat/>
    <w:uiPriority w:val="0"/>
    <w:pPr>
      <w:tabs>
        <w:tab w:val="left" w:pos="360"/>
      </w:tabs>
      <w:ind w:firstLine="561"/>
      <w:jc w:val="left"/>
    </w:pPr>
    <w:rPr>
      <w:sz w:val="24"/>
    </w:rPr>
  </w:style>
  <w:style w:type="paragraph" w:customStyle="1" w:styleId="52">
    <w:name w:val="正文 A"/>
    <w:autoRedefine/>
    <w:qFormat/>
    <w:uiPriority w:val="99"/>
    <w:rPr>
      <w:rFonts w:ascii="Arial Unicode MS" w:hAnsi="Arial Unicode MS" w:eastAsia="宋体" w:cs="Arial Unicode MS"/>
      <w:color w:val="000000"/>
      <w:lang w:val="en-US" w:eastAsia="zh-CN" w:bidi="ar-SA"/>
    </w:rPr>
  </w:style>
  <w:style w:type="paragraph" w:customStyle="1" w:styleId="53">
    <w:name w:val="00-合正"/>
    <w:basedOn w:val="1"/>
    <w:autoRedefine/>
    <w:qFormat/>
    <w:uiPriority w:val="0"/>
    <w:pPr>
      <w:spacing w:line="560" w:lineRule="exact"/>
      <w:ind w:firstLine="200" w:firstLineChars="200"/>
      <w:jc w:val="left"/>
    </w:pPr>
    <w:rPr>
      <w:rFonts w:ascii="楷体" w:hAnsi="楷体" w:eastAsia="楷体"/>
      <w:color w:val="000000"/>
      <w:szCs w:val="24"/>
    </w:rPr>
  </w:style>
  <w:style w:type="paragraph" w:customStyle="1" w:styleId="54">
    <w:name w:val="首行缩进"/>
    <w:basedOn w:val="1"/>
    <w:autoRedefine/>
    <w:qFormat/>
    <w:uiPriority w:val="99"/>
    <w:pPr>
      <w:ind w:firstLine="480" w:firstLineChars="200"/>
    </w:pPr>
    <w:rPr>
      <w:rFonts w:eastAsia="宋体"/>
      <w:sz w:val="24"/>
      <w:szCs w:val="20"/>
    </w:rPr>
  </w:style>
  <w:style w:type="character" w:customStyle="1" w:styleId="55">
    <w:name w:val="NormalCharacter"/>
    <w:autoRedefine/>
    <w:qFormat/>
    <w:uiPriority w:val="0"/>
    <w:rPr>
      <w:kern w:val="2"/>
      <w:sz w:val="21"/>
      <w:szCs w:val="22"/>
      <w:lang w:val="en-US" w:eastAsia="zh-CN" w:bidi="ar-SA"/>
    </w:rPr>
  </w:style>
  <w:style w:type="character" w:customStyle="1" w:styleId="56">
    <w:name w:val="case31"/>
    <w:qFormat/>
    <w:uiPriority w:val="0"/>
    <w:rPr>
      <w:rFonts w:hint="default" w:ascii="_x000B__x000C_" w:hAnsi="_x000B__x000C_"/>
      <w:sz w:val="21"/>
      <w:szCs w:val="21"/>
    </w:rPr>
  </w:style>
  <w:style w:type="paragraph" w:customStyle="1" w:styleId="57">
    <w:name w:val="_Style 1"/>
    <w:basedOn w:val="1"/>
    <w:qFormat/>
    <w:uiPriority w:val="0"/>
    <w:pPr>
      <w:ind w:firstLine="420" w:firstLineChars="200"/>
    </w:pPr>
  </w:style>
  <w:style w:type="paragraph" w:customStyle="1" w:styleId="58">
    <w:name w:val="Revision"/>
    <w:hidden/>
    <w:unhideWhenUsed/>
    <w:qFormat/>
    <w:uiPriority w:val="99"/>
    <w:rPr>
      <w:rFonts w:ascii="宋体" w:hAnsi="Times New Roman" w:eastAsia="仿宋" w:cs="Times New Roman"/>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5B25-235A-47DE-8C79-10C59B0ED78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14057</Words>
  <Characters>14947</Characters>
  <Lines>267</Lines>
  <Paragraphs>75</Paragraphs>
  <TotalTime>0</TotalTime>
  <ScaleCrop>false</ScaleCrop>
  <LinksUpToDate>false</LinksUpToDate>
  <CharactersWithSpaces>15196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2020-05-14T09:03:00Z</dcterms:created>
  <dc:creator>秋实</dc:creator>
  <cp:lastModifiedBy>博采</cp:lastModifiedBy>
  <cp:lastPrinted>2024-09-10T01:34:00Z</cp:lastPrinted>
  <dcterms:modified xsi:type="dcterms:W3CDTF">2024-10-28T03:07:55Z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C39F6D7CE8174508A2EDE007B324E16C_13</vt:lpwstr>
  </property>
</Properties>
</file>