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6F3DB">
      <w:pPr>
        <w:pStyle w:val="27"/>
        <w:pageBreakBefore w:val="0"/>
        <w:widowControl/>
        <w:kinsoku/>
        <w:bidi w:val="0"/>
        <w:snapToGrid w:val="0"/>
        <w:spacing w:before="0" w:after="0" w:line="360" w:lineRule="auto"/>
        <w:ind w:firstLine="0"/>
        <w:jc w:val="center"/>
        <w:rPr>
          <w:rFonts w:hint="eastAsia" w:ascii="仿宋" w:hAnsi="仿宋" w:eastAsia="仿宋" w:cs="仿宋"/>
          <w:b/>
          <w:bCs/>
          <w:sz w:val="84"/>
          <w:szCs w:val="84"/>
          <w:highlight w:val="none"/>
        </w:rPr>
      </w:pPr>
    </w:p>
    <w:p w14:paraId="7CFD72FE">
      <w:pPr>
        <w:pStyle w:val="27"/>
        <w:pageBreakBefore w:val="0"/>
        <w:widowControl/>
        <w:kinsoku/>
        <w:bidi w:val="0"/>
        <w:snapToGrid w:val="0"/>
        <w:spacing w:before="0" w:after="0" w:line="360" w:lineRule="auto"/>
        <w:ind w:firstLine="0"/>
        <w:jc w:val="center"/>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询价文件</w:t>
      </w:r>
    </w:p>
    <w:p w14:paraId="52142BC3">
      <w:pPr>
        <w:pStyle w:val="27"/>
        <w:pageBreakBefore w:val="0"/>
        <w:widowControl/>
        <w:kinsoku/>
        <w:bidi w:val="0"/>
        <w:snapToGrid w:val="0"/>
        <w:spacing w:before="0" w:after="0" w:line="360" w:lineRule="auto"/>
        <w:ind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 xml:space="preserve"> </w:t>
      </w:r>
    </w:p>
    <w:p w14:paraId="01CF13D0">
      <w:pPr>
        <w:pStyle w:val="27"/>
        <w:pageBreakBefore w:val="0"/>
        <w:widowControl/>
        <w:kinsoku/>
        <w:bidi w:val="0"/>
        <w:snapToGrid w:val="0"/>
        <w:spacing w:before="0" w:after="0" w:line="360" w:lineRule="auto"/>
        <w:ind w:firstLine="0"/>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项目名称：</w:t>
      </w:r>
      <w:r>
        <w:rPr>
          <w:rFonts w:hint="eastAsia" w:ascii="仿宋" w:hAnsi="仿宋" w:eastAsia="仿宋" w:cs="仿宋"/>
          <w:b/>
          <w:sz w:val="36"/>
          <w:szCs w:val="36"/>
          <w:highlight w:val="none"/>
          <w:lang w:eastAsia="zh-CN"/>
        </w:rPr>
        <w:t>伙房荤菜采购项目(2025年1-3月）（第二次）</w:t>
      </w:r>
    </w:p>
    <w:p w14:paraId="02FE5F21">
      <w:pPr>
        <w:pStyle w:val="27"/>
        <w:pageBreakBefore w:val="0"/>
        <w:widowControl/>
        <w:kinsoku/>
        <w:bidi w:val="0"/>
        <w:snapToGrid w:val="0"/>
        <w:spacing w:before="0" w:after="0" w:line="360" w:lineRule="auto"/>
        <w:ind w:left="0" w:leftChars="0" w:firstLine="0" w:firstLineChars="0"/>
        <w:jc w:val="center"/>
        <w:rPr>
          <w:rFonts w:hint="eastAsia" w:ascii="仿宋" w:hAnsi="仿宋" w:eastAsia="仿宋" w:cs="仿宋"/>
          <w:b/>
          <w:sz w:val="36"/>
          <w:szCs w:val="36"/>
          <w:highlight w:val="none"/>
          <w:lang w:eastAsia="zh-CN"/>
        </w:rPr>
      </w:pPr>
      <w:r>
        <w:rPr>
          <w:rFonts w:hint="eastAsia" w:ascii="仿宋" w:hAnsi="仿宋" w:eastAsia="仿宋" w:cs="仿宋"/>
          <w:b/>
          <w:bCs/>
          <w:sz w:val="32"/>
          <w:szCs w:val="32"/>
          <w:highlight w:val="none"/>
        </w:rPr>
        <w:t>项目编号：</w:t>
      </w:r>
      <w:r>
        <w:rPr>
          <w:rFonts w:hint="eastAsia" w:ascii="仿宋" w:hAnsi="仿宋" w:eastAsia="仿宋" w:cs="仿宋"/>
          <w:b/>
          <w:sz w:val="36"/>
          <w:szCs w:val="36"/>
          <w:highlight w:val="none"/>
          <w:lang w:eastAsia="zh-CN"/>
        </w:rPr>
        <w:t>ZJ-JY-2024099</w:t>
      </w:r>
    </w:p>
    <w:p w14:paraId="5A4EBD21">
      <w:pPr>
        <w:pStyle w:val="27"/>
        <w:pageBreakBefore w:val="0"/>
        <w:widowControl/>
        <w:kinsoku/>
        <w:bidi w:val="0"/>
        <w:snapToGrid w:val="0"/>
        <w:spacing w:before="0" w:after="0" w:line="360" w:lineRule="auto"/>
        <w:ind w:left="0" w:leftChars="0" w:firstLine="0" w:firstLineChars="0"/>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代理机构内部编号：ZJ203224534635</w:t>
      </w:r>
    </w:p>
    <w:p w14:paraId="2FDE8EFE">
      <w:pPr>
        <w:pStyle w:val="27"/>
        <w:pageBreakBefore w:val="0"/>
        <w:widowControl/>
        <w:kinsoku/>
        <w:bidi w:val="0"/>
        <w:snapToGrid w:val="0"/>
        <w:spacing w:before="0" w:after="0" w:line="360" w:lineRule="auto"/>
        <w:ind w:firstLine="0"/>
        <w:rPr>
          <w:rFonts w:hint="eastAsia" w:ascii="仿宋" w:hAnsi="仿宋" w:eastAsia="仿宋" w:cs="仿宋"/>
          <w:highlight w:val="none"/>
        </w:rPr>
      </w:pPr>
      <w:r>
        <w:rPr>
          <w:rFonts w:hint="eastAsia" w:ascii="仿宋" w:hAnsi="仿宋" w:eastAsia="仿宋" w:cs="仿宋"/>
          <w:highlight w:val="none"/>
        </w:rPr>
        <w:t xml:space="preserve"> </w:t>
      </w:r>
    </w:p>
    <w:p w14:paraId="49BFFF43">
      <w:pPr>
        <w:pStyle w:val="27"/>
        <w:pageBreakBefore w:val="0"/>
        <w:widowControl/>
        <w:kinsoku/>
        <w:bidi w:val="0"/>
        <w:snapToGrid w:val="0"/>
        <w:spacing w:before="0" w:after="0" w:line="360" w:lineRule="auto"/>
        <w:ind w:firstLine="0"/>
        <w:rPr>
          <w:rFonts w:hint="eastAsia" w:ascii="仿宋" w:hAnsi="仿宋" w:eastAsia="仿宋" w:cs="仿宋"/>
          <w:highlight w:val="none"/>
        </w:rPr>
      </w:pPr>
      <w:r>
        <w:rPr>
          <w:rFonts w:hint="eastAsia" w:ascii="仿宋" w:hAnsi="仿宋" w:eastAsia="仿宋" w:cs="仿宋"/>
          <w:highlight w:val="none"/>
        </w:rPr>
        <w:t xml:space="preserve"> </w:t>
      </w:r>
    </w:p>
    <w:p w14:paraId="3B46C3CD">
      <w:pPr>
        <w:pStyle w:val="27"/>
        <w:pageBreakBefore w:val="0"/>
        <w:widowControl/>
        <w:kinsoku/>
        <w:bidi w:val="0"/>
        <w:snapToGrid w:val="0"/>
        <w:spacing w:before="0" w:after="0" w:line="360" w:lineRule="auto"/>
        <w:ind w:firstLine="0"/>
        <w:rPr>
          <w:rFonts w:hint="eastAsia" w:ascii="仿宋" w:hAnsi="仿宋" w:eastAsia="仿宋" w:cs="仿宋"/>
          <w:highlight w:val="none"/>
        </w:rPr>
      </w:pPr>
      <w:r>
        <w:rPr>
          <w:rFonts w:hint="eastAsia" w:ascii="仿宋" w:hAnsi="仿宋" w:eastAsia="仿宋" w:cs="仿宋"/>
          <w:highlight w:val="none"/>
        </w:rPr>
        <w:t xml:space="preserve"> </w:t>
      </w:r>
    </w:p>
    <w:p w14:paraId="0563D170">
      <w:pPr>
        <w:pStyle w:val="27"/>
        <w:pageBreakBefore w:val="0"/>
        <w:widowControl/>
        <w:kinsoku/>
        <w:bidi w:val="0"/>
        <w:snapToGrid w:val="0"/>
        <w:spacing w:before="0" w:after="0" w:line="360" w:lineRule="auto"/>
        <w:ind w:firstLine="0"/>
        <w:rPr>
          <w:rFonts w:hint="eastAsia" w:ascii="仿宋" w:hAnsi="仿宋" w:eastAsia="仿宋" w:cs="仿宋"/>
          <w:highlight w:val="none"/>
        </w:rPr>
      </w:pPr>
      <w:r>
        <w:rPr>
          <w:rFonts w:hint="eastAsia" w:ascii="仿宋" w:hAnsi="仿宋" w:eastAsia="仿宋" w:cs="仿宋"/>
          <w:highlight w:val="none"/>
        </w:rPr>
        <w:t xml:space="preserve"> </w:t>
      </w:r>
    </w:p>
    <w:p w14:paraId="311D0096">
      <w:pPr>
        <w:pStyle w:val="27"/>
        <w:pageBreakBefore w:val="0"/>
        <w:widowControl/>
        <w:kinsoku/>
        <w:bidi w:val="0"/>
        <w:snapToGrid w:val="0"/>
        <w:spacing w:before="0" w:after="0" w:line="360" w:lineRule="auto"/>
        <w:ind w:firstLine="0"/>
        <w:rPr>
          <w:rFonts w:hint="eastAsia" w:ascii="仿宋" w:hAnsi="仿宋" w:eastAsia="仿宋" w:cs="仿宋"/>
          <w:highlight w:val="none"/>
        </w:rPr>
      </w:pPr>
    </w:p>
    <w:p w14:paraId="72E2FA49">
      <w:pPr>
        <w:pStyle w:val="27"/>
        <w:pageBreakBefore w:val="0"/>
        <w:kinsoku/>
        <w:bidi w:val="0"/>
        <w:snapToGrid w:val="0"/>
        <w:spacing w:before="0" w:after="0" w:line="360" w:lineRule="auto"/>
        <w:ind w:firstLine="0"/>
        <w:jc w:val="center"/>
        <w:rPr>
          <w:rFonts w:hint="eastAsia" w:ascii="仿宋" w:hAnsi="仿宋" w:eastAsia="仿宋" w:cs="仿宋"/>
          <w:b/>
          <w:bCs/>
          <w:sz w:val="36"/>
          <w:szCs w:val="36"/>
          <w:highlight w:val="none"/>
        </w:rPr>
      </w:pPr>
    </w:p>
    <w:p w14:paraId="7D955BB5">
      <w:pPr>
        <w:pStyle w:val="27"/>
        <w:pageBreakBefore w:val="0"/>
        <w:kinsoku/>
        <w:bidi w:val="0"/>
        <w:snapToGrid w:val="0"/>
        <w:spacing w:before="0" w:after="0" w:line="360" w:lineRule="auto"/>
        <w:ind w:firstLine="0"/>
        <w:jc w:val="center"/>
        <w:rPr>
          <w:rFonts w:hint="eastAsia" w:ascii="仿宋" w:hAnsi="仿宋" w:eastAsia="仿宋" w:cs="仿宋"/>
          <w:b/>
          <w:bCs/>
          <w:sz w:val="36"/>
          <w:szCs w:val="36"/>
          <w:highlight w:val="none"/>
        </w:rPr>
      </w:pPr>
    </w:p>
    <w:p w14:paraId="295A4D1D">
      <w:pPr>
        <w:pStyle w:val="27"/>
        <w:pageBreakBefore w:val="0"/>
        <w:kinsoku/>
        <w:bidi w:val="0"/>
        <w:snapToGrid w:val="0"/>
        <w:spacing w:before="0" w:after="0" w:line="360" w:lineRule="auto"/>
        <w:ind w:firstLine="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采购人：江苏省镇江监狱</w:t>
      </w:r>
    </w:p>
    <w:p w14:paraId="5325F19F">
      <w:pPr>
        <w:pStyle w:val="27"/>
        <w:pageBreakBefore w:val="0"/>
        <w:kinsoku/>
        <w:bidi w:val="0"/>
        <w:snapToGrid w:val="0"/>
        <w:spacing w:before="0" w:after="0" w:line="360" w:lineRule="auto"/>
        <w:ind w:firstLine="0"/>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采购代理人：江苏省设备成套股份有限公司</w:t>
      </w:r>
    </w:p>
    <w:p w14:paraId="2A01E470">
      <w:pPr>
        <w:pStyle w:val="10"/>
        <w:pageBreakBefore w:val="0"/>
        <w:kinsoku/>
        <w:bidi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2024年</w:t>
      </w:r>
      <w:r>
        <w:rPr>
          <w:rFonts w:hint="eastAsia" w:ascii="仿宋" w:hAnsi="仿宋" w:eastAsia="仿宋" w:cs="仿宋"/>
          <w:b/>
          <w:kern w:val="0"/>
          <w:sz w:val="36"/>
          <w:szCs w:val="36"/>
          <w:highlight w:val="none"/>
          <w:lang w:val="en-US" w:eastAsia="zh-CN"/>
        </w:rPr>
        <w:t>12</w:t>
      </w:r>
      <w:r>
        <w:rPr>
          <w:rFonts w:hint="eastAsia" w:ascii="仿宋" w:hAnsi="仿宋" w:eastAsia="仿宋" w:cs="仿宋"/>
          <w:b/>
          <w:kern w:val="0"/>
          <w:sz w:val="36"/>
          <w:szCs w:val="36"/>
          <w:highlight w:val="none"/>
        </w:rPr>
        <w:t>月</w:t>
      </w:r>
    </w:p>
    <w:p w14:paraId="3CA9EBBB">
      <w:pPr>
        <w:pageBreakBefore w:val="0"/>
        <w:kinsoku/>
        <w:bidi w:val="0"/>
        <w:snapToGrid w:val="0"/>
        <w:spacing w:line="360" w:lineRule="auto"/>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7A505D95">
      <w:pPr>
        <w:pageBreakBefore w:val="0"/>
        <w:kinsoku/>
        <w:bidi w:val="0"/>
        <w:snapToGrid w:val="0"/>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column"/>
      </w:r>
      <w:r>
        <w:rPr>
          <w:rFonts w:hint="eastAsia" w:ascii="仿宋" w:hAnsi="仿宋" w:eastAsia="仿宋" w:cs="仿宋"/>
          <w:b/>
          <w:sz w:val="44"/>
          <w:szCs w:val="44"/>
          <w:highlight w:val="none"/>
        </w:rPr>
        <w:t>目 录</w:t>
      </w:r>
    </w:p>
    <w:p w14:paraId="67782352">
      <w:pPr>
        <w:pStyle w:val="13"/>
        <w:pageBreakBefore w:val="0"/>
        <w:widowControl/>
        <w:kinsoku/>
        <w:bidi w:val="0"/>
        <w:snapToGrid w:val="0"/>
        <w:spacing w:before="0" w:after="0" w:line="360" w:lineRule="auto"/>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 xml:space="preserve"> </w:t>
      </w:r>
    </w:p>
    <w:p w14:paraId="5945DCF4">
      <w:pPr>
        <w:pStyle w:val="13"/>
        <w:tabs>
          <w:tab w:val="right" w:leader="dot" w:pos="9638"/>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"1-1" \h \u </w:instrText>
      </w:r>
      <w:r>
        <w:rPr>
          <w:rFonts w:hint="eastAsia" w:ascii="仿宋" w:hAnsi="仿宋" w:eastAsia="仿宋" w:cs="仿宋"/>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_Toc26172 </w:instrText>
      </w:r>
      <w:r>
        <w:rPr>
          <w:rFonts w:hint="eastAsia" w:ascii="仿宋" w:hAnsi="仿宋" w:eastAsia="仿宋" w:cs="仿宋"/>
          <w:highlight w:val="none"/>
        </w:rPr>
        <w:fldChar w:fldCharType="separate"/>
      </w:r>
      <w:r>
        <w:rPr>
          <w:rFonts w:hint="eastAsia" w:ascii="仿宋" w:hAnsi="仿宋" w:eastAsia="仿宋" w:cs="仿宋"/>
          <w:szCs w:val="32"/>
          <w:highlight w:val="none"/>
        </w:rPr>
        <w:t xml:space="preserve">第一章 </w:t>
      </w:r>
      <w:r>
        <w:rPr>
          <w:rFonts w:hint="eastAsia" w:ascii="仿宋" w:hAnsi="仿宋" w:eastAsia="仿宋" w:cs="仿宋"/>
          <w:szCs w:val="32"/>
          <w:highlight w:val="none"/>
          <w:lang w:val="en-US" w:eastAsia="zh-CN"/>
        </w:rPr>
        <w:t>询价公告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_Toc26172 \h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350653C5">
      <w:pPr>
        <w:pStyle w:val="13"/>
        <w:tabs>
          <w:tab w:val="right" w:leader="dot" w:pos="9638"/>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_Toc3348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第二章 询价须知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_Toc3348 \h </w:instrText>
      </w:r>
      <w:r>
        <w:rPr>
          <w:rFonts w:hint="eastAsia" w:ascii="仿宋" w:hAnsi="仿宋" w:eastAsia="仿宋" w:cs="仿宋"/>
          <w:highlight w:val="none"/>
        </w:rPr>
        <w:fldChar w:fldCharType="separate"/>
      </w:r>
      <w:r>
        <w:rPr>
          <w:rFonts w:hint="eastAsia" w:ascii="仿宋" w:hAnsi="仿宋" w:eastAsia="仿宋" w:cs="仿宋"/>
          <w:highlight w:val="none"/>
        </w:rPr>
        <w:t>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16599157">
      <w:pPr>
        <w:pStyle w:val="13"/>
        <w:tabs>
          <w:tab w:val="right" w:leader="dot" w:pos="9638"/>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_Toc15089 </w:instrText>
      </w:r>
      <w:r>
        <w:rPr>
          <w:rFonts w:hint="eastAsia" w:ascii="仿宋" w:hAnsi="仿宋" w:eastAsia="仿宋" w:cs="仿宋"/>
          <w:highlight w:val="none"/>
        </w:rPr>
        <w:fldChar w:fldCharType="separate"/>
      </w:r>
      <w:r>
        <w:rPr>
          <w:rFonts w:hint="eastAsia" w:ascii="仿宋" w:hAnsi="仿宋" w:eastAsia="仿宋" w:cs="仿宋"/>
          <w:bCs/>
          <w:szCs w:val="36"/>
          <w:highlight w:val="none"/>
        </w:rPr>
        <w:t xml:space="preserve">第三章 </w:t>
      </w:r>
      <w:r>
        <w:rPr>
          <w:rFonts w:hint="eastAsia" w:ascii="仿宋" w:hAnsi="仿宋" w:eastAsia="仿宋" w:cs="仿宋"/>
          <w:bCs/>
          <w:szCs w:val="36"/>
          <w:highlight w:val="none"/>
          <w:lang w:val="en-US" w:eastAsia="zh-CN"/>
        </w:rPr>
        <w:t>评审办法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_Toc15089 \h </w:instrText>
      </w:r>
      <w:r>
        <w:rPr>
          <w:rFonts w:hint="eastAsia" w:ascii="仿宋" w:hAnsi="仿宋" w:eastAsia="仿宋" w:cs="仿宋"/>
          <w:highlight w:val="none"/>
        </w:rPr>
        <w:fldChar w:fldCharType="separate"/>
      </w:r>
      <w:r>
        <w:rPr>
          <w:rFonts w:hint="eastAsia" w:ascii="仿宋" w:hAnsi="仿宋" w:eastAsia="仿宋" w:cs="仿宋"/>
          <w:highlight w:val="none"/>
        </w:rPr>
        <w:t>14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502FC88D">
      <w:pPr>
        <w:pStyle w:val="13"/>
        <w:tabs>
          <w:tab w:val="right" w:leader="dot" w:pos="9638"/>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_Toc11486 </w:instrText>
      </w:r>
      <w:r>
        <w:rPr>
          <w:rFonts w:hint="eastAsia" w:ascii="仿宋" w:hAnsi="仿宋" w:eastAsia="仿宋" w:cs="仿宋"/>
          <w:highlight w:val="none"/>
        </w:rPr>
        <w:fldChar w:fldCharType="separate"/>
      </w:r>
      <w:r>
        <w:rPr>
          <w:rFonts w:hint="eastAsia" w:ascii="仿宋" w:hAnsi="仿宋" w:eastAsia="仿宋" w:cs="仿宋"/>
          <w:bCs/>
          <w:szCs w:val="36"/>
          <w:highlight w:val="none"/>
          <w:lang w:val="en-US" w:eastAsia="zh-CN"/>
        </w:rPr>
        <w:t xml:space="preserve">第四章 </w:t>
      </w:r>
      <w:r>
        <w:rPr>
          <w:rFonts w:hint="eastAsia" w:ascii="仿宋" w:hAnsi="仿宋" w:eastAsia="仿宋" w:cs="仿宋"/>
          <w:bCs/>
          <w:szCs w:val="36"/>
          <w:highlight w:val="none"/>
        </w:rPr>
        <w:t>合同条款及格式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_Toc11486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C10646C">
      <w:pPr>
        <w:pStyle w:val="13"/>
        <w:tabs>
          <w:tab w:val="right" w:leader="dot" w:pos="9638"/>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_Toc5435 </w:instrText>
      </w:r>
      <w:r>
        <w:rPr>
          <w:rFonts w:hint="eastAsia" w:ascii="仿宋" w:hAnsi="仿宋" w:eastAsia="仿宋" w:cs="仿宋"/>
          <w:highlight w:val="none"/>
        </w:rPr>
        <w:fldChar w:fldCharType="separate"/>
      </w:r>
      <w:r>
        <w:rPr>
          <w:rFonts w:hint="eastAsia" w:ascii="仿宋" w:hAnsi="仿宋" w:eastAsia="仿宋" w:cs="仿宋"/>
          <w:szCs w:val="36"/>
          <w:highlight w:val="none"/>
        </w:rPr>
        <w:t>第</w:t>
      </w:r>
      <w:r>
        <w:rPr>
          <w:rFonts w:hint="eastAsia" w:ascii="仿宋" w:hAnsi="仿宋" w:eastAsia="仿宋" w:cs="仿宋"/>
          <w:szCs w:val="36"/>
          <w:highlight w:val="none"/>
          <w:lang w:val="en-US" w:eastAsia="zh-CN"/>
        </w:rPr>
        <w:t>五章</w:t>
      </w:r>
      <w:r>
        <w:rPr>
          <w:rFonts w:hint="eastAsia" w:ascii="仿宋" w:hAnsi="仿宋" w:eastAsia="仿宋" w:cs="仿宋"/>
          <w:szCs w:val="36"/>
          <w:highlight w:val="none"/>
        </w:rPr>
        <w:t xml:space="preserve"> 项目需求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_Toc5435 \h </w:instrText>
      </w:r>
      <w:r>
        <w:rPr>
          <w:rFonts w:hint="eastAsia" w:ascii="仿宋" w:hAnsi="仿宋" w:eastAsia="仿宋" w:cs="仿宋"/>
          <w:highlight w:val="none"/>
        </w:rPr>
        <w:fldChar w:fldCharType="separate"/>
      </w:r>
      <w:r>
        <w:rPr>
          <w:rFonts w:hint="eastAsia" w:ascii="仿宋" w:hAnsi="仿宋" w:eastAsia="仿宋" w:cs="仿宋"/>
          <w:highlight w:val="none"/>
        </w:rPr>
        <w:t>25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550EAA4">
      <w:pPr>
        <w:pStyle w:val="13"/>
        <w:tabs>
          <w:tab w:val="right" w:leader="dot" w:pos="9638"/>
        </w:tabs>
        <w:rPr>
          <w:rFonts w:hint="eastAsia" w:ascii="仿宋" w:hAnsi="仿宋" w:eastAsia="仿宋" w:cs="仿宋"/>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_Toc13415 </w:instrText>
      </w:r>
      <w:r>
        <w:rPr>
          <w:rFonts w:hint="eastAsia" w:ascii="仿宋" w:hAnsi="仿宋" w:eastAsia="仿宋" w:cs="仿宋"/>
          <w:highlight w:val="none"/>
        </w:rPr>
        <w:fldChar w:fldCharType="separate"/>
      </w:r>
      <w:r>
        <w:rPr>
          <w:rFonts w:hint="eastAsia" w:ascii="仿宋" w:hAnsi="仿宋" w:eastAsia="仿宋" w:cs="仿宋"/>
          <w:highlight w:val="none"/>
        </w:rPr>
        <w:t>第</w:t>
      </w:r>
      <w:r>
        <w:rPr>
          <w:rFonts w:hint="eastAsia" w:ascii="仿宋" w:hAnsi="仿宋" w:eastAsia="仿宋" w:cs="仿宋"/>
          <w:highlight w:val="none"/>
          <w:lang w:val="en-US" w:eastAsia="zh-CN"/>
        </w:rPr>
        <w:t>六</w:t>
      </w:r>
      <w:r>
        <w:rPr>
          <w:rFonts w:hint="eastAsia" w:ascii="仿宋" w:hAnsi="仿宋" w:eastAsia="仿宋" w:cs="仿宋"/>
          <w:highlight w:val="none"/>
        </w:rPr>
        <w:t>章 响应文件的组成和格式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_Toc13415 \h </w:instrText>
      </w:r>
      <w:r>
        <w:rPr>
          <w:rFonts w:hint="eastAsia" w:ascii="仿宋" w:hAnsi="仿宋" w:eastAsia="仿宋" w:cs="仿宋"/>
          <w:highlight w:val="none"/>
        </w:rPr>
        <w:fldChar w:fldCharType="separate"/>
      </w:r>
      <w:r>
        <w:rPr>
          <w:rFonts w:hint="eastAsia" w:ascii="仿宋" w:hAnsi="仿宋" w:eastAsia="仿宋" w:cs="仿宋"/>
          <w:highlight w:val="none"/>
        </w:rPr>
        <w:t>28</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7CA9ABBC">
      <w:pPr>
        <w:pageBreakBefore w:val="0"/>
        <w:kinsoku/>
        <w:bidi w:val="0"/>
        <w:snapToGrid w:val="0"/>
        <w:spacing w:line="360" w:lineRule="auto"/>
        <w:rPr>
          <w:rFonts w:hint="eastAsia" w:ascii="仿宋" w:hAnsi="仿宋" w:eastAsia="仿宋" w:cs="仿宋"/>
          <w:highlight w:val="none"/>
        </w:rPr>
      </w:pPr>
      <w:r>
        <w:rPr>
          <w:rFonts w:hint="eastAsia" w:ascii="仿宋" w:hAnsi="仿宋" w:eastAsia="仿宋" w:cs="仿宋"/>
          <w:highlight w:val="none"/>
        </w:rPr>
        <w:fldChar w:fldCharType="end"/>
      </w:r>
    </w:p>
    <w:p w14:paraId="27FCD48B">
      <w:pPr>
        <w:pageBreakBefore w:val="0"/>
        <w:kinsoku/>
        <w:bidi w:val="0"/>
        <w:snapToGrid w:val="0"/>
        <w:spacing w:line="360" w:lineRule="auto"/>
        <w:outlineLvl w:val="0"/>
        <w:rPr>
          <w:rFonts w:hint="eastAsia" w:ascii="仿宋" w:hAnsi="仿宋" w:eastAsia="仿宋" w:cs="仿宋"/>
          <w:sz w:val="36"/>
          <w:szCs w:val="36"/>
          <w:highlight w:val="none"/>
        </w:rPr>
      </w:pPr>
    </w:p>
    <w:p w14:paraId="22F68B32">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30D9AF1D">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7181949D">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5DFAAE19">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0FE39CA0">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793F8765">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3059E7AD">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28A0F55F">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2A3C80F2">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79514C17">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50670ABF">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48D874FE">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29EB0814">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67AF9F97">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49ACB8AD">
      <w:pPr>
        <w:pageBreakBefore w:val="0"/>
        <w:kinsoku/>
        <w:bidi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 xml:space="preserve"> </w:t>
      </w:r>
    </w:p>
    <w:p w14:paraId="7FF3354D">
      <w:pPr>
        <w:pStyle w:val="3"/>
        <w:pageBreakBefore w:val="0"/>
        <w:widowControl/>
        <w:kinsoku/>
        <w:wordWrap/>
        <w:bidi w:val="0"/>
        <w:snapToGrid w:val="0"/>
        <w:spacing w:before="0" w:after="0" w:line="360" w:lineRule="auto"/>
        <w:jc w:val="center"/>
        <w:textAlignment w:val="auto"/>
        <w:outlineLvl w:val="0"/>
        <w:rPr>
          <w:rFonts w:hint="eastAsia" w:ascii="仿宋" w:hAnsi="仿宋" w:eastAsia="仿宋" w:cs="仿宋"/>
          <w:sz w:val="32"/>
          <w:szCs w:val="32"/>
          <w:highlight w:val="none"/>
          <w:u w:val="none"/>
          <w:lang w:val="en-US" w:eastAsia="zh-CN"/>
        </w:rPr>
      </w:pPr>
      <w:bookmarkStart w:id="0" w:name="_Toc26172"/>
      <w:r>
        <w:rPr>
          <w:rFonts w:hint="eastAsia" w:ascii="仿宋" w:hAnsi="仿宋" w:eastAsia="仿宋" w:cs="仿宋"/>
          <w:sz w:val="32"/>
          <w:szCs w:val="32"/>
          <w:highlight w:val="none"/>
          <w:u w:val="none"/>
        </w:rPr>
        <w:br w:type="column"/>
      </w:r>
      <w:r>
        <w:rPr>
          <w:rFonts w:hint="eastAsia" w:ascii="仿宋" w:hAnsi="仿宋" w:eastAsia="仿宋" w:cs="仿宋"/>
          <w:b/>
          <w:bCs/>
          <w:sz w:val="32"/>
          <w:szCs w:val="32"/>
          <w:highlight w:val="none"/>
          <w:u w:val="none"/>
        </w:rPr>
        <w:t xml:space="preserve">第一章 </w:t>
      </w:r>
      <w:r>
        <w:rPr>
          <w:rFonts w:hint="eastAsia" w:ascii="仿宋" w:hAnsi="仿宋" w:eastAsia="仿宋" w:cs="仿宋"/>
          <w:b/>
          <w:bCs/>
          <w:sz w:val="32"/>
          <w:szCs w:val="32"/>
          <w:highlight w:val="none"/>
          <w:u w:val="none"/>
          <w:lang w:val="en-US" w:eastAsia="zh-CN"/>
        </w:rPr>
        <w:t>询价公告</w:t>
      </w:r>
      <w:bookmarkEnd w:id="0"/>
    </w:p>
    <w:p w14:paraId="0E769897">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u w:val="none"/>
        </w:rPr>
      </w:pPr>
      <w:bookmarkStart w:id="30" w:name="_GoBack"/>
      <w:r>
        <w:rPr>
          <w:rFonts w:hint="eastAsia" w:ascii="仿宋" w:hAnsi="仿宋" w:eastAsia="仿宋" w:cs="仿宋"/>
          <w:sz w:val="21"/>
          <w:szCs w:val="21"/>
          <w:highlight w:val="none"/>
          <w:u w:val="none"/>
        </w:rPr>
        <w:t>江苏省镇江监狱</w:t>
      </w:r>
      <w:r>
        <w:rPr>
          <w:rFonts w:hint="eastAsia" w:ascii="仿宋" w:hAnsi="仿宋" w:eastAsia="仿宋" w:cs="仿宋"/>
          <w:sz w:val="21"/>
          <w:szCs w:val="21"/>
          <w:highlight w:val="none"/>
          <w:u w:val="none"/>
          <w:lang w:val="en-US" w:eastAsia="zh-CN"/>
        </w:rPr>
        <w:t>就</w:t>
      </w:r>
      <w:r>
        <w:rPr>
          <w:rFonts w:hint="eastAsia" w:ascii="仿宋" w:hAnsi="仿宋" w:eastAsia="仿宋" w:cs="仿宋"/>
          <w:sz w:val="21"/>
          <w:szCs w:val="21"/>
          <w:highlight w:val="none"/>
          <w:u w:val="none"/>
          <w:lang w:eastAsia="zh-CN"/>
        </w:rPr>
        <w:t>伙房荤菜采购项目(2025年1-3月）（第二次）</w:t>
      </w:r>
      <w:r>
        <w:rPr>
          <w:rFonts w:hint="eastAsia" w:ascii="仿宋" w:hAnsi="仿宋" w:eastAsia="仿宋" w:cs="仿宋"/>
          <w:sz w:val="21"/>
          <w:szCs w:val="21"/>
          <w:highlight w:val="none"/>
          <w:u w:val="none"/>
        </w:rPr>
        <w:t>（</w:t>
      </w:r>
      <w:r>
        <w:rPr>
          <w:rFonts w:hint="eastAsia" w:ascii="仿宋" w:hAnsi="仿宋" w:eastAsia="仿宋" w:cs="仿宋"/>
          <w:sz w:val="21"/>
          <w:szCs w:val="21"/>
          <w:highlight w:val="none"/>
          <w:u w:val="none"/>
          <w:lang w:val="en-US" w:eastAsia="zh-CN"/>
        </w:rPr>
        <w:t>项目编号：</w:t>
      </w:r>
      <w:r>
        <w:rPr>
          <w:rFonts w:hint="eastAsia" w:ascii="仿宋" w:hAnsi="仿宋" w:eastAsia="仿宋" w:cs="仿宋"/>
          <w:sz w:val="21"/>
          <w:szCs w:val="21"/>
          <w:highlight w:val="none"/>
          <w:u w:val="none"/>
          <w:lang w:eastAsia="zh-CN"/>
        </w:rPr>
        <w:t>ZJ-JY-2024099；</w:t>
      </w:r>
      <w:r>
        <w:rPr>
          <w:rFonts w:hint="eastAsia" w:ascii="仿宋" w:hAnsi="仿宋" w:eastAsia="仿宋" w:cs="仿宋"/>
          <w:sz w:val="21"/>
          <w:szCs w:val="21"/>
          <w:highlight w:val="none"/>
          <w:u w:val="none"/>
          <w:lang w:val="en-US" w:eastAsia="zh-CN"/>
        </w:rPr>
        <w:t>代理机构内部编号：ZJ203224534635</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实施询价采购，欢迎符合条件的潜在供应商在</w:t>
      </w:r>
      <w:r>
        <w:rPr>
          <w:rFonts w:hint="eastAsia" w:ascii="仿宋" w:hAnsi="仿宋" w:eastAsia="仿宋" w:cs="仿宋"/>
          <w:color w:val="auto"/>
          <w:kern w:val="0"/>
          <w:sz w:val="21"/>
          <w:szCs w:val="21"/>
          <w:highlight w:val="none"/>
          <w:u w:val="none"/>
        </w:rPr>
        <w:t>e交易平台（http://www.ejy365.com）</w:t>
      </w:r>
      <w:r>
        <w:rPr>
          <w:rFonts w:hint="eastAsia" w:ascii="仿宋" w:hAnsi="仿宋" w:eastAsia="仿宋" w:cs="仿宋"/>
          <w:sz w:val="21"/>
          <w:szCs w:val="21"/>
          <w:highlight w:val="none"/>
          <w:u w:val="none"/>
        </w:rPr>
        <w:t>获取采购文件，并于2024年</w:t>
      </w:r>
      <w:r>
        <w:rPr>
          <w:rFonts w:hint="eastAsia" w:ascii="仿宋" w:hAnsi="仿宋" w:eastAsia="仿宋" w:cs="仿宋"/>
          <w:sz w:val="21"/>
          <w:szCs w:val="21"/>
          <w:highlight w:val="none"/>
          <w:u w:val="none"/>
          <w:lang w:val="en-US" w:eastAsia="zh-CN"/>
        </w:rPr>
        <w:t>12月26日14：00</w:t>
      </w:r>
      <w:r>
        <w:rPr>
          <w:rFonts w:hint="eastAsia" w:ascii="仿宋" w:hAnsi="仿宋" w:eastAsia="仿宋" w:cs="仿宋"/>
          <w:sz w:val="21"/>
          <w:szCs w:val="21"/>
          <w:highlight w:val="none"/>
          <w:u w:val="none"/>
        </w:rPr>
        <w:t>（北京时间</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lang w:val="en-US" w:eastAsia="zh-CN"/>
        </w:rPr>
        <w:t>下同</w:t>
      </w:r>
      <w:r>
        <w:rPr>
          <w:rFonts w:hint="eastAsia" w:ascii="仿宋" w:hAnsi="仿宋" w:eastAsia="仿宋" w:cs="仿宋"/>
          <w:sz w:val="21"/>
          <w:szCs w:val="21"/>
          <w:highlight w:val="none"/>
          <w:u w:val="none"/>
        </w:rPr>
        <w:t>）前按要求递交响应文件参加询价。</w:t>
      </w:r>
    </w:p>
    <w:p w14:paraId="1FA4E825">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一、采购项目名称及编号</w:t>
      </w:r>
    </w:p>
    <w:p w14:paraId="7872AF1A">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项目名称：</w:t>
      </w:r>
      <w:r>
        <w:rPr>
          <w:rFonts w:hint="eastAsia" w:ascii="仿宋" w:hAnsi="仿宋" w:eastAsia="仿宋" w:cs="仿宋"/>
          <w:sz w:val="21"/>
          <w:szCs w:val="21"/>
          <w:highlight w:val="none"/>
          <w:u w:val="none"/>
          <w:lang w:eastAsia="zh-CN"/>
        </w:rPr>
        <w:t>伙房荤菜采购项目(2025年1-3月）（第二次）</w:t>
      </w:r>
    </w:p>
    <w:p w14:paraId="65F8BE5D">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u w:val="none"/>
          <w:lang w:eastAsia="zh-CN"/>
        </w:rPr>
      </w:pPr>
      <w:r>
        <w:rPr>
          <w:rFonts w:hint="eastAsia" w:ascii="仿宋" w:hAnsi="仿宋" w:eastAsia="仿宋" w:cs="仿宋"/>
          <w:sz w:val="21"/>
          <w:szCs w:val="21"/>
          <w:highlight w:val="none"/>
          <w:u w:val="none"/>
        </w:rPr>
        <w:t>项目编号：</w:t>
      </w:r>
      <w:r>
        <w:rPr>
          <w:rFonts w:hint="eastAsia" w:ascii="仿宋" w:hAnsi="仿宋" w:eastAsia="仿宋" w:cs="仿宋"/>
          <w:sz w:val="21"/>
          <w:szCs w:val="21"/>
          <w:highlight w:val="none"/>
          <w:u w:val="none"/>
          <w:lang w:eastAsia="zh-CN"/>
        </w:rPr>
        <w:t>ZJ-JY-2024099（</w:t>
      </w:r>
      <w:r>
        <w:rPr>
          <w:rFonts w:hint="eastAsia" w:ascii="仿宋" w:hAnsi="仿宋" w:eastAsia="仿宋" w:cs="仿宋"/>
          <w:sz w:val="21"/>
          <w:szCs w:val="21"/>
          <w:highlight w:val="none"/>
          <w:u w:val="none"/>
          <w:lang w:val="en-US" w:eastAsia="zh-CN"/>
        </w:rPr>
        <w:t>代理机构内部编号：ZJ203224534635</w:t>
      </w:r>
      <w:r>
        <w:rPr>
          <w:rFonts w:hint="eastAsia" w:ascii="仿宋" w:hAnsi="仿宋" w:eastAsia="仿宋" w:cs="仿宋"/>
          <w:sz w:val="21"/>
          <w:szCs w:val="21"/>
          <w:highlight w:val="none"/>
          <w:u w:val="none"/>
          <w:lang w:eastAsia="zh-CN"/>
        </w:rPr>
        <w:t>）</w:t>
      </w:r>
    </w:p>
    <w:p w14:paraId="6B3D4F8A">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二、采购项目简要说明及预算金额</w:t>
      </w:r>
    </w:p>
    <w:p w14:paraId="0EE80615">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项目简要说明：江苏省镇江监狱</w:t>
      </w:r>
      <w:r>
        <w:rPr>
          <w:rFonts w:hint="eastAsia" w:ascii="仿宋" w:hAnsi="仿宋" w:eastAsia="仿宋" w:cs="仿宋"/>
          <w:sz w:val="21"/>
          <w:szCs w:val="21"/>
          <w:highlight w:val="none"/>
          <w:lang w:val="en-US" w:eastAsia="zh-CN"/>
        </w:rPr>
        <w:t>根据</w:t>
      </w:r>
      <w:r>
        <w:rPr>
          <w:rFonts w:hint="eastAsia" w:ascii="仿宋" w:hAnsi="仿宋" w:eastAsia="仿宋" w:cs="仿宋"/>
          <w:sz w:val="21"/>
          <w:szCs w:val="21"/>
          <w:highlight w:val="none"/>
        </w:rPr>
        <w:t>需要，</w:t>
      </w:r>
      <w:r>
        <w:rPr>
          <w:rFonts w:hint="eastAsia" w:ascii="仿宋" w:hAnsi="仿宋" w:eastAsia="仿宋" w:cs="仿宋"/>
          <w:sz w:val="21"/>
          <w:szCs w:val="21"/>
          <w:highlight w:val="none"/>
          <w:lang w:val="en-US" w:eastAsia="zh-CN"/>
        </w:rPr>
        <w:t>拟</w:t>
      </w:r>
      <w:r>
        <w:rPr>
          <w:rFonts w:hint="eastAsia" w:ascii="仿宋" w:hAnsi="仿宋" w:eastAsia="仿宋" w:cs="仿宋"/>
          <w:sz w:val="21"/>
          <w:szCs w:val="21"/>
          <w:highlight w:val="none"/>
        </w:rPr>
        <w:t>采购（</w:t>
      </w:r>
      <w:r>
        <w:rPr>
          <w:rFonts w:hint="eastAsia" w:ascii="仿宋" w:hAnsi="仿宋" w:eastAsia="仿宋" w:cs="仿宋"/>
          <w:sz w:val="21"/>
          <w:szCs w:val="21"/>
          <w:highlight w:val="none"/>
          <w:lang w:eastAsia="zh-CN"/>
        </w:rPr>
        <w:t>2025年1-3月</w:t>
      </w:r>
      <w:r>
        <w:rPr>
          <w:rFonts w:hint="eastAsia" w:ascii="仿宋" w:hAnsi="仿宋" w:eastAsia="仿宋" w:cs="仿宋"/>
          <w:sz w:val="21"/>
          <w:szCs w:val="21"/>
          <w:highlight w:val="none"/>
        </w:rPr>
        <w:t>）伙房</w:t>
      </w:r>
      <w:r>
        <w:rPr>
          <w:rFonts w:hint="eastAsia" w:ascii="仿宋" w:hAnsi="仿宋" w:eastAsia="仿宋" w:cs="仿宋"/>
          <w:sz w:val="21"/>
          <w:szCs w:val="21"/>
          <w:highlight w:val="none"/>
          <w:lang w:val="en-US" w:eastAsia="zh-CN"/>
        </w:rPr>
        <w:t>荤菜</w:t>
      </w:r>
      <w:r>
        <w:rPr>
          <w:rFonts w:hint="eastAsia" w:ascii="仿宋" w:hAnsi="仿宋" w:eastAsia="仿宋" w:cs="仿宋"/>
          <w:sz w:val="21"/>
          <w:szCs w:val="21"/>
          <w:highlight w:val="none"/>
        </w:rPr>
        <w:t>，详见</w:t>
      </w:r>
      <w:r>
        <w:rPr>
          <w:rFonts w:hint="eastAsia" w:ascii="仿宋" w:hAnsi="仿宋" w:eastAsia="仿宋" w:cs="仿宋"/>
          <w:sz w:val="21"/>
          <w:szCs w:val="21"/>
          <w:highlight w:val="none"/>
          <w:lang w:val="en-US" w:eastAsia="zh-CN"/>
        </w:rPr>
        <w:t xml:space="preserve">第四章 </w:t>
      </w:r>
      <w:r>
        <w:rPr>
          <w:rFonts w:hint="eastAsia" w:ascii="仿宋" w:hAnsi="仿宋" w:eastAsia="仿宋" w:cs="仿宋"/>
          <w:sz w:val="21"/>
          <w:szCs w:val="21"/>
          <w:highlight w:val="none"/>
        </w:rPr>
        <w:t>项目需求。</w:t>
      </w:r>
    </w:p>
    <w:p w14:paraId="48ADC512">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highlight w:val="none"/>
          <w:lang w:val="en-US" w:eastAsia="zh-CN"/>
        </w:rPr>
      </w:pPr>
      <w:r>
        <w:rPr>
          <w:rFonts w:hint="eastAsia" w:ascii="仿宋" w:hAnsi="仿宋" w:eastAsia="仿宋" w:cs="仿宋"/>
          <w:sz w:val="21"/>
          <w:szCs w:val="21"/>
          <w:highlight w:val="none"/>
        </w:rPr>
        <w:t>本项目预算金额约为人民币</w:t>
      </w:r>
      <w:r>
        <w:rPr>
          <w:rFonts w:hint="eastAsia" w:ascii="仿宋" w:hAnsi="仿宋" w:eastAsia="仿宋" w:cs="仿宋"/>
          <w:sz w:val="21"/>
          <w:szCs w:val="21"/>
          <w:highlight w:val="none"/>
          <w:lang w:eastAsia="zh-CN"/>
        </w:rPr>
        <w:t>45万元</w:t>
      </w:r>
      <w:r>
        <w:rPr>
          <w:rFonts w:hint="eastAsia" w:ascii="仿宋" w:hAnsi="仿宋" w:eastAsia="仿宋" w:cs="仿宋"/>
          <w:sz w:val="21"/>
          <w:szCs w:val="21"/>
          <w:highlight w:val="none"/>
          <w:lang w:val="en-US" w:eastAsia="zh-CN"/>
        </w:rPr>
        <w:t>。供应商按折扣比例报价，</w:t>
      </w:r>
      <w:r>
        <w:rPr>
          <w:rFonts w:hint="eastAsia" w:ascii="仿宋" w:hAnsi="仿宋" w:eastAsia="仿宋" w:cs="仿宋"/>
          <w:sz w:val="21"/>
          <w:szCs w:val="21"/>
          <w:highlight w:val="none"/>
        </w:rPr>
        <w:t>报价折扣比例数值不得大于100%，</w:t>
      </w:r>
      <w:r>
        <w:rPr>
          <w:rFonts w:hint="eastAsia" w:ascii="仿宋" w:hAnsi="仿宋" w:eastAsia="仿宋" w:cs="仿宋"/>
          <w:sz w:val="21"/>
          <w:szCs w:val="21"/>
          <w:highlight w:val="none"/>
          <w:lang w:val="en-US" w:eastAsia="zh-CN"/>
        </w:rPr>
        <w:t>超过者</w:t>
      </w:r>
      <w:r>
        <w:rPr>
          <w:rFonts w:hint="eastAsia" w:ascii="仿宋" w:hAnsi="仿宋" w:eastAsia="仿宋" w:cs="仿宋"/>
          <w:sz w:val="21"/>
          <w:szCs w:val="21"/>
          <w:highlight w:val="none"/>
        </w:rPr>
        <w:t>按无效响应处理。</w:t>
      </w:r>
      <w:r>
        <w:rPr>
          <w:rFonts w:hint="eastAsia" w:ascii="仿宋" w:hAnsi="仿宋" w:eastAsia="仿宋" w:cs="仿宋"/>
          <w:sz w:val="21"/>
          <w:szCs w:val="21"/>
          <w:highlight w:val="none"/>
          <w:lang w:val="en-US" w:eastAsia="zh-CN"/>
        </w:rPr>
        <w:t>本项目</w:t>
      </w:r>
      <w:r>
        <w:rPr>
          <w:rFonts w:hint="eastAsia" w:ascii="仿宋" w:hAnsi="仿宋" w:eastAsia="仿宋" w:cs="仿宋"/>
          <w:highlight w:val="none"/>
          <w:lang w:val="en-US" w:eastAsia="zh-CN"/>
        </w:rPr>
        <w:t>按</w:t>
      </w:r>
      <w:r>
        <w:rPr>
          <w:rFonts w:hint="eastAsia" w:ascii="仿宋" w:hAnsi="仿宋" w:eastAsia="仿宋" w:cs="仿宋"/>
          <w:highlight w:val="none"/>
        </w:rPr>
        <w:t>实际发生数量</w:t>
      </w:r>
      <w:r>
        <w:rPr>
          <w:rFonts w:hint="eastAsia" w:ascii="仿宋" w:hAnsi="仿宋" w:eastAsia="仿宋" w:cs="仿宋"/>
          <w:highlight w:val="none"/>
          <w:lang w:val="en-US" w:eastAsia="zh-CN"/>
        </w:rPr>
        <w:t>进行</w:t>
      </w:r>
      <w:r>
        <w:rPr>
          <w:rFonts w:hint="eastAsia" w:ascii="仿宋" w:hAnsi="仿宋" w:eastAsia="仿宋" w:cs="仿宋"/>
          <w:highlight w:val="none"/>
        </w:rPr>
        <w:t>结算</w:t>
      </w:r>
      <w:r>
        <w:rPr>
          <w:rFonts w:hint="eastAsia" w:ascii="仿宋" w:hAnsi="仿宋" w:eastAsia="仿宋" w:cs="仿宋"/>
          <w:highlight w:val="none"/>
          <w:lang w:eastAsia="zh-CN"/>
        </w:rPr>
        <w:t>，</w:t>
      </w:r>
      <w:r>
        <w:rPr>
          <w:rFonts w:hint="eastAsia" w:ascii="仿宋" w:hAnsi="仿宋" w:eastAsia="仿宋" w:cs="仿宋"/>
          <w:highlight w:val="none"/>
        </w:rPr>
        <w:t>结算价=Σ实际数量×基准价×</w:t>
      </w:r>
      <w:r>
        <w:rPr>
          <w:rFonts w:hint="eastAsia" w:ascii="仿宋" w:hAnsi="仿宋" w:eastAsia="仿宋" w:cs="仿宋"/>
          <w:highlight w:val="none"/>
          <w:lang w:val="en-US" w:eastAsia="zh-CN"/>
        </w:rPr>
        <w:t>成交</w:t>
      </w:r>
      <w:r>
        <w:rPr>
          <w:rFonts w:hint="eastAsia" w:ascii="仿宋" w:hAnsi="仿宋" w:eastAsia="仿宋" w:cs="仿宋"/>
          <w:sz w:val="21"/>
          <w:szCs w:val="21"/>
          <w:highlight w:val="none"/>
          <w:lang w:val="en-US" w:eastAsia="zh-CN"/>
        </w:rPr>
        <w:t>折扣比例</w:t>
      </w:r>
      <w:r>
        <w:rPr>
          <w:rFonts w:hint="eastAsia" w:ascii="仿宋" w:hAnsi="仿宋" w:eastAsia="仿宋" w:cs="仿宋"/>
          <w:highlight w:val="none"/>
        </w:rPr>
        <w:t>，其中基准价为“送货当月凌家塘（http://www.ljt.cn/）公示的价格行情各品种中间价平均数”，即当月公示的所有中间价相加除以公示的天数</w:t>
      </w:r>
      <w:r>
        <w:rPr>
          <w:rFonts w:hint="eastAsia" w:ascii="仿宋" w:hAnsi="仿宋" w:eastAsia="仿宋" w:cs="仿宋"/>
          <w:highlight w:val="none"/>
          <w:lang w:eastAsia="zh-CN"/>
        </w:rPr>
        <w:t>；</w:t>
      </w:r>
      <w:r>
        <w:rPr>
          <w:rFonts w:hint="eastAsia" w:ascii="仿宋" w:hAnsi="仿宋" w:eastAsia="仿宋" w:cs="仿宋"/>
          <w:highlight w:val="none"/>
        </w:rPr>
        <w:t>如果出现凌家塘没有公示的品种，则以南京农副产品物流中心（http://www.njnfwl.com/）公示的平均价进行计算。如采购计划中出现清单目录之外品种，基准价</w:t>
      </w:r>
      <w:r>
        <w:rPr>
          <w:rFonts w:hint="eastAsia" w:ascii="仿宋" w:hAnsi="仿宋" w:eastAsia="仿宋" w:cs="仿宋"/>
          <w:highlight w:val="none"/>
          <w:lang w:val="en-US" w:eastAsia="zh-CN"/>
        </w:rPr>
        <w:t>仍按以上次序（</w:t>
      </w:r>
      <w:r>
        <w:rPr>
          <w:rFonts w:hint="eastAsia" w:ascii="仿宋" w:hAnsi="仿宋" w:eastAsia="仿宋" w:cs="仿宋"/>
          <w:highlight w:val="none"/>
        </w:rPr>
        <w:t>凌家塘→南京农副产品物流中心</w:t>
      </w:r>
      <w:r>
        <w:rPr>
          <w:rFonts w:hint="eastAsia" w:ascii="仿宋" w:hAnsi="仿宋" w:eastAsia="仿宋" w:cs="仿宋"/>
          <w:highlight w:val="none"/>
          <w:lang w:val="en-US" w:eastAsia="zh-CN"/>
        </w:rPr>
        <w:t>）计算（</w:t>
      </w:r>
      <w:r>
        <w:rPr>
          <w:rFonts w:hint="eastAsia" w:ascii="仿宋" w:hAnsi="仿宋" w:eastAsia="仿宋" w:cs="仿宋"/>
          <w:highlight w:val="none"/>
        </w:rPr>
        <w:t>成交折扣</w:t>
      </w:r>
      <w:r>
        <w:rPr>
          <w:rFonts w:hint="eastAsia" w:ascii="仿宋" w:hAnsi="仿宋" w:eastAsia="仿宋" w:cs="仿宋"/>
          <w:highlight w:val="none"/>
          <w:lang w:val="en-US" w:eastAsia="zh-CN"/>
        </w:rPr>
        <w:t>比例不变）</w:t>
      </w:r>
      <w:r>
        <w:rPr>
          <w:rFonts w:hint="eastAsia" w:ascii="仿宋" w:hAnsi="仿宋" w:eastAsia="仿宋" w:cs="仿宋"/>
          <w:highlight w:val="none"/>
        </w:rPr>
        <w:t>。</w:t>
      </w:r>
    </w:p>
    <w:p w14:paraId="45A502AF">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三、合格</w:t>
      </w:r>
      <w:r>
        <w:rPr>
          <w:rFonts w:hint="eastAsia" w:ascii="仿宋" w:hAnsi="仿宋" w:eastAsia="仿宋" w:cs="仿宋"/>
          <w:b/>
          <w:sz w:val="21"/>
          <w:szCs w:val="21"/>
          <w:highlight w:val="none"/>
          <w:lang w:eastAsia="zh-CN"/>
        </w:rPr>
        <w:t>供应商</w:t>
      </w:r>
      <w:r>
        <w:rPr>
          <w:rFonts w:hint="eastAsia" w:ascii="仿宋" w:hAnsi="仿宋" w:eastAsia="仿宋" w:cs="仿宋"/>
          <w:b/>
          <w:sz w:val="21"/>
          <w:szCs w:val="21"/>
          <w:highlight w:val="none"/>
        </w:rPr>
        <w:t>资格要求</w:t>
      </w:r>
    </w:p>
    <w:p w14:paraId="65158A42">
      <w:pPr>
        <w:keepNext w:val="0"/>
        <w:keepLines w:val="0"/>
        <w:pageBreakBefore w:val="0"/>
        <w:kinsoku/>
        <w:wordWrap/>
        <w:overflowPunct w:val="0"/>
        <w:topLinePunct/>
        <w:autoSpaceDE/>
        <w:autoSpaceDN/>
        <w:bidi w:val="0"/>
        <w:adjustRightInd/>
        <w:snapToGrid w:val="0"/>
        <w:spacing w:line="348"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1.满足《中华人民共和国政府采购法》第二十二条规定，并提供下列材料：</w:t>
      </w:r>
    </w:p>
    <w:p w14:paraId="14CF93FA">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具有独立承担民事责任的能力（提供法人或者其他组织的营业执照）。</w:t>
      </w:r>
    </w:p>
    <w:p w14:paraId="4A2605DE">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具有良好的商业信誉和健全的财务会计制度[提供距开标时间一年内任意一月份的财务状况报告（至少包括资产负债表和利润表）或其2023年度经审计的财务报告；复印件加盖公章]。</w:t>
      </w:r>
    </w:p>
    <w:p w14:paraId="2B18371A">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有依法缴纳税收的良好记录，提供距开标时间一年内任意一月份的纳税凭据复印件加盖公章（依法免税的应提供相应文件说明）。 </w:t>
      </w:r>
    </w:p>
    <w:p w14:paraId="2943F672">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有依法缴纳社会保障资金的良好记录，提供距开标时间一年内任意一月份的依法缴纳社会保障资金的凭据复印件加盖公章。</w:t>
      </w:r>
    </w:p>
    <w:p w14:paraId="7B03FD88">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bCs/>
          <w:color w:val="auto"/>
          <w:sz w:val="21"/>
          <w:szCs w:val="21"/>
          <w:highlight w:val="none"/>
        </w:rPr>
        <w:t>具有履行合同所必需的设备和专业技术能力（供应商根据履行采购项目合同需要，提供具有履行合同所必需的设备和专业技术能力的声明或证明材料）</w:t>
      </w:r>
      <w:r>
        <w:rPr>
          <w:rFonts w:hint="eastAsia" w:ascii="仿宋" w:hAnsi="仿宋" w:eastAsia="仿宋" w:cs="仿宋"/>
          <w:bCs/>
          <w:color w:val="auto"/>
          <w:sz w:val="21"/>
          <w:szCs w:val="21"/>
          <w:highlight w:val="none"/>
          <w:lang w:eastAsia="zh-CN"/>
        </w:rPr>
        <w:t>。</w:t>
      </w:r>
    </w:p>
    <w:p w14:paraId="35418DA8">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参加采购活动近三年内，在经营活动中没有重大违法记录（提供承诺书，格式自拟，重大违法记录是指供应商因违法经营受到刑事处罚或责令停产停业、吊销许可证或者执照、较大数额等行政处罚）。</w:t>
      </w:r>
    </w:p>
    <w:p w14:paraId="07C6C0AB">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落实政府采购政策需满足的资格要求：</w:t>
      </w:r>
    </w:p>
    <w:p w14:paraId="039EE40C">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根据财政部、工业和信息化部关于印发《政府采购促进中小企业发展管理办法》的通知、江苏省财政厅《关于做好政府采购支持企业发展有关事项的通知》、《江苏省财政厅关于进一步加大政府采购支持中小企业力度的通知》（苏财购【2022】45号）的相关规定，本项目专门面向中小微企业采购，只接受中小微企业、监狱企业、残疾人福利性单位参加询价。中小企业划分标准见《工业和信息化部、国家统计局、国家发展和改革委员会、财政部关于印发中小企业划型标准规定的通知》。</w:t>
      </w:r>
    </w:p>
    <w:p w14:paraId="68AA0BFF">
      <w:pPr>
        <w:keepNext w:val="0"/>
        <w:keepLines w:val="0"/>
        <w:pageBreakBefore w:val="0"/>
        <w:shd w:val="clear" w:color="auto" w:fill="FFFFFF"/>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本项目所属行业:批发类。中小企业划分标准按《关于印发中小企业划型标准规定的通知》（工信部联企业〔2011〕300号）执行。</w:t>
      </w:r>
    </w:p>
    <w:p w14:paraId="358BFDD6">
      <w:pPr>
        <w:keepNext w:val="0"/>
        <w:keepLines w:val="0"/>
        <w:pageBreakBefore w:val="0"/>
        <w:shd w:val="clear" w:color="auto" w:fill="FFFFFF"/>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3.本项目的特定资格要求</w:t>
      </w:r>
    </w:p>
    <w:p w14:paraId="4077D455">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lang w:val="en-US" w:eastAsia="zh-CN"/>
        </w:rPr>
        <w:t>具有有效期内的</w:t>
      </w:r>
      <w:r>
        <w:rPr>
          <w:rFonts w:hint="eastAsia" w:ascii="仿宋" w:hAnsi="仿宋" w:eastAsia="仿宋" w:cs="仿宋"/>
          <w:sz w:val="21"/>
          <w:szCs w:val="21"/>
          <w:highlight w:val="none"/>
          <w:lang w:eastAsia="zh-CN"/>
        </w:rPr>
        <w:t>《食品流通许可证》或《食品经营许可证》或《食品生产许可证》。（提供证书复印件）</w:t>
      </w:r>
    </w:p>
    <w:p w14:paraId="5F34EC26">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lang w:eastAsia="zh-CN"/>
        </w:rPr>
        <w:t>未被“信用中国”网站（www.creditchina.gov.cn）列入失信被执行人、重大税收违法案件当事人名单；未被“中国政府采购网”（www.ccgp.gov.cn）列入政府采购严重失信行为记录名单。</w:t>
      </w:r>
    </w:p>
    <w:p w14:paraId="2235B3CD">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）单位负责人为同一人或者存在直接控股、管理关系的不同供应商，不得同时参加本项目同一包的投标。（提供承诺书或声明，正本中应为原件）</w:t>
      </w:r>
    </w:p>
    <w:p w14:paraId="7554F46E">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）三个月内因违约被本项目采购人函告的供应商，不得参加本次询价。</w:t>
      </w:r>
    </w:p>
    <w:p w14:paraId="35CA2026">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）本项目不接受联合体参与询价</w:t>
      </w:r>
      <w:r>
        <w:rPr>
          <w:rFonts w:hint="eastAsia" w:ascii="仿宋" w:hAnsi="仿宋" w:eastAsia="仿宋" w:cs="仿宋"/>
          <w:sz w:val="21"/>
          <w:szCs w:val="21"/>
          <w:highlight w:val="none"/>
          <w:lang w:val="en-US" w:eastAsia="zh-CN"/>
        </w:rPr>
        <w:t>。</w:t>
      </w:r>
    </w:p>
    <w:p w14:paraId="48F5F15F">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）本项目不接受供应商使用进口产品参与询价。</w:t>
      </w:r>
    </w:p>
    <w:p w14:paraId="7B673CDA">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本次采购实行资格后审，资格后审不合格的供应商响应文件将按否决响应处理。</w:t>
      </w:r>
    </w:p>
    <w:p w14:paraId="23D146C2">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四、询价文件发布信息</w:t>
      </w:r>
    </w:p>
    <w:p w14:paraId="58C500B2">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询价文件提供及公告期限：</w:t>
      </w:r>
      <w:r>
        <w:rPr>
          <w:rFonts w:hint="eastAsia" w:ascii="仿宋" w:hAnsi="仿宋" w:eastAsia="仿宋" w:cs="仿宋"/>
          <w:sz w:val="21"/>
          <w:szCs w:val="21"/>
          <w:highlight w:val="none"/>
          <w:lang w:eastAsia="zh-CN"/>
        </w:rPr>
        <w:t>自询价公告在江苏省监狱管理局门户网站、e交易平台上发布之日起</w:t>
      </w:r>
      <w:r>
        <w:rPr>
          <w:rFonts w:hint="eastAsia" w:ascii="仿宋" w:hAnsi="仿宋" w:eastAsia="仿宋" w:cs="仿宋"/>
          <w:sz w:val="21"/>
          <w:szCs w:val="21"/>
          <w:highlight w:val="none"/>
        </w:rPr>
        <w:t>3个工作日。</w:t>
      </w:r>
    </w:p>
    <w:p w14:paraId="5E6874F0">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有关本次询价的事项若存在变动或修改，</w:t>
      </w:r>
      <w:r>
        <w:rPr>
          <w:rFonts w:hint="eastAsia" w:ascii="仿宋" w:hAnsi="仿宋" w:eastAsia="仿宋" w:cs="仿宋"/>
          <w:sz w:val="21"/>
          <w:szCs w:val="21"/>
          <w:highlight w:val="none"/>
          <w:lang w:eastAsia="zh-CN"/>
        </w:rPr>
        <w:t>敬请及时关注江苏省监狱管理局门户网站、e交易平台发布的信息更正公告</w:t>
      </w:r>
      <w:r>
        <w:rPr>
          <w:rFonts w:hint="eastAsia" w:ascii="仿宋" w:hAnsi="仿宋" w:eastAsia="仿宋" w:cs="仿宋"/>
          <w:sz w:val="21"/>
          <w:szCs w:val="21"/>
          <w:highlight w:val="none"/>
        </w:rPr>
        <w:t>。</w:t>
      </w:r>
    </w:p>
    <w:p w14:paraId="25217439">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五、询价文件的获取</w:t>
      </w:r>
    </w:p>
    <w:p w14:paraId="04CBBC92">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的获取时间：</w:t>
      </w:r>
      <w:r>
        <w:rPr>
          <w:rFonts w:hint="eastAsia" w:ascii="仿宋" w:hAnsi="仿宋" w:eastAsia="仿宋" w:cs="仿宋"/>
          <w:sz w:val="21"/>
          <w:szCs w:val="21"/>
          <w:highlight w:val="none"/>
          <w:lang w:eastAsia="zh-CN"/>
        </w:rPr>
        <w:t>自询价公告在江苏省监狱管理局门户网站、e交易平台上发布之日起</w:t>
      </w:r>
      <w:r>
        <w:rPr>
          <w:rFonts w:hint="eastAsia" w:ascii="仿宋" w:hAnsi="仿宋" w:eastAsia="仿宋" w:cs="仿宋"/>
          <w:color w:val="auto"/>
          <w:sz w:val="21"/>
          <w:szCs w:val="21"/>
          <w:highlight w:val="none"/>
          <w:shd w:val="clear" w:color="auto" w:fill="FFFFFF"/>
          <w:lang w:val="zh-CN"/>
        </w:rPr>
        <w:t>至2024年</w:t>
      </w:r>
      <w:r>
        <w:rPr>
          <w:rFonts w:hint="eastAsia" w:ascii="仿宋" w:hAnsi="仿宋" w:eastAsia="仿宋" w:cs="仿宋"/>
          <w:color w:val="auto"/>
          <w:sz w:val="21"/>
          <w:szCs w:val="21"/>
          <w:highlight w:val="none"/>
          <w:shd w:val="clear" w:color="auto" w:fill="FFFFFF"/>
          <w:lang w:val="en-US" w:eastAsia="zh-CN"/>
        </w:rPr>
        <w:t>12月25日</w:t>
      </w:r>
      <w:r>
        <w:rPr>
          <w:rFonts w:hint="eastAsia" w:ascii="仿宋" w:hAnsi="仿宋" w:eastAsia="仿宋" w:cs="仿宋"/>
          <w:color w:val="auto"/>
          <w:kern w:val="0"/>
          <w:sz w:val="21"/>
          <w:szCs w:val="21"/>
          <w:highlight w:val="none"/>
        </w:rPr>
        <w:t>17：30（北京时间，法定节假日除外，下同）</w:t>
      </w:r>
    </w:p>
    <w:p w14:paraId="3B7A4512">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的获取方式：供应商获取</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前须于获取时间内前往e交易平台（http://www.ejy365.com）按照要求进行实名会员注册</w:t>
      </w:r>
      <w:r>
        <w:rPr>
          <w:rFonts w:hint="eastAsia" w:ascii="仿宋" w:hAnsi="仿宋" w:eastAsia="仿宋" w:cs="仿宋"/>
          <w:b/>
          <w:bCs/>
          <w:color w:val="auto"/>
          <w:kern w:val="0"/>
          <w:sz w:val="21"/>
          <w:szCs w:val="21"/>
          <w:highlight w:val="none"/>
        </w:rPr>
        <w:t>（不需办理CA锁）</w:t>
      </w:r>
      <w:r>
        <w:rPr>
          <w:rFonts w:hint="eastAsia" w:ascii="仿宋" w:hAnsi="仿宋" w:eastAsia="仿宋" w:cs="仿宋"/>
          <w:color w:val="auto"/>
          <w:kern w:val="0"/>
          <w:sz w:val="21"/>
          <w:szCs w:val="21"/>
          <w:highlight w:val="none"/>
        </w:rPr>
        <w:t>、完善相关信息及选择项目报名、下载</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w:t>
      </w:r>
    </w:p>
    <w:p w14:paraId="19B0D0BE">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3.下载者应充分考虑平台注册、信息检查、资料上传、购标确认、费用支付所需时间，下载者必须在获取时间内完成支付，否则将无法保证获取</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。未按照本公告要求获得本项目</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的，</w:t>
      </w:r>
      <w:r>
        <w:rPr>
          <w:rFonts w:hint="eastAsia" w:ascii="仿宋" w:hAnsi="仿宋" w:eastAsia="仿宋" w:cs="仿宋"/>
          <w:color w:val="auto"/>
          <w:kern w:val="0"/>
          <w:sz w:val="21"/>
          <w:szCs w:val="21"/>
          <w:highlight w:val="none"/>
          <w:lang w:eastAsia="zh-CN"/>
        </w:rPr>
        <w:t>采购代理机构</w:t>
      </w:r>
      <w:r>
        <w:rPr>
          <w:rFonts w:hint="eastAsia" w:ascii="仿宋" w:hAnsi="仿宋" w:eastAsia="仿宋" w:cs="仿宋"/>
          <w:color w:val="auto"/>
          <w:kern w:val="0"/>
          <w:sz w:val="21"/>
          <w:szCs w:val="21"/>
          <w:highlight w:val="none"/>
        </w:rPr>
        <w:t>不予接收其响应文件。</w:t>
      </w:r>
    </w:p>
    <w:p w14:paraId="3182FEC1">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4.下载者需要发票的，须通过平台“资金管理”模块进行操作。</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服务费发票由采购代理机构开具；平台服务费发票由江苏易交易信息科技有限公司开具。非因采购代理机构或平台原因，发票一经开具不予退换。</w:t>
      </w:r>
    </w:p>
    <w:p w14:paraId="5EC54238">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5.平台网站首页“帮助中心”提供操作手册，下载者可以下载并根据操作手册提示进行注册、登录等操作。易交易平台技术支持联系方式 </w:t>
      </w:r>
    </w:p>
    <w:p w14:paraId="6E9B4B0C">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供应商技术支持热线：</w:t>
      </w:r>
      <w:r>
        <w:rPr>
          <w:rFonts w:hint="eastAsia" w:ascii="仿宋" w:hAnsi="仿宋" w:eastAsia="仿宋" w:cs="仿宋"/>
          <w:b/>
          <w:bCs/>
          <w:color w:val="auto"/>
          <w:kern w:val="0"/>
          <w:sz w:val="21"/>
          <w:szCs w:val="21"/>
          <w:highlight w:val="none"/>
        </w:rPr>
        <w:t>400-828-0799</w:t>
      </w:r>
      <w:r>
        <w:rPr>
          <w:rFonts w:hint="eastAsia" w:ascii="仿宋" w:hAnsi="仿宋" w:eastAsia="仿宋" w:cs="仿宋"/>
          <w:color w:val="auto"/>
          <w:kern w:val="0"/>
          <w:sz w:val="21"/>
          <w:szCs w:val="21"/>
          <w:highlight w:val="none"/>
        </w:rPr>
        <w:t>（工作时间：</w:t>
      </w:r>
      <w:r>
        <w:rPr>
          <w:rFonts w:hint="eastAsia" w:ascii="仿宋" w:hAnsi="仿宋" w:eastAsia="仿宋" w:cs="仿宋"/>
          <w:color w:val="auto"/>
          <w:kern w:val="0"/>
          <w:sz w:val="21"/>
          <w:szCs w:val="21"/>
          <w:highlight w:val="none"/>
          <w:lang w:val="en-US" w:eastAsia="zh-CN"/>
        </w:rPr>
        <w:t>08</w:t>
      </w:r>
      <w:r>
        <w:rPr>
          <w:rFonts w:hint="eastAsia" w:ascii="仿宋" w:hAnsi="仿宋" w:eastAsia="仿宋" w:cs="仿宋"/>
          <w:color w:val="auto"/>
          <w:kern w:val="0"/>
          <w:sz w:val="21"/>
          <w:szCs w:val="21"/>
          <w:highlight w:val="none"/>
          <w:lang w:eastAsia="zh-CN"/>
        </w:rPr>
        <w:t>：30</w:t>
      </w:r>
      <w:r>
        <w:rPr>
          <w:rFonts w:hint="eastAsia" w:ascii="仿宋" w:hAnsi="仿宋" w:eastAsia="仿宋" w:cs="仿宋"/>
          <w:color w:val="auto"/>
          <w:kern w:val="0"/>
          <w:sz w:val="21"/>
          <w:szCs w:val="21"/>
          <w:highlight w:val="none"/>
        </w:rPr>
        <w:t>-11：30，13：30-1</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：00）</w:t>
      </w:r>
    </w:p>
    <w:p w14:paraId="283F280B">
      <w:pPr>
        <w:keepNext w:val="0"/>
        <w:keepLines w:val="0"/>
        <w:pageBreakBefore w:val="0"/>
        <w:widowControl/>
        <w:kinsoku/>
        <w:wordWrap/>
        <w:overflowPunct w:val="0"/>
        <w:topLinePunct/>
        <w:autoSpaceDE/>
        <w:autoSpaceDN/>
        <w:bidi w:val="0"/>
        <w:adjustRightInd/>
        <w:snapToGrid w:val="0"/>
        <w:spacing w:line="348" w:lineRule="auto"/>
        <w:ind w:firstLine="422" w:firstLineChars="200"/>
        <w:textAlignment w:val="auto"/>
        <w:outlineLvl w:val="9"/>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供应商项目参与操作说明：</w:t>
      </w:r>
    </w:p>
    <w:p w14:paraId="703A6AA3">
      <w:pPr>
        <w:keepNext w:val="0"/>
        <w:keepLines w:val="0"/>
        <w:pageBreakBefore w:val="0"/>
        <w:widowControl/>
        <w:kinsoku/>
        <w:wordWrap/>
        <w:overflowPunct w:val="0"/>
        <w:topLinePunct/>
        <w:autoSpaceDE/>
        <w:autoSpaceDN/>
        <w:bidi w:val="0"/>
        <w:adjustRightInd/>
        <w:snapToGrid w:val="0"/>
        <w:spacing w:line="348" w:lineRule="auto"/>
        <w:ind w:firstLine="422" w:firstLineChars="200"/>
        <w:textAlignment w:val="auto"/>
        <w:outlineLvl w:val="9"/>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 xml:space="preserve">https://www.ejy365.com/upload/link/2022/08/30/48e1dd12-5050-4bbf-bfc9-a0d7a037ba1c.pdf </w:t>
      </w:r>
    </w:p>
    <w:p w14:paraId="2D36AD7E">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技术支持服务态度不满意投诉热线：400-828-0799转0。</w:t>
      </w:r>
    </w:p>
    <w:p w14:paraId="19BE2842">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询价文件服务费300元，获取后不退。</w:t>
      </w:r>
    </w:p>
    <w:p w14:paraId="53E51213">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六、响应文件接收截止时间、</w:t>
      </w:r>
      <w:r>
        <w:rPr>
          <w:rFonts w:hint="eastAsia" w:ascii="仿宋" w:hAnsi="仿宋" w:eastAsia="仿宋" w:cs="仿宋"/>
          <w:b/>
          <w:bCs/>
          <w:sz w:val="21"/>
          <w:szCs w:val="21"/>
          <w:highlight w:val="none"/>
          <w:lang w:val="en-US" w:eastAsia="zh-CN"/>
        </w:rPr>
        <w:t>方式</w:t>
      </w:r>
      <w:r>
        <w:rPr>
          <w:rFonts w:hint="eastAsia" w:ascii="仿宋" w:hAnsi="仿宋" w:eastAsia="仿宋" w:cs="仿宋"/>
          <w:b/>
          <w:bCs/>
          <w:sz w:val="21"/>
          <w:szCs w:val="21"/>
          <w:highlight w:val="none"/>
          <w:lang w:eastAsia="zh-CN"/>
        </w:rPr>
        <w:t>和地点</w:t>
      </w:r>
    </w:p>
    <w:p w14:paraId="1D3954EB">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响应文件接收截止时间：2024年</w:t>
      </w:r>
      <w:r>
        <w:rPr>
          <w:rFonts w:hint="eastAsia" w:ascii="仿宋" w:hAnsi="仿宋" w:eastAsia="仿宋" w:cs="仿宋"/>
          <w:color w:val="auto"/>
          <w:kern w:val="0"/>
          <w:sz w:val="21"/>
          <w:szCs w:val="21"/>
          <w:highlight w:val="none"/>
          <w:lang w:val="en-US" w:eastAsia="zh-CN"/>
        </w:rPr>
        <w:t>12月26日14：00</w:t>
      </w:r>
      <w:r>
        <w:rPr>
          <w:rFonts w:hint="eastAsia" w:ascii="仿宋" w:hAnsi="仿宋" w:eastAsia="仿宋" w:cs="仿宋"/>
          <w:color w:val="auto"/>
          <w:kern w:val="0"/>
          <w:sz w:val="21"/>
          <w:szCs w:val="21"/>
          <w:highlight w:val="none"/>
          <w:lang w:eastAsia="zh-CN"/>
        </w:rPr>
        <w:t>（北京时间，</w:t>
      </w:r>
      <w:r>
        <w:rPr>
          <w:rFonts w:hint="eastAsia" w:ascii="仿宋" w:hAnsi="仿宋" w:eastAsia="仿宋" w:cs="仿宋"/>
          <w:color w:val="auto"/>
          <w:kern w:val="0"/>
          <w:sz w:val="21"/>
          <w:szCs w:val="21"/>
          <w:highlight w:val="none"/>
          <w:lang w:val="en-US" w:eastAsia="zh-CN"/>
        </w:rPr>
        <w:t>下同</w:t>
      </w:r>
      <w:r>
        <w:rPr>
          <w:rFonts w:hint="eastAsia" w:ascii="仿宋" w:hAnsi="仿宋" w:eastAsia="仿宋" w:cs="仿宋"/>
          <w:color w:val="auto"/>
          <w:kern w:val="0"/>
          <w:sz w:val="21"/>
          <w:szCs w:val="21"/>
          <w:highlight w:val="none"/>
          <w:lang w:eastAsia="zh-CN"/>
        </w:rPr>
        <w:t>）</w:t>
      </w:r>
    </w:p>
    <w:p w14:paraId="679F5169">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lang w:val="en-US" w:eastAsia="zh-CN"/>
        </w:rPr>
        <w:t>接收方式：</w:t>
      </w:r>
    </w:p>
    <w:p w14:paraId="3005E22C">
      <w:pPr>
        <w:keepNext w:val="0"/>
        <w:keepLines w:val="0"/>
        <w:pageBreakBefore w:val="0"/>
        <w:widowControl/>
        <w:kinsoku/>
        <w:wordWrap/>
        <w:overflowPunct w:val="0"/>
        <w:topLinePunct/>
        <w:autoSpaceDE/>
        <w:autoSpaceDN/>
        <w:bidi w:val="0"/>
        <w:adjustRightInd/>
        <w:snapToGrid w:val="0"/>
        <w:spacing w:line="348" w:lineRule="auto"/>
        <w:ind w:firstLine="422" w:firstLineChars="200"/>
        <w:textAlignment w:val="auto"/>
        <w:outlineLvl w:val="9"/>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rPr>
        <w:t>1.</w:t>
      </w:r>
      <w:r>
        <w:rPr>
          <w:rFonts w:hint="eastAsia" w:ascii="仿宋" w:hAnsi="仿宋" w:eastAsia="仿宋" w:cs="仿宋"/>
          <w:b/>
          <w:bCs/>
          <w:color w:val="auto"/>
          <w:kern w:val="0"/>
          <w:sz w:val="21"/>
          <w:szCs w:val="21"/>
          <w:highlight w:val="none"/>
          <w:lang w:val="en-US" w:eastAsia="zh-CN"/>
        </w:rPr>
        <w:t>邮寄：</w:t>
      </w:r>
    </w:p>
    <w:p w14:paraId="37AA13A0">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供应商应</w:t>
      </w:r>
      <w:r>
        <w:rPr>
          <w:rFonts w:hint="eastAsia" w:ascii="仿宋" w:hAnsi="仿宋" w:eastAsia="仿宋" w:cs="仿宋"/>
          <w:color w:val="auto"/>
          <w:kern w:val="0"/>
          <w:sz w:val="21"/>
          <w:szCs w:val="21"/>
          <w:highlight w:val="none"/>
        </w:rPr>
        <w:t>于</w:t>
      </w:r>
      <w:r>
        <w:rPr>
          <w:rFonts w:hint="eastAsia" w:ascii="仿宋" w:hAnsi="仿宋" w:eastAsia="仿宋" w:cs="仿宋"/>
          <w:color w:val="auto"/>
          <w:kern w:val="0"/>
          <w:sz w:val="21"/>
          <w:szCs w:val="21"/>
          <w:highlight w:val="none"/>
          <w:lang w:eastAsia="zh-CN"/>
        </w:rPr>
        <w:t>响应文件接收截止时间</w:t>
      </w:r>
      <w:r>
        <w:rPr>
          <w:rFonts w:hint="eastAsia" w:ascii="仿宋" w:hAnsi="仿宋" w:eastAsia="仿宋" w:cs="仿宋"/>
          <w:color w:val="auto"/>
          <w:kern w:val="0"/>
          <w:sz w:val="21"/>
          <w:szCs w:val="21"/>
          <w:highlight w:val="none"/>
        </w:rPr>
        <w:t>前将纸质及电子版</w:t>
      </w:r>
      <w:r>
        <w:rPr>
          <w:rFonts w:hint="eastAsia" w:ascii="仿宋" w:hAnsi="仿宋" w:eastAsia="仿宋" w:cs="仿宋"/>
          <w:color w:val="auto"/>
          <w:kern w:val="0"/>
          <w:sz w:val="21"/>
          <w:szCs w:val="21"/>
          <w:highlight w:val="none"/>
          <w:lang w:val="en-US" w:eastAsia="zh-CN"/>
        </w:rPr>
        <w:t>响应文件</w:t>
      </w:r>
      <w:r>
        <w:rPr>
          <w:rFonts w:hint="eastAsia" w:ascii="仿宋" w:hAnsi="仿宋" w:eastAsia="仿宋" w:cs="仿宋"/>
          <w:color w:val="auto"/>
          <w:kern w:val="0"/>
          <w:sz w:val="21"/>
          <w:szCs w:val="21"/>
          <w:highlight w:val="none"/>
        </w:rPr>
        <w:t>邮寄至：南京市鼓楼区清江南路18号鼓楼创新广场D栋1004室；收件人：程俊玥；收件人电话：15050540687。</w:t>
      </w:r>
    </w:p>
    <w:p w14:paraId="696D91C3">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注：（1）请</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充分考虑</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邮寄在途时长（首选顺丰速运），以及</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包装的严密性、防水性、完好性等因素。</w:t>
      </w:r>
      <w:r>
        <w:rPr>
          <w:rFonts w:hint="eastAsia" w:ascii="仿宋" w:hAnsi="仿宋" w:eastAsia="仿宋" w:cs="仿宋"/>
          <w:color w:val="auto"/>
          <w:kern w:val="0"/>
          <w:sz w:val="21"/>
          <w:szCs w:val="21"/>
          <w:highlight w:val="none"/>
          <w:lang w:eastAsia="zh-CN"/>
        </w:rPr>
        <w:t>供应商</w:t>
      </w:r>
      <w:r>
        <w:rPr>
          <w:rFonts w:hint="eastAsia" w:ascii="仿宋" w:hAnsi="仿宋" w:eastAsia="仿宋" w:cs="仿宋"/>
          <w:color w:val="auto"/>
          <w:kern w:val="0"/>
          <w:sz w:val="21"/>
          <w:szCs w:val="21"/>
          <w:highlight w:val="none"/>
        </w:rPr>
        <w:t>自行承担本项目</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邮寄丢失、破损等风险，以及由此导致的流标、投标被否决的后果。</w:t>
      </w:r>
    </w:p>
    <w:p w14:paraId="66CE9950">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寄出后，请将投标单位全称、快递单号、所投项目全称、联系人、联系电话发邮件至</w:t>
      </w:r>
      <w:r>
        <w:rPr>
          <w:rFonts w:hint="eastAsia" w:ascii="仿宋" w:hAnsi="仿宋" w:eastAsia="仿宋" w:cs="仿宋"/>
          <w:color w:val="auto"/>
          <w:kern w:val="0"/>
          <w:sz w:val="21"/>
          <w:szCs w:val="21"/>
          <w:highlight w:val="none"/>
        </w:rPr>
        <w:fldChar w:fldCharType="begin"/>
      </w:r>
      <w:r>
        <w:rPr>
          <w:rFonts w:hint="eastAsia" w:ascii="仿宋" w:hAnsi="仿宋" w:eastAsia="仿宋" w:cs="仿宋"/>
          <w:color w:val="auto"/>
          <w:kern w:val="0"/>
          <w:sz w:val="21"/>
          <w:szCs w:val="21"/>
          <w:highlight w:val="none"/>
        </w:rPr>
        <w:instrText xml:space="preserve"> HYPERLINK "mailto:chengjy@jcec.cn" </w:instrText>
      </w:r>
      <w:r>
        <w:rPr>
          <w:rFonts w:hint="eastAsia" w:ascii="仿宋" w:hAnsi="仿宋" w:eastAsia="仿宋" w:cs="仿宋"/>
          <w:color w:val="auto"/>
          <w:kern w:val="0"/>
          <w:sz w:val="21"/>
          <w:szCs w:val="21"/>
          <w:highlight w:val="none"/>
        </w:rPr>
        <w:fldChar w:fldCharType="separate"/>
      </w:r>
      <w:r>
        <w:rPr>
          <w:rFonts w:hint="eastAsia" w:ascii="仿宋" w:hAnsi="仿宋" w:eastAsia="仿宋" w:cs="仿宋"/>
          <w:color w:val="auto"/>
          <w:kern w:val="0"/>
          <w:sz w:val="21"/>
          <w:szCs w:val="21"/>
          <w:highlight w:val="none"/>
        </w:rPr>
        <w:t>chengjy@jcec.cn</w:t>
      </w:r>
      <w:r>
        <w:rPr>
          <w:rFonts w:hint="eastAsia" w:ascii="仿宋" w:hAnsi="仿宋" w:eastAsia="仿宋" w:cs="仿宋"/>
          <w:color w:val="auto"/>
          <w:kern w:val="0"/>
          <w:sz w:val="21"/>
          <w:szCs w:val="21"/>
          <w:highlight w:val="none"/>
        </w:rPr>
        <w:fldChar w:fldCharType="end"/>
      </w:r>
      <w:r>
        <w:rPr>
          <w:rFonts w:hint="eastAsia" w:ascii="仿宋" w:hAnsi="仿宋" w:eastAsia="仿宋" w:cs="仿宋"/>
          <w:color w:val="auto"/>
          <w:kern w:val="0"/>
          <w:sz w:val="21"/>
          <w:szCs w:val="21"/>
          <w:highlight w:val="none"/>
        </w:rPr>
        <w:t>，否则</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人不因“为了确认包裹所属项目提前开启外箱包装”而承担任何责任。</w:t>
      </w:r>
    </w:p>
    <w:p w14:paraId="5DA510EE">
      <w:pPr>
        <w:keepNext w:val="0"/>
        <w:keepLines w:val="0"/>
        <w:pageBreakBefore w:val="0"/>
        <w:widowControl/>
        <w:kinsoku/>
        <w:wordWrap/>
        <w:overflowPunct w:val="0"/>
        <w:topLinePunct/>
        <w:autoSpaceDE/>
        <w:autoSpaceDN/>
        <w:bidi w:val="0"/>
        <w:adjustRightInd/>
        <w:snapToGrid w:val="0"/>
        <w:spacing w:line="348" w:lineRule="auto"/>
        <w:ind w:firstLine="422" w:firstLineChars="200"/>
        <w:textAlignment w:val="auto"/>
        <w:outlineLvl w:val="9"/>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2.现场递交：</w:t>
      </w:r>
    </w:p>
    <w:p w14:paraId="3E047C08">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接收地点：南京市鼓楼区清江南路18号鼓楼创新广场D栋1</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lang w:eastAsia="zh-CN"/>
        </w:rPr>
        <w:t>楼</w:t>
      </w:r>
      <w:r>
        <w:rPr>
          <w:rFonts w:hint="eastAsia" w:ascii="仿宋" w:hAnsi="仿宋" w:eastAsia="仿宋" w:cs="仿宋"/>
          <w:color w:val="auto"/>
          <w:kern w:val="0"/>
          <w:sz w:val="21"/>
          <w:szCs w:val="21"/>
          <w:highlight w:val="none"/>
          <w:lang w:val="en-US" w:eastAsia="zh-CN"/>
        </w:rPr>
        <w:t>1004</w:t>
      </w:r>
      <w:r>
        <w:rPr>
          <w:rFonts w:hint="eastAsia" w:ascii="仿宋" w:hAnsi="仿宋" w:eastAsia="仿宋" w:cs="仿宋"/>
          <w:color w:val="auto"/>
          <w:kern w:val="0"/>
          <w:sz w:val="21"/>
          <w:szCs w:val="21"/>
          <w:highlight w:val="none"/>
          <w:lang w:eastAsia="zh-CN"/>
        </w:rPr>
        <w:t>室</w:t>
      </w:r>
    </w:p>
    <w:p w14:paraId="31A8D7E7">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说明：（</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电子版</w:t>
      </w:r>
      <w:r>
        <w:rPr>
          <w:rFonts w:hint="eastAsia" w:ascii="仿宋" w:hAnsi="仿宋" w:eastAsia="仿宋" w:cs="仿宋"/>
          <w:color w:val="auto"/>
          <w:kern w:val="0"/>
          <w:sz w:val="21"/>
          <w:szCs w:val="21"/>
          <w:highlight w:val="none"/>
          <w:lang w:eastAsia="zh-CN"/>
        </w:rPr>
        <w:t>响应文件无须上传至</w:t>
      </w:r>
      <w:r>
        <w:rPr>
          <w:rFonts w:hint="eastAsia" w:ascii="仿宋" w:hAnsi="仿宋" w:eastAsia="仿宋" w:cs="仿宋"/>
          <w:color w:val="auto"/>
          <w:kern w:val="0"/>
          <w:sz w:val="21"/>
          <w:szCs w:val="21"/>
          <w:highlight w:val="none"/>
          <w:lang w:val="en-US" w:eastAsia="zh-CN"/>
        </w:rPr>
        <w:t>e交易</w:t>
      </w:r>
      <w:r>
        <w:rPr>
          <w:rFonts w:hint="eastAsia" w:ascii="仿宋" w:hAnsi="仿宋" w:eastAsia="仿宋" w:cs="仿宋"/>
          <w:color w:val="auto"/>
          <w:kern w:val="0"/>
          <w:sz w:val="21"/>
          <w:szCs w:val="21"/>
          <w:highlight w:val="none"/>
          <w:lang w:eastAsia="zh-CN"/>
        </w:rPr>
        <w:t>平台。</w:t>
      </w:r>
    </w:p>
    <w:p w14:paraId="3B183A5D">
      <w:pPr>
        <w:keepNext w:val="0"/>
        <w:keepLines w:val="0"/>
        <w:pageBreakBefore w:val="0"/>
        <w:widowControl/>
        <w:kinsoku/>
        <w:wordWrap/>
        <w:overflowPunct w:val="0"/>
        <w:topLinePunct/>
        <w:autoSpaceDE/>
        <w:autoSpaceDN/>
        <w:bidi w:val="0"/>
        <w:adjustRightInd/>
        <w:snapToGrid w:val="0"/>
        <w:spacing w:line="348" w:lineRule="auto"/>
        <w:ind w:firstLine="420" w:firstLineChars="200"/>
        <w:textAlignment w:val="auto"/>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逾期送达的、未送达指定地点的或者不按照</w:t>
      </w:r>
      <w:r>
        <w:rPr>
          <w:rFonts w:hint="eastAsia" w:ascii="仿宋" w:hAnsi="仿宋" w:eastAsia="仿宋" w:cs="仿宋"/>
          <w:color w:val="auto"/>
          <w:kern w:val="0"/>
          <w:sz w:val="21"/>
          <w:szCs w:val="21"/>
          <w:highlight w:val="none"/>
          <w:lang w:val="en-US" w:eastAsia="zh-CN"/>
        </w:rPr>
        <w:t>询价</w:t>
      </w:r>
      <w:r>
        <w:rPr>
          <w:rFonts w:hint="eastAsia" w:ascii="仿宋" w:hAnsi="仿宋" w:eastAsia="仿宋" w:cs="仿宋"/>
          <w:color w:val="auto"/>
          <w:kern w:val="0"/>
          <w:sz w:val="21"/>
          <w:szCs w:val="21"/>
          <w:highlight w:val="none"/>
        </w:rPr>
        <w:t>文件要求密封的</w:t>
      </w:r>
      <w:r>
        <w:rPr>
          <w:rFonts w:hint="eastAsia" w:ascii="仿宋" w:hAnsi="仿宋" w:eastAsia="仿宋" w:cs="仿宋"/>
          <w:color w:val="auto"/>
          <w:kern w:val="0"/>
          <w:sz w:val="21"/>
          <w:szCs w:val="21"/>
          <w:highlight w:val="none"/>
          <w:lang w:eastAsia="zh-CN"/>
        </w:rPr>
        <w:t>响应文件</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rPr>
        <w:t>人将予以拒收。</w:t>
      </w:r>
    </w:p>
    <w:p w14:paraId="5F97FB0F">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七、开启</w:t>
      </w:r>
    </w:p>
    <w:p w14:paraId="17F47D6A">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1.时间：2024年</w:t>
      </w:r>
      <w:r>
        <w:rPr>
          <w:rFonts w:hint="eastAsia" w:ascii="仿宋" w:hAnsi="仿宋" w:eastAsia="仿宋" w:cs="仿宋"/>
          <w:sz w:val="21"/>
          <w:szCs w:val="21"/>
          <w:highlight w:val="none"/>
          <w:lang w:val="en-US" w:eastAsia="zh-CN"/>
        </w:rPr>
        <w:t>12月26日14：00</w:t>
      </w:r>
    </w:p>
    <w:p w14:paraId="3DA393A2">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2.地点：南京市鼓楼区清江南路18号鼓楼创新广场D栋1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楼（</w:t>
      </w:r>
      <w:r>
        <w:rPr>
          <w:rFonts w:hint="eastAsia" w:ascii="仿宋" w:hAnsi="仿宋" w:eastAsia="仿宋" w:cs="仿宋"/>
          <w:sz w:val="21"/>
          <w:szCs w:val="21"/>
          <w:highlight w:val="none"/>
          <w:lang w:val="en-US" w:eastAsia="zh-CN"/>
        </w:rPr>
        <w:t>采用邮寄方式者可登录腾讯会议参加不见面开标会，具体操作详见询价文件附件：关于开标方式的说明）。</w:t>
      </w:r>
    </w:p>
    <w:p w14:paraId="77AA463B">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八</w:t>
      </w:r>
      <w:r>
        <w:rPr>
          <w:rFonts w:hint="eastAsia" w:ascii="仿宋" w:hAnsi="仿宋" w:eastAsia="仿宋" w:cs="仿宋"/>
          <w:b/>
          <w:bCs/>
          <w:sz w:val="21"/>
          <w:szCs w:val="21"/>
          <w:highlight w:val="none"/>
          <w:lang w:eastAsia="zh-CN"/>
        </w:rPr>
        <w:t>、本次询价采购提出询问，请按以下方式联系：</w:t>
      </w:r>
    </w:p>
    <w:p w14:paraId="1D7FA2A4">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1.采购人信息</w:t>
      </w:r>
    </w:p>
    <w:p w14:paraId="3229AD5D">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采购人名称：江苏省镇江监狱</w:t>
      </w:r>
    </w:p>
    <w:p w14:paraId="4CED7944">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采购人联系人：赵忠君</w:t>
      </w:r>
    </w:p>
    <w:p w14:paraId="4860E021">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 xml:space="preserve">联系电话：0511-89002346      </w:t>
      </w:r>
    </w:p>
    <w:p w14:paraId="039EA322">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采购人地址：镇江市学府路七号</w:t>
      </w:r>
    </w:p>
    <w:p w14:paraId="009775AD">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2.采购代理机构信息</w:t>
      </w:r>
    </w:p>
    <w:p w14:paraId="5F843EA0">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名称：江苏省设备成套股份有限公司</w:t>
      </w:r>
    </w:p>
    <w:p w14:paraId="2D155CF6">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地址：南京市鼓楼区清江南路18号鼓楼创新广场D栋10楼</w:t>
      </w:r>
    </w:p>
    <w:p w14:paraId="7CE30B0A">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联系人：程俊玥</w:t>
      </w:r>
    </w:p>
    <w:p w14:paraId="2AC3D1C0">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zh-CN" w:eastAsia="zh-CN"/>
        </w:rPr>
        <w:t>电话：</w:t>
      </w:r>
      <w:r>
        <w:rPr>
          <w:rFonts w:hint="eastAsia" w:ascii="仿宋" w:hAnsi="仿宋" w:eastAsia="仿宋" w:cs="仿宋"/>
          <w:sz w:val="21"/>
          <w:szCs w:val="21"/>
          <w:highlight w:val="none"/>
          <w:lang w:eastAsia="zh-CN"/>
        </w:rPr>
        <w:t>025-86632670</w:t>
      </w:r>
      <w:r>
        <w:rPr>
          <w:rFonts w:hint="eastAsia" w:ascii="仿宋" w:hAnsi="仿宋" w:eastAsia="仿宋" w:cs="仿宋"/>
          <w:sz w:val="21"/>
          <w:szCs w:val="21"/>
          <w:highlight w:val="none"/>
          <w:lang w:val="en-US" w:eastAsia="zh-CN"/>
        </w:rPr>
        <w:t xml:space="preserve"> 15050540687</w:t>
      </w:r>
    </w:p>
    <w:p w14:paraId="55FC5C96">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邮箱：</w:t>
      </w:r>
      <w:r>
        <w:rPr>
          <w:rFonts w:hint="eastAsia" w:ascii="仿宋" w:hAnsi="仿宋" w:eastAsia="仿宋" w:cs="仿宋"/>
          <w:sz w:val="21"/>
          <w:szCs w:val="21"/>
          <w:highlight w:val="none"/>
          <w:lang w:eastAsia="zh-CN"/>
        </w:rPr>
        <w:fldChar w:fldCharType="begin"/>
      </w:r>
      <w:r>
        <w:rPr>
          <w:rFonts w:hint="eastAsia" w:ascii="仿宋" w:hAnsi="仿宋" w:eastAsia="仿宋" w:cs="仿宋"/>
          <w:sz w:val="21"/>
          <w:szCs w:val="21"/>
          <w:highlight w:val="none"/>
          <w:lang w:eastAsia="zh-CN"/>
        </w:rPr>
        <w:instrText xml:space="preserve">HYPERLINK "mailto:chengjy@jcec.cn"</w:instrText>
      </w:r>
      <w:r>
        <w:rPr>
          <w:rFonts w:hint="eastAsia" w:ascii="仿宋" w:hAnsi="仿宋" w:eastAsia="仿宋" w:cs="仿宋"/>
          <w:sz w:val="21"/>
          <w:szCs w:val="21"/>
          <w:highlight w:val="none"/>
          <w:lang w:eastAsia="zh-CN"/>
        </w:rPr>
        <w:fldChar w:fldCharType="separate"/>
      </w:r>
      <w:r>
        <w:rPr>
          <w:rFonts w:hint="eastAsia" w:ascii="仿宋" w:hAnsi="仿宋" w:eastAsia="仿宋" w:cs="仿宋"/>
          <w:sz w:val="21"/>
          <w:szCs w:val="21"/>
          <w:highlight w:val="none"/>
          <w:lang w:eastAsia="zh-CN"/>
        </w:rPr>
        <w:t>chengjy@jcec.cn</w:t>
      </w:r>
      <w:r>
        <w:rPr>
          <w:rFonts w:hint="eastAsia" w:ascii="仿宋" w:hAnsi="仿宋" w:eastAsia="仿宋" w:cs="仿宋"/>
          <w:sz w:val="21"/>
          <w:szCs w:val="21"/>
          <w:highlight w:val="none"/>
          <w:lang w:eastAsia="zh-CN"/>
        </w:rPr>
        <w:fldChar w:fldCharType="end"/>
      </w:r>
    </w:p>
    <w:p w14:paraId="65BA7A6E">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说明：</w:t>
      </w:r>
      <w:r>
        <w:rPr>
          <w:rFonts w:hint="eastAsia" w:ascii="仿宋" w:hAnsi="仿宋" w:eastAsia="仿宋" w:cs="仿宋"/>
          <w:sz w:val="21"/>
          <w:szCs w:val="21"/>
          <w:highlight w:val="none"/>
          <w:lang w:eastAsia="zh-CN"/>
        </w:rPr>
        <w:t>对项目需求部分的询问、质疑由采购人负责答复。</w:t>
      </w:r>
    </w:p>
    <w:p w14:paraId="2E12CC34">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九</w:t>
      </w:r>
      <w:r>
        <w:rPr>
          <w:rFonts w:hint="eastAsia" w:ascii="仿宋" w:hAnsi="仿宋" w:eastAsia="仿宋" w:cs="仿宋"/>
          <w:b/>
          <w:bCs/>
          <w:sz w:val="21"/>
          <w:szCs w:val="21"/>
          <w:highlight w:val="none"/>
          <w:lang w:eastAsia="zh-CN"/>
        </w:rPr>
        <w:t>、本次询价响应文件制作份数要求</w:t>
      </w:r>
    </w:p>
    <w:p w14:paraId="2AB5DAAF">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纸质</w:t>
      </w:r>
      <w:r>
        <w:rPr>
          <w:rFonts w:hint="eastAsia" w:ascii="仿宋" w:hAnsi="仿宋" w:eastAsia="仿宋" w:cs="仿宋"/>
          <w:sz w:val="21"/>
          <w:szCs w:val="21"/>
          <w:highlight w:val="none"/>
          <w:lang w:eastAsia="zh-CN"/>
        </w:rPr>
        <w:t>正本</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份、</w:t>
      </w:r>
      <w:r>
        <w:rPr>
          <w:rFonts w:hint="eastAsia" w:ascii="仿宋" w:hAnsi="仿宋" w:eastAsia="仿宋" w:cs="仿宋"/>
          <w:sz w:val="21"/>
          <w:szCs w:val="21"/>
          <w:highlight w:val="none"/>
          <w:lang w:val="en-US" w:eastAsia="zh-CN"/>
        </w:rPr>
        <w:t>纸质</w:t>
      </w:r>
      <w:r>
        <w:rPr>
          <w:rFonts w:hint="eastAsia" w:ascii="仿宋" w:hAnsi="仿宋" w:eastAsia="仿宋" w:cs="仿宋"/>
          <w:sz w:val="21"/>
          <w:szCs w:val="21"/>
          <w:highlight w:val="none"/>
          <w:lang w:eastAsia="zh-CN"/>
        </w:rPr>
        <w:t>副本</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份、</w:t>
      </w:r>
      <w:r>
        <w:rPr>
          <w:rFonts w:hint="eastAsia" w:ascii="仿宋" w:hAnsi="仿宋" w:eastAsia="仿宋" w:cs="仿宋"/>
          <w:sz w:val="21"/>
          <w:szCs w:val="21"/>
          <w:highlight w:val="none"/>
          <w:lang w:val="en-US" w:eastAsia="zh-CN"/>
        </w:rPr>
        <w:t>电子版1份。</w:t>
      </w:r>
    </w:p>
    <w:p w14:paraId="2A913598">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十</w:t>
      </w:r>
      <w:r>
        <w:rPr>
          <w:rFonts w:hint="eastAsia" w:ascii="仿宋" w:hAnsi="仿宋" w:eastAsia="仿宋" w:cs="仿宋"/>
          <w:b/>
          <w:bCs/>
          <w:sz w:val="21"/>
          <w:szCs w:val="21"/>
          <w:highlight w:val="none"/>
          <w:lang w:eastAsia="zh-CN"/>
        </w:rPr>
        <w:t>、本次询价保证金要求</w:t>
      </w:r>
    </w:p>
    <w:p w14:paraId="23C3501D">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本次询价不收取保证金。</w:t>
      </w:r>
    </w:p>
    <w:p w14:paraId="610374A7">
      <w:pPr>
        <w:keepNext w:val="0"/>
        <w:keepLines w:val="0"/>
        <w:pageBreakBefore w:val="0"/>
        <w:kinsoku/>
        <w:wordWrap/>
        <w:autoSpaceDE/>
        <w:autoSpaceDN/>
        <w:bidi w:val="0"/>
        <w:adjustRightInd/>
        <w:snapToGrid w:val="0"/>
        <w:spacing w:line="348" w:lineRule="auto"/>
        <w:ind w:firstLine="422" w:firstLineChars="200"/>
        <w:textAlignment w:val="auto"/>
        <w:outlineLvl w:val="9"/>
        <w:rPr>
          <w:rFonts w:hint="eastAsia" w:ascii="仿宋" w:hAnsi="仿宋" w:eastAsia="仿宋" w:cs="仿宋"/>
          <w:b/>
          <w:bCs/>
          <w:sz w:val="21"/>
          <w:szCs w:val="21"/>
          <w:highlight w:val="none"/>
          <w:lang w:val="zh-CN" w:eastAsia="zh-CN"/>
        </w:rPr>
      </w:pPr>
      <w:r>
        <w:rPr>
          <w:rFonts w:hint="eastAsia" w:ascii="仿宋" w:hAnsi="仿宋" w:eastAsia="仿宋" w:cs="仿宋"/>
          <w:b/>
          <w:bCs/>
          <w:sz w:val="21"/>
          <w:szCs w:val="21"/>
          <w:highlight w:val="none"/>
          <w:lang w:val="zh-CN" w:eastAsia="zh-CN"/>
        </w:rPr>
        <w:t>十</w:t>
      </w:r>
      <w:r>
        <w:rPr>
          <w:rFonts w:hint="eastAsia" w:ascii="仿宋" w:hAnsi="仿宋" w:eastAsia="仿宋" w:cs="仿宋"/>
          <w:b/>
          <w:bCs/>
          <w:sz w:val="21"/>
          <w:szCs w:val="21"/>
          <w:highlight w:val="none"/>
          <w:lang w:val="en-US" w:eastAsia="zh-CN"/>
        </w:rPr>
        <w:t>一</w:t>
      </w:r>
      <w:r>
        <w:rPr>
          <w:rFonts w:hint="eastAsia" w:ascii="仿宋" w:hAnsi="仿宋" w:eastAsia="仿宋" w:cs="仿宋"/>
          <w:b/>
          <w:bCs/>
          <w:sz w:val="21"/>
          <w:szCs w:val="21"/>
          <w:highlight w:val="none"/>
          <w:lang w:val="zh-CN" w:eastAsia="zh-CN"/>
        </w:rPr>
        <w:t>、其他说明事项</w:t>
      </w:r>
    </w:p>
    <w:p w14:paraId="0D7F8A74">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eastAsia="zh-CN"/>
        </w:rPr>
        <w:t>供应商应当从采购代理机构合法获得</w:t>
      </w:r>
      <w:r>
        <w:rPr>
          <w:rFonts w:hint="eastAsia" w:ascii="仿宋" w:hAnsi="仿宋" w:eastAsia="仿宋" w:cs="仿宋"/>
          <w:sz w:val="21"/>
          <w:szCs w:val="21"/>
          <w:highlight w:val="none"/>
          <w:lang w:val="en-US" w:eastAsia="zh-CN"/>
        </w:rPr>
        <w:t>询价</w:t>
      </w:r>
      <w:r>
        <w:rPr>
          <w:rFonts w:hint="eastAsia" w:ascii="仿宋" w:hAnsi="仿宋" w:eastAsia="仿宋" w:cs="仿宋"/>
          <w:sz w:val="21"/>
          <w:szCs w:val="21"/>
          <w:highlight w:val="none"/>
          <w:lang w:val="zh-CN" w:eastAsia="zh-CN"/>
        </w:rPr>
        <w:t>文件。</w:t>
      </w:r>
    </w:p>
    <w:p w14:paraId="3703E181">
      <w:pPr>
        <w:keepNext w:val="0"/>
        <w:keepLines w:val="0"/>
        <w:pageBreakBefore w:val="0"/>
        <w:kinsoku/>
        <w:wordWrap/>
        <w:autoSpaceDE/>
        <w:autoSpaceDN/>
        <w:bidi w:val="0"/>
        <w:adjustRightInd/>
        <w:snapToGrid w:val="0"/>
        <w:spacing w:line="348" w:lineRule="auto"/>
        <w:ind w:firstLine="420" w:firstLineChars="200"/>
        <w:textAlignment w:val="auto"/>
        <w:outlineLvl w:val="9"/>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2.本询价文件中斜体下划线部分为实质性响应条件，为必须遵守的条件，如不满足将作无效响应文件处理。</w:t>
      </w:r>
      <w:bookmarkEnd w:id="30"/>
    </w:p>
    <w:p w14:paraId="73C781B6">
      <w:pPr>
        <w:pageBreakBefore w:val="0"/>
        <w:kinsoku/>
        <w:wordWrap/>
        <w:bidi w:val="0"/>
        <w:snapToGrid w:val="0"/>
        <w:spacing w:line="360" w:lineRule="auto"/>
        <w:ind w:firstLine="420" w:firstLineChars="200"/>
        <w:textAlignment w:val="auto"/>
        <w:rPr>
          <w:rFonts w:hint="eastAsia" w:ascii="仿宋" w:hAnsi="仿宋" w:eastAsia="仿宋" w:cs="仿宋"/>
          <w:sz w:val="24"/>
          <w:highlight w:val="none"/>
        </w:rPr>
      </w:pPr>
      <w:r>
        <w:rPr>
          <w:rFonts w:hint="eastAsia" w:ascii="仿宋" w:hAnsi="仿宋" w:eastAsia="仿宋" w:cs="仿宋"/>
          <w:sz w:val="21"/>
          <w:szCs w:val="21"/>
          <w:highlight w:val="none"/>
          <w:lang w:eastAsia="zh-CN"/>
        </w:rPr>
        <w:t xml:space="preserve">              </w:t>
      </w:r>
      <w:r>
        <w:rPr>
          <w:rFonts w:hint="eastAsia" w:ascii="仿宋" w:hAnsi="仿宋" w:eastAsia="仿宋" w:cs="仿宋"/>
          <w:sz w:val="24"/>
          <w:highlight w:val="none"/>
        </w:rPr>
        <w:t xml:space="preserve">                     </w:t>
      </w:r>
    </w:p>
    <w:p w14:paraId="105D60FF">
      <w:pPr>
        <w:pStyle w:val="3"/>
        <w:pageBreakBefore w:val="0"/>
        <w:widowControl/>
        <w:kinsoku/>
        <w:wordWrap/>
        <w:overflowPunct/>
        <w:topLinePunct w:val="0"/>
        <w:autoSpaceDE/>
        <w:autoSpaceDN/>
        <w:bidi w:val="0"/>
        <w:adjustRightInd/>
        <w:snapToGrid w:val="0"/>
        <w:spacing w:before="0" w:after="0" w:line="360" w:lineRule="auto"/>
        <w:jc w:val="center"/>
        <w:textAlignment w:val="auto"/>
        <w:outlineLvl w:val="0"/>
        <w:rPr>
          <w:rFonts w:hint="eastAsia" w:ascii="仿宋" w:hAnsi="仿宋" w:eastAsia="仿宋" w:cs="仿宋"/>
          <w:sz w:val="36"/>
          <w:szCs w:val="36"/>
          <w:highlight w:val="none"/>
        </w:rPr>
      </w:pPr>
      <w:bookmarkStart w:id="1" w:name="_Toc3348"/>
      <w:r>
        <w:rPr>
          <w:rFonts w:hint="eastAsia" w:ascii="仿宋" w:hAnsi="仿宋" w:eastAsia="仿宋" w:cs="仿宋"/>
          <w:b/>
          <w:bCs/>
          <w:sz w:val="36"/>
          <w:szCs w:val="36"/>
          <w:highlight w:val="none"/>
        </w:rPr>
        <w:br w:type="column"/>
      </w:r>
      <w:r>
        <w:rPr>
          <w:rFonts w:hint="eastAsia" w:ascii="仿宋" w:hAnsi="仿宋" w:eastAsia="仿宋" w:cs="仿宋"/>
          <w:b/>
          <w:bCs/>
          <w:sz w:val="36"/>
          <w:szCs w:val="36"/>
          <w:highlight w:val="none"/>
        </w:rPr>
        <w:t>第二章 询价须知</w:t>
      </w:r>
      <w:bookmarkEnd w:id="1"/>
    </w:p>
    <w:p w14:paraId="23E0789D">
      <w:pPr>
        <w:pageBreakBefore w:val="0"/>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sz w:val="21"/>
          <w:szCs w:val="21"/>
          <w:highlight w:val="none"/>
        </w:rPr>
      </w:pPr>
      <w:bookmarkStart w:id="2" w:name="_Toc9158"/>
      <w:r>
        <w:rPr>
          <w:rFonts w:hint="eastAsia" w:ascii="仿宋" w:hAnsi="仿宋" w:eastAsia="仿宋" w:cs="仿宋"/>
          <w:bCs/>
          <w:sz w:val="21"/>
          <w:szCs w:val="21"/>
          <w:highlight w:val="none"/>
          <w:lang w:bidi="ar"/>
        </w:rPr>
        <w:t>（参加询价的供应商以下简称“供应商”）</w:t>
      </w:r>
      <w:bookmarkEnd w:id="2"/>
    </w:p>
    <w:p w14:paraId="7154CD12">
      <w:pPr>
        <w:pageBreakBefore w:val="0"/>
        <w:kinsoku/>
        <w:wordWrap/>
        <w:overflowPunct/>
        <w:topLinePunct w:val="0"/>
        <w:autoSpaceDE/>
        <w:autoSpaceDN/>
        <w:bidi w:val="0"/>
        <w:adjustRightInd/>
        <w:snapToGrid w:val="0"/>
        <w:spacing w:line="360" w:lineRule="auto"/>
        <w:ind w:firstLine="413" w:firstLineChars="196"/>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bidi="ar"/>
        </w:rPr>
        <w:t>一、总则</w:t>
      </w:r>
    </w:p>
    <w:p w14:paraId="10FD54F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1.</w:t>
      </w:r>
      <w:r>
        <w:rPr>
          <w:rFonts w:hint="eastAsia" w:ascii="仿宋" w:hAnsi="仿宋" w:eastAsia="仿宋" w:cs="仿宋"/>
          <w:sz w:val="21"/>
          <w:szCs w:val="21"/>
          <w:highlight w:val="none"/>
          <w:lang w:bidi="ar"/>
        </w:rPr>
        <w:t>适用范围</w:t>
      </w:r>
    </w:p>
    <w:p w14:paraId="4E95101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1.1 本询价文件仅适用此项目。</w:t>
      </w:r>
    </w:p>
    <w:p w14:paraId="49E39B1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2.</w:t>
      </w:r>
      <w:r>
        <w:rPr>
          <w:rFonts w:hint="eastAsia" w:ascii="仿宋" w:hAnsi="仿宋" w:eastAsia="仿宋" w:cs="仿宋"/>
          <w:sz w:val="21"/>
          <w:szCs w:val="21"/>
          <w:highlight w:val="none"/>
          <w:lang w:bidi="ar"/>
        </w:rPr>
        <w:t>项目采购方</w:t>
      </w:r>
      <w:r>
        <w:rPr>
          <w:rFonts w:hint="eastAsia" w:ascii="仿宋" w:hAnsi="仿宋" w:eastAsia="仿宋" w:cs="仿宋"/>
          <w:sz w:val="21"/>
          <w:szCs w:val="21"/>
          <w:highlight w:val="none"/>
          <w:lang w:eastAsia="zh-CN" w:bidi="ar"/>
        </w:rPr>
        <w:t>式</w:t>
      </w:r>
    </w:p>
    <w:p w14:paraId="5F4BC36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本次采购采取询价的方式。</w:t>
      </w:r>
    </w:p>
    <w:p w14:paraId="589698C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3.合格的供应商</w:t>
      </w:r>
    </w:p>
    <w:p w14:paraId="4E457D5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3.1满足本询价文件“采购公告”中合格供应商资格要求的规定。</w:t>
      </w:r>
    </w:p>
    <w:p w14:paraId="4712CA9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3.2 满足本询价文件实质性要求和条件的规定。</w:t>
      </w:r>
    </w:p>
    <w:p w14:paraId="5A67022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4.参加询价费用</w:t>
      </w:r>
    </w:p>
    <w:p w14:paraId="29E71C1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4.1 参加供应商应自行承担所有与参加询价有关的费用。不论最终的成交结果如何，采购人在任何情况下均无义务和责任承担这些费用。</w:t>
      </w:r>
    </w:p>
    <w:p w14:paraId="70041EA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4.2招标代理服务费收费标准：代理费用由中标（成交）人支付。代理费用按苏招协【2022】002号文件计算的基准价的</w:t>
      </w:r>
      <w:r>
        <w:rPr>
          <w:rFonts w:hint="eastAsia" w:ascii="仿宋" w:hAnsi="仿宋" w:eastAsia="仿宋" w:cs="仿宋"/>
          <w:sz w:val="21"/>
          <w:szCs w:val="21"/>
          <w:highlight w:val="none"/>
          <w:lang w:val="en-US" w:eastAsia="zh-CN" w:bidi="ar"/>
        </w:rPr>
        <w:t>40</w:t>
      </w:r>
      <w:r>
        <w:rPr>
          <w:rFonts w:hint="eastAsia" w:ascii="仿宋" w:hAnsi="仿宋" w:eastAsia="仿宋" w:cs="仿宋"/>
          <w:sz w:val="21"/>
          <w:szCs w:val="21"/>
          <w:highlight w:val="none"/>
          <w:lang w:eastAsia="zh-CN" w:bidi="ar"/>
        </w:rPr>
        <w:t>%计算，由中标（成交）人在领取中标通知书时支付。</w:t>
      </w:r>
    </w:p>
    <w:p w14:paraId="735466F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5.询价文件的约束力</w:t>
      </w:r>
    </w:p>
    <w:p w14:paraId="60BE8D5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供应商一旦下载了本询价文件并决定参加询价，即被认为接受了本询价文件的规定和约束，并且视为自询价公告期限届满之日起已经知道或应当知道自身权益是否受到了损害。</w:t>
      </w:r>
    </w:p>
    <w:p w14:paraId="20B006B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6.询价文件的澄清及修改</w:t>
      </w:r>
    </w:p>
    <w:p w14:paraId="3815363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6.1任何要求对询价文件进行澄清的供应商，均应在提交首次响应文件截止时间3个工作日前按采购公告中的通讯地址，以书面形式</w:t>
      </w:r>
      <w:r>
        <w:rPr>
          <w:rFonts w:hint="eastAsia" w:ascii="仿宋" w:hAnsi="仿宋" w:eastAsia="仿宋" w:cs="仿宋"/>
          <w:sz w:val="21"/>
          <w:szCs w:val="21"/>
          <w:highlight w:val="none"/>
          <w:lang w:bidi="ar"/>
        </w:rPr>
        <w:t>通知采购代理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ascii="仿宋" w:hAnsi="仿宋" w:eastAsia="仿宋" w:cs="仿宋"/>
          <w:sz w:val="21"/>
          <w:szCs w:val="21"/>
          <w:highlight w:val="none"/>
          <w:lang w:val="en-US" w:eastAsia="zh-CN" w:bidi="ar"/>
        </w:rPr>
        <w:t>询价公告发布网站</w:t>
      </w:r>
      <w:r>
        <w:rPr>
          <w:rFonts w:hint="eastAsia" w:ascii="仿宋" w:hAnsi="仿宋" w:eastAsia="仿宋" w:cs="仿宋"/>
          <w:sz w:val="21"/>
          <w:szCs w:val="21"/>
          <w:highlight w:val="none"/>
          <w:lang w:bidi="ar"/>
        </w:rPr>
        <w:t>上发布书面更正公告通知所有获取询价文件的供应商。不足3个工作日的，采购人应当顺延提交首次响应文件截止时间。</w:t>
      </w:r>
    </w:p>
    <w:p w14:paraId="03ECEE4E">
      <w:pPr>
        <w:pageBreakBefore w:val="0"/>
        <w:kinsoku/>
        <w:wordWrap/>
        <w:overflowPunct/>
        <w:topLinePunct w:val="0"/>
        <w:autoSpaceDE/>
        <w:autoSpaceDN/>
        <w:bidi w:val="0"/>
        <w:adjustRightInd/>
        <w:snapToGrid w:val="0"/>
        <w:spacing w:line="360" w:lineRule="auto"/>
        <w:ind w:firstLine="308" w:firstLineChars="146"/>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bidi="ar"/>
        </w:rPr>
        <w:t>二 、询价响应文件的编制及保证金收取</w:t>
      </w:r>
    </w:p>
    <w:p w14:paraId="066D968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1.询价响应文件份数和签署</w:t>
      </w:r>
    </w:p>
    <w:p w14:paraId="4D978BE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bidi="ar"/>
        </w:rPr>
      </w:pPr>
      <w:r>
        <w:rPr>
          <w:rFonts w:hint="eastAsia" w:ascii="仿宋" w:hAnsi="仿宋" w:eastAsia="仿宋" w:cs="仿宋"/>
          <w:sz w:val="21"/>
          <w:szCs w:val="21"/>
          <w:highlight w:val="none"/>
          <w:lang w:eastAsia="zh-CN" w:bidi="ar"/>
        </w:rPr>
        <w:t>1.1 参加供应商应严格按照询价采购公告要求准备询价响应文件（以下简称响应文件）。</w:t>
      </w:r>
    </w:p>
    <w:p w14:paraId="0B53287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eastAsia="zh-CN" w:bidi="ar"/>
        </w:rPr>
        <w:t>响应文件的正本和副本需打印或复印。响应文件正本中，除询价文件规定的可提交复印件外，其他文件均须提交原件，文字材料需打印或用不褪色墨水书写，响应文件正本须经法定代表人或授权代表签字和加盖供应商公章。本询价文件所表述（指定）的公章是指刻有供应商法定名称的印章，不包括合同、财务、税务、发票等形式的</w:t>
      </w:r>
      <w:r>
        <w:rPr>
          <w:rFonts w:hint="eastAsia" w:ascii="仿宋" w:hAnsi="仿宋" w:eastAsia="仿宋" w:cs="仿宋"/>
          <w:sz w:val="21"/>
          <w:szCs w:val="21"/>
          <w:highlight w:val="none"/>
          <w:lang w:bidi="ar"/>
        </w:rPr>
        <w:t>业务专用章。电子版须为响应文件盖公章（红章）正本的PDF扫描件，扫描件内容应与纸质文件完全一致。文件名建议修改为</w:t>
      </w:r>
      <w:r>
        <w:rPr>
          <w:rFonts w:hint="eastAsia" w:ascii="仿宋" w:hAnsi="仿宋" w:eastAsia="仿宋" w:cs="仿宋"/>
          <w:sz w:val="21"/>
          <w:szCs w:val="21"/>
          <w:highlight w:val="none"/>
          <w:lang w:val="en-US" w:eastAsia="zh-CN" w:bidi="ar"/>
        </w:rPr>
        <w:t>供应商名称</w:t>
      </w:r>
      <w:r>
        <w:rPr>
          <w:rFonts w:hint="eastAsia" w:ascii="仿宋" w:hAnsi="仿宋" w:eastAsia="仿宋" w:cs="仿宋"/>
          <w:sz w:val="21"/>
          <w:szCs w:val="21"/>
          <w:highlight w:val="none"/>
          <w:lang w:bidi="ar"/>
        </w:rPr>
        <w:t>+项目编号。如多分包投标，电子版可合并一个U盘提交。电子文档用于存档，以U盘（请勿提交刻录光盘）形式递交，当纸质正本文件和电子文档不一致时，以纸质正本文件为准。U盘不予退还。</w:t>
      </w:r>
    </w:p>
    <w:p w14:paraId="7A5142B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1.2 除</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对错处做必要修改外，询价响应文件不得行间插字、涂改或增删。如有修改错漏处，必须由响应文件签署人签字或盖章。</w:t>
      </w:r>
    </w:p>
    <w:p w14:paraId="4AA7D29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2.</w:t>
      </w:r>
      <w:r>
        <w:rPr>
          <w:rFonts w:hint="eastAsia" w:ascii="仿宋" w:hAnsi="仿宋" w:eastAsia="仿宋" w:cs="仿宋"/>
          <w:sz w:val="21"/>
          <w:szCs w:val="21"/>
          <w:highlight w:val="none"/>
          <w:lang w:bidi="ar"/>
        </w:rPr>
        <w:t>响应文件编制要求</w:t>
      </w:r>
    </w:p>
    <w:p w14:paraId="187CF88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2.1</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提交的响应文件以及</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与采购人就有关询价的所有来往函电均应使用</w:t>
      </w:r>
      <w:r>
        <w:rPr>
          <w:rFonts w:hint="eastAsia" w:ascii="仿宋" w:hAnsi="仿宋" w:eastAsia="仿宋" w:cs="仿宋"/>
          <w:bCs/>
          <w:sz w:val="21"/>
          <w:szCs w:val="21"/>
          <w:highlight w:val="none"/>
          <w:lang w:bidi="ar"/>
        </w:rPr>
        <w:t>简体中文</w:t>
      </w:r>
      <w:r>
        <w:rPr>
          <w:rFonts w:hint="eastAsia" w:ascii="仿宋" w:hAnsi="仿宋" w:eastAsia="仿宋" w:cs="仿宋"/>
          <w:sz w:val="21"/>
          <w:szCs w:val="21"/>
          <w:highlight w:val="none"/>
          <w:lang w:bidi="ar"/>
        </w:rPr>
        <w:t>。询价文件中既有中文也有外文的，以中文意义为准。</w:t>
      </w:r>
    </w:p>
    <w:p w14:paraId="2B9131D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2.2 除技术性能另有规定外，响应文件所使用的度量衡单位，均须采用国家法定计量单位。</w:t>
      </w:r>
    </w:p>
    <w:p w14:paraId="37E8172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3.</w:t>
      </w:r>
      <w:r>
        <w:rPr>
          <w:rFonts w:hint="eastAsia" w:ascii="仿宋" w:hAnsi="仿宋" w:eastAsia="仿宋" w:cs="仿宋"/>
          <w:sz w:val="21"/>
          <w:szCs w:val="21"/>
          <w:highlight w:val="none"/>
          <w:lang w:bidi="ar"/>
        </w:rPr>
        <w:t>参加</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资格的文件证明</w:t>
      </w:r>
    </w:p>
    <w:p w14:paraId="545DDE3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3.1</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应提交证明其有资格参加询价和成交后有能力独立履行合同的文件，并作为其响应文件的一部分。</w:t>
      </w:r>
    </w:p>
    <w:p w14:paraId="447124F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3.2</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除必须具有履行合同所需提供的设备以及服务的能力外，还必须具备相应的财务、技术方面的能力。</w:t>
      </w:r>
    </w:p>
    <w:p w14:paraId="6B8F4FE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3.3</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应填写并提交询价文件所附的“资格证明文件”。</w:t>
      </w:r>
    </w:p>
    <w:p w14:paraId="6FFB497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4.</w:t>
      </w:r>
      <w:r>
        <w:rPr>
          <w:rFonts w:hint="eastAsia" w:ascii="仿宋" w:hAnsi="仿宋" w:eastAsia="仿宋" w:cs="仿宋"/>
          <w:sz w:val="21"/>
          <w:szCs w:val="21"/>
          <w:highlight w:val="none"/>
          <w:lang w:bidi="ar"/>
        </w:rPr>
        <w:t>询价响应报价表</w:t>
      </w:r>
    </w:p>
    <w:p w14:paraId="71B9C14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bCs/>
          <w:sz w:val="21"/>
          <w:szCs w:val="21"/>
          <w:highlight w:val="none"/>
          <w:lang w:bidi="ar"/>
        </w:rPr>
        <w:t xml:space="preserve">4.1 </w:t>
      </w:r>
      <w:r>
        <w:rPr>
          <w:rFonts w:hint="eastAsia" w:ascii="仿宋" w:hAnsi="仿宋" w:eastAsia="仿宋" w:cs="仿宋"/>
          <w:sz w:val="21"/>
          <w:szCs w:val="21"/>
          <w:highlight w:val="none"/>
          <w:lang w:bidi="ar"/>
        </w:rPr>
        <w:t>参加询价的供应商应按照询价文件规定格式填报询价响应报价表（含分项报价），每项只允许有一个报价，任何有选择的报价将不予接受，询价文件中另有规定的按规定执行。</w:t>
      </w:r>
    </w:p>
    <w:p w14:paraId="3FC34C3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bidi="ar"/>
        </w:rPr>
        <w:t>4.2 标的物</w:t>
      </w:r>
    </w:p>
    <w:p w14:paraId="72FF2F3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4．2．1详见项目需求。</w:t>
      </w:r>
    </w:p>
    <w:p w14:paraId="0E6E8AD1">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lang w:bidi="ar"/>
        </w:rPr>
        <w:t xml:space="preserve">4.3 </w:t>
      </w:r>
      <w:r>
        <w:rPr>
          <w:rFonts w:hint="eastAsia" w:ascii="仿宋" w:hAnsi="仿宋" w:eastAsia="仿宋" w:cs="仿宋"/>
          <w:bCs/>
          <w:sz w:val="21"/>
          <w:szCs w:val="21"/>
          <w:highlight w:val="none"/>
          <w:lang w:bidi="ar"/>
        </w:rPr>
        <w:t>有关费用处理</w:t>
      </w:r>
    </w:p>
    <w:p w14:paraId="2452769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本次采购</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的总报价应包括为完成本项目发生的所有费用，本询价文件中另有规定的除外。</w:t>
      </w:r>
    </w:p>
    <w:p w14:paraId="3572E06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lang w:bidi="ar"/>
        </w:rPr>
        <w:t xml:space="preserve">4.4 </w:t>
      </w:r>
      <w:r>
        <w:rPr>
          <w:rFonts w:hint="eastAsia" w:ascii="仿宋" w:hAnsi="仿宋" w:eastAsia="仿宋" w:cs="仿宋"/>
          <w:bCs/>
          <w:sz w:val="21"/>
          <w:szCs w:val="21"/>
          <w:highlight w:val="none"/>
          <w:lang w:bidi="ar"/>
        </w:rPr>
        <w:t>其它费用处理</w:t>
      </w:r>
    </w:p>
    <w:p w14:paraId="023CBD4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bidi="ar"/>
        </w:rPr>
        <w:t>询价文件未列明，而</w:t>
      </w:r>
      <w:r>
        <w:rPr>
          <w:rFonts w:hint="eastAsia" w:ascii="仿宋" w:hAnsi="仿宋" w:eastAsia="仿宋" w:cs="仿宋"/>
          <w:bCs/>
          <w:sz w:val="21"/>
          <w:szCs w:val="21"/>
          <w:highlight w:val="none"/>
          <w:lang w:eastAsia="zh-CN" w:bidi="ar"/>
        </w:rPr>
        <w:t>供应商</w:t>
      </w:r>
      <w:r>
        <w:rPr>
          <w:rFonts w:hint="eastAsia" w:ascii="仿宋" w:hAnsi="仿宋" w:eastAsia="仿宋" w:cs="仿宋"/>
          <w:bCs/>
          <w:sz w:val="21"/>
          <w:szCs w:val="21"/>
          <w:highlight w:val="none"/>
          <w:lang w:bidi="ar"/>
        </w:rPr>
        <w:t>认为必需的费用也需列入报价。</w:t>
      </w:r>
    </w:p>
    <w:p w14:paraId="36D469B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lang w:bidi="ar"/>
        </w:rPr>
        <w:t>4.5报价采用的</w:t>
      </w:r>
      <w:r>
        <w:rPr>
          <w:rFonts w:hint="eastAsia" w:ascii="仿宋" w:hAnsi="仿宋" w:eastAsia="仿宋" w:cs="仿宋"/>
          <w:bCs/>
          <w:sz w:val="21"/>
          <w:szCs w:val="21"/>
          <w:highlight w:val="none"/>
          <w:lang w:bidi="ar"/>
        </w:rPr>
        <w:t>货币</w:t>
      </w:r>
    </w:p>
    <w:p w14:paraId="3260CF4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bidi="ar"/>
        </w:rPr>
        <w:t>响应文件中的单价和总价，无特殊规定的采用人民币报价，以元为单位标注。询价文件中另有规定的按规定执行。</w:t>
      </w:r>
    </w:p>
    <w:p w14:paraId="5F6EC91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4.6询价响应</w:t>
      </w:r>
      <w:r>
        <w:rPr>
          <w:rFonts w:hint="eastAsia" w:ascii="仿宋" w:hAnsi="仿宋" w:eastAsia="仿宋" w:cs="仿宋"/>
          <w:bCs/>
          <w:sz w:val="21"/>
          <w:szCs w:val="21"/>
          <w:highlight w:val="none"/>
          <w:lang w:bidi="ar"/>
        </w:rPr>
        <w:t>报价表上的价格应按询价文件规定填写</w:t>
      </w:r>
      <w:r>
        <w:rPr>
          <w:rFonts w:hint="eastAsia" w:ascii="仿宋" w:hAnsi="仿宋" w:eastAsia="仿宋" w:cs="仿宋"/>
          <w:sz w:val="21"/>
          <w:szCs w:val="21"/>
          <w:highlight w:val="none"/>
          <w:lang w:bidi="ar"/>
        </w:rPr>
        <w:t>。</w:t>
      </w:r>
    </w:p>
    <w:p w14:paraId="7E7DFF6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5.</w:t>
      </w:r>
      <w:r>
        <w:rPr>
          <w:rFonts w:hint="eastAsia" w:ascii="仿宋" w:hAnsi="仿宋" w:eastAsia="仿宋" w:cs="仿宋"/>
          <w:sz w:val="21"/>
          <w:szCs w:val="21"/>
          <w:highlight w:val="none"/>
          <w:lang w:bidi="ar"/>
        </w:rPr>
        <w:t>询价保证金</w:t>
      </w:r>
    </w:p>
    <w:p w14:paraId="18EA8233">
      <w:pPr>
        <w:pStyle w:val="16"/>
        <w:pageBreakBefore w:val="0"/>
        <w:widowControl/>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本次询价不收取保证金。</w:t>
      </w:r>
    </w:p>
    <w:p w14:paraId="37BD1E30">
      <w:pPr>
        <w:pageBreakBefore w:val="0"/>
        <w:kinsoku/>
        <w:wordWrap/>
        <w:overflowPunct/>
        <w:topLinePunct w:val="0"/>
        <w:autoSpaceDE/>
        <w:autoSpaceDN/>
        <w:bidi w:val="0"/>
        <w:adjustRightInd/>
        <w:snapToGrid w:val="0"/>
        <w:spacing w:line="360" w:lineRule="auto"/>
        <w:ind w:firstLine="308" w:firstLineChars="146"/>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bidi="ar"/>
        </w:rPr>
        <w:t>三 、询价响应文件的递交</w:t>
      </w:r>
    </w:p>
    <w:p w14:paraId="4E6BB93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1.</w:t>
      </w:r>
      <w:r>
        <w:rPr>
          <w:rFonts w:hint="eastAsia" w:ascii="仿宋" w:hAnsi="仿宋" w:eastAsia="仿宋" w:cs="仿宋"/>
          <w:sz w:val="21"/>
          <w:szCs w:val="21"/>
          <w:highlight w:val="none"/>
          <w:lang w:bidi="ar"/>
        </w:rPr>
        <w:t>询价响应文件的密封和标记</w:t>
      </w:r>
    </w:p>
    <w:p w14:paraId="17FF118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1.1参加</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应将询价响应文件密封，密封的询价响应文件应标明“正本”、“副本”的字样。</w:t>
      </w:r>
    </w:p>
    <w:p w14:paraId="1D14737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1.2密封的询价响应文件应：</w:t>
      </w:r>
    </w:p>
    <w:p w14:paraId="4F3544C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（1）按</w:t>
      </w:r>
      <w:r>
        <w:rPr>
          <w:rFonts w:hint="eastAsia" w:ascii="仿宋" w:hAnsi="仿宋" w:eastAsia="仿宋" w:cs="仿宋"/>
          <w:sz w:val="21"/>
          <w:szCs w:val="21"/>
          <w:highlight w:val="none"/>
          <w:lang w:eastAsia="zh-CN" w:bidi="ar"/>
        </w:rPr>
        <w:t>采购公告</w:t>
      </w:r>
      <w:r>
        <w:rPr>
          <w:rFonts w:hint="eastAsia" w:ascii="仿宋" w:hAnsi="仿宋" w:eastAsia="仿宋" w:cs="仿宋"/>
          <w:sz w:val="21"/>
          <w:szCs w:val="21"/>
          <w:highlight w:val="none"/>
          <w:lang w:bidi="ar"/>
        </w:rPr>
        <w:t>中注明的地址送达规定地点；</w:t>
      </w:r>
    </w:p>
    <w:p w14:paraId="00CBD8E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（2）注明参加询价项目名称、询价文件编号；</w:t>
      </w:r>
    </w:p>
    <w:p w14:paraId="65D31FD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（3）密封包装上应写明参加</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名称和地址。</w:t>
      </w:r>
    </w:p>
    <w:p w14:paraId="186E327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1.3如果密封包装未按要求密封和加写标记采购人对误投或过早启封概不负责。对由此造成提前开封的询价响应文件，采购人将予以拒绝。</w:t>
      </w:r>
    </w:p>
    <w:p w14:paraId="1D59330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2.</w:t>
      </w:r>
      <w:r>
        <w:rPr>
          <w:rFonts w:hint="eastAsia" w:ascii="仿宋" w:hAnsi="仿宋" w:eastAsia="仿宋" w:cs="仿宋"/>
          <w:sz w:val="21"/>
          <w:szCs w:val="21"/>
          <w:highlight w:val="none"/>
          <w:lang w:bidi="ar"/>
        </w:rPr>
        <w:t>响应文件开启时间</w:t>
      </w:r>
    </w:p>
    <w:p w14:paraId="2F742F6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2.1采购人收到响应文件的时间不得迟于本询价文件规定的响应文件接收截止时间。</w:t>
      </w:r>
    </w:p>
    <w:p w14:paraId="68FBD47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2.2采购人可通过修改询价文件自行决定酌情推迟响应文件接收截止时间，在此情况下，</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的所有权利和义务以及受制的响应文件接收截止时间均应以延长后新的响应文件接收截止时间为准。</w:t>
      </w:r>
    </w:p>
    <w:p w14:paraId="39F2736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3.</w:t>
      </w:r>
      <w:r>
        <w:rPr>
          <w:rFonts w:hint="eastAsia" w:ascii="仿宋" w:hAnsi="仿宋" w:eastAsia="仿宋" w:cs="仿宋"/>
          <w:sz w:val="21"/>
          <w:szCs w:val="21"/>
          <w:highlight w:val="none"/>
          <w:lang w:bidi="ar"/>
        </w:rPr>
        <w:t>迟交的询价响应文件</w:t>
      </w:r>
    </w:p>
    <w:p w14:paraId="044CEAB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3.1采购人将拒绝在其规定的响应文件接收截止时间后接收询价响应文件。</w:t>
      </w:r>
    </w:p>
    <w:p w14:paraId="491C5AE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4.</w:t>
      </w:r>
      <w:r>
        <w:rPr>
          <w:rFonts w:hint="eastAsia" w:ascii="仿宋" w:hAnsi="仿宋" w:eastAsia="仿宋" w:cs="仿宋"/>
          <w:sz w:val="21"/>
          <w:szCs w:val="21"/>
          <w:highlight w:val="none"/>
          <w:lang w:bidi="ar"/>
        </w:rPr>
        <w:t>询价响应文件的修改和撤回</w:t>
      </w:r>
    </w:p>
    <w:p w14:paraId="6320F5A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4.1</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在递交询价响应文件后，可以修改或撤回其询价响应文件，但这种修改和撤回，必须在规定的响应文件接收截止时间前，以书面形式送达指定地点。</w:t>
      </w:r>
    </w:p>
    <w:p w14:paraId="5116BE6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4.2</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的修改或撤回通知书，应按本文件规定进行编制、密封、标记和发送，并应在封套上加注“修改”和“撤回”字样。</w:t>
      </w:r>
    </w:p>
    <w:p w14:paraId="24A6831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4.3</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在提交最后报价之前，可以根据询价情况退出询价，采购人退还退出询价的供应商的询价保证金</w:t>
      </w:r>
      <w:r>
        <w:rPr>
          <w:rFonts w:hint="eastAsia" w:ascii="仿宋" w:hAnsi="仿宋" w:eastAsia="仿宋" w:cs="仿宋"/>
          <w:sz w:val="21"/>
          <w:szCs w:val="21"/>
          <w:highlight w:val="none"/>
          <w:lang w:eastAsia="zh-CN" w:bidi="ar"/>
        </w:rPr>
        <w:t>（</w:t>
      </w:r>
      <w:r>
        <w:rPr>
          <w:rFonts w:hint="eastAsia" w:ascii="仿宋" w:hAnsi="仿宋" w:eastAsia="仿宋" w:cs="仿宋"/>
          <w:sz w:val="21"/>
          <w:szCs w:val="21"/>
          <w:highlight w:val="none"/>
          <w:lang w:val="en-US" w:eastAsia="zh-CN" w:bidi="ar"/>
        </w:rPr>
        <w:t>如有</w:t>
      </w:r>
      <w:r>
        <w:rPr>
          <w:rFonts w:hint="eastAsia" w:ascii="仿宋" w:hAnsi="仿宋" w:eastAsia="仿宋" w:cs="仿宋"/>
          <w:sz w:val="21"/>
          <w:szCs w:val="21"/>
          <w:highlight w:val="none"/>
          <w:lang w:eastAsia="zh-CN" w:bidi="ar"/>
        </w:rPr>
        <w:t>）</w:t>
      </w:r>
      <w:r>
        <w:rPr>
          <w:rFonts w:hint="eastAsia" w:ascii="仿宋" w:hAnsi="仿宋" w:eastAsia="仿宋" w:cs="仿宋"/>
          <w:sz w:val="21"/>
          <w:szCs w:val="21"/>
          <w:highlight w:val="none"/>
          <w:lang w:bidi="ar"/>
        </w:rPr>
        <w:t>。</w:t>
      </w:r>
    </w:p>
    <w:p w14:paraId="52BEAEEB">
      <w:pPr>
        <w:pageBreakBefore w:val="0"/>
        <w:kinsoku/>
        <w:wordWrap/>
        <w:overflowPunct/>
        <w:topLinePunct w:val="0"/>
        <w:autoSpaceDE/>
        <w:autoSpaceDN/>
        <w:bidi w:val="0"/>
        <w:adjustRightInd/>
        <w:snapToGrid w:val="0"/>
        <w:spacing w:line="360" w:lineRule="auto"/>
        <w:ind w:firstLine="308" w:firstLineChars="146"/>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bidi="ar"/>
        </w:rPr>
        <w:t>四、询价与评审</w:t>
      </w:r>
    </w:p>
    <w:p w14:paraId="10E14B1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1.</w:t>
      </w:r>
      <w:r>
        <w:rPr>
          <w:rFonts w:hint="eastAsia" w:ascii="仿宋" w:hAnsi="仿宋" w:eastAsia="仿宋" w:cs="仿宋"/>
          <w:sz w:val="21"/>
          <w:szCs w:val="21"/>
          <w:highlight w:val="none"/>
          <w:lang w:bidi="ar"/>
        </w:rPr>
        <w:t>询价仪式</w:t>
      </w:r>
    </w:p>
    <w:p w14:paraId="66CBDCA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1.1采购人将在采购公告中规定的时间和地点组织询价开始仪式，仪式由采购代理人主持，供应商应委派携带有效证件的代表准时参加，参加仪式的代表需签名以证明其出席。</w:t>
      </w:r>
    </w:p>
    <w:p w14:paraId="186C201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2.</w:t>
      </w:r>
      <w:r>
        <w:rPr>
          <w:rFonts w:hint="eastAsia" w:ascii="仿宋" w:hAnsi="仿宋" w:eastAsia="仿宋" w:cs="仿宋"/>
          <w:sz w:val="21"/>
          <w:szCs w:val="21"/>
          <w:highlight w:val="none"/>
          <w:lang w:bidi="ar"/>
        </w:rPr>
        <w:t>询价小组</w:t>
      </w:r>
    </w:p>
    <w:p w14:paraId="5E8C334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2.1 询价开始仪式结束后，采购代理人将立即组织询价小组进行评审、询价。</w:t>
      </w:r>
    </w:p>
    <w:p w14:paraId="7D25C59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2.2 询价小组由评审专家、采购人代表组成，且人员构成符合采购有关规定。</w:t>
      </w:r>
    </w:p>
    <w:p w14:paraId="155CAF9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2.3询价小组应以科学、公正的态度参加评审、询价工作并推荐成交候选人。评审专家在评审过程中不受任何干扰，独立、负责地提出评审意见，并对自己的评审意见承担责任。</w:t>
      </w:r>
    </w:p>
    <w:p w14:paraId="6437E274">
      <w:pPr>
        <w:pageBreakBefore w:val="0"/>
        <w:kinsoku/>
        <w:wordWrap/>
        <w:overflowPunct/>
        <w:topLinePunct w:val="0"/>
        <w:autoSpaceDE/>
        <w:autoSpaceDN/>
        <w:bidi w:val="0"/>
        <w:adjustRightInd/>
        <w:snapToGrid w:val="0"/>
        <w:spacing w:line="360" w:lineRule="auto"/>
        <w:ind w:firstLine="315" w:firstLineChars="15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 xml:space="preserve"> 2.4询价小组将对供应商的商业、技术秘密予以保密。</w:t>
      </w:r>
    </w:p>
    <w:p w14:paraId="637720A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3.</w:t>
      </w:r>
      <w:r>
        <w:rPr>
          <w:rFonts w:hint="eastAsia" w:ascii="仿宋" w:hAnsi="仿宋" w:eastAsia="仿宋" w:cs="仿宋"/>
          <w:sz w:val="21"/>
          <w:szCs w:val="21"/>
          <w:highlight w:val="none"/>
          <w:lang w:bidi="ar"/>
        </w:rPr>
        <w:t>评审过程的保密与公正</w:t>
      </w:r>
    </w:p>
    <w:p w14:paraId="588C0A1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3.1询价开始仪式结束后，直至向成交的供应商授予合同时止，凡是与审查、澄清、评价和比较询价响应文件的有关资料以及推荐建议等，均不得向供应商或与评审无关的其他人员透露。</w:t>
      </w:r>
    </w:p>
    <w:p w14:paraId="2AD665D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3.2在评审过程中，如果供应商试图向采购人和参与评审的人员施加任何影响，都将会导致其询价响应文件被拒绝。</w:t>
      </w:r>
    </w:p>
    <w:p w14:paraId="5105012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4.</w:t>
      </w:r>
      <w:r>
        <w:rPr>
          <w:rFonts w:hint="eastAsia" w:ascii="仿宋" w:hAnsi="仿宋" w:eastAsia="仿宋" w:cs="仿宋"/>
          <w:sz w:val="21"/>
          <w:szCs w:val="21"/>
          <w:highlight w:val="none"/>
          <w:lang w:bidi="ar"/>
        </w:rPr>
        <w:t>评审过程的澄清、说明和更正</w:t>
      </w:r>
    </w:p>
    <w:p w14:paraId="494106BE">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C48CBD">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4.2询价小组将对确定为实质上响应的询价文件进行进一步审查，询价文件报价出现前后不一致的，按照下列规定修正：</w:t>
      </w:r>
    </w:p>
    <w:p w14:paraId="270E3E31">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（1）询价文件中报价表内容与询价响应文件中相应内容不一致的，以报价表为准；</w:t>
      </w:r>
    </w:p>
    <w:p w14:paraId="1BEDF17B">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（2）大写金额和小写金额不一致的，以大写金额为准；</w:t>
      </w:r>
    </w:p>
    <w:p w14:paraId="7B8CD231">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（3）单价金额小数点或者百分比有明显错位的，以报价表的总价为准，并修改单价；</w:t>
      </w:r>
    </w:p>
    <w:p w14:paraId="56D0180C">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（4）总价金额与按单价汇总金额不一致的，以单价金额计算结果为准。</w:t>
      </w:r>
    </w:p>
    <w:p w14:paraId="77F462DC">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同时出现两种以上不一致的，按照前款规定的顺序修正。</w:t>
      </w:r>
    </w:p>
    <w:p w14:paraId="3005D84E">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询价小组将按上述修正错误的方法修正询价文件中的询价响应报价，修正后的价格应对供应商具有约束力。如果</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不接受修正后的价格，则其询价响应将被拒绝。</w:t>
      </w:r>
    </w:p>
    <w:p w14:paraId="7755A3C9">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询价小组将允许修改询价文件中不构成重大偏离的、微小的、非正规的、不一致的或不规则的地方，但这些修改不能影响任何</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相应的名次排列。</w:t>
      </w:r>
    </w:p>
    <w:p w14:paraId="2C34CF15">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4.3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5020A9B2">
      <w:pPr>
        <w:pageBreakBefore w:val="0"/>
        <w:kinsoku/>
        <w:wordWrap/>
        <w:overflowPunct/>
        <w:topLinePunct w:val="0"/>
        <w:autoSpaceDE/>
        <w:autoSpaceDN/>
        <w:bidi w:val="0"/>
        <w:adjustRightInd/>
        <w:snapToGrid w:val="0"/>
        <w:spacing w:line="360" w:lineRule="auto"/>
        <w:ind w:firstLine="417" w:firstLineChars="199"/>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4.4 接到询价小组澄清要求的供应商如未按规定做出澄清，其风险由供应商自行承担。</w:t>
      </w:r>
    </w:p>
    <w:p w14:paraId="527D2C9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5.</w:t>
      </w:r>
      <w:r>
        <w:rPr>
          <w:rFonts w:hint="eastAsia" w:ascii="仿宋" w:hAnsi="仿宋" w:eastAsia="仿宋" w:cs="仿宋"/>
          <w:sz w:val="21"/>
          <w:szCs w:val="21"/>
          <w:highlight w:val="none"/>
          <w:lang w:bidi="ar"/>
        </w:rPr>
        <w:t>对响应文件的初审</w:t>
      </w:r>
    </w:p>
    <w:p w14:paraId="322E10F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5.1响应文件初审分为资格性检查和符合性检查。</w:t>
      </w:r>
    </w:p>
    <w:p w14:paraId="6651925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bidi="ar"/>
        </w:rPr>
        <w:t>资格性检查：依据法律法规和采购文件的规定，对响应文件中的资格证明文件、询价保证金等进行审查，以确定供应商是否具备参加询价的资格。</w:t>
      </w:r>
    </w:p>
    <w:p w14:paraId="1F033D8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bidi="ar"/>
        </w:rPr>
        <w:t>询价小组在进行资格性审查的同时，将在“信用中国”网站（www.creditchina.gov.cn）对供应商是否被列入失信被执行人、重大税收违法案件当事人名单、“中国政府采购网”（www.ccgp.gov.cn）上政府采购严重失信行为记录名单情况进行查询，以确定供应商是否具备参加询价的资格。查询结果将以网页打印的形式留存并归档。</w:t>
      </w:r>
    </w:p>
    <w:p w14:paraId="67B9C43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符合性检查：依据采购文件的规定，从响应文件的有效性、完整性和对采购文件的响应程度进行审查，以确定是否对采购文件的实质性要求作出响应。</w:t>
      </w:r>
    </w:p>
    <w:p w14:paraId="365D5FD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5.2询价小组将首先审查每份询价响应文件是否实质性响应了采购文件的要求。实质性响应的询价响应文件应该是与采购文件要求的全部条款、条件和规格相符，没有重大负偏离或保留。</w:t>
      </w:r>
    </w:p>
    <w:p w14:paraId="6CA4B40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所谓重大负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询价响应文件本身的内容，而不寻求外部的证据。</w:t>
      </w:r>
    </w:p>
    <w:p w14:paraId="6FA2A471">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5.3被认定为未实质性响应询价文件的响应文件的情形</w:t>
      </w:r>
    </w:p>
    <w:p w14:paraId="35FDB93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 未按要求交纳询价保证金的；</w:t>
      </w:r>
    </w:p>
    <w:p w14:paraId="4B02B09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 未按照采购文件规定要求密封、签署、盖章的；</w:t>
      </w:r>
    </w:p>
    <w:p w14:paraId="5FF20E6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 供应商在报价时采用选择性报价；</w:t>
      </w:r>
    </w:p>
    <w:p w14:paraId="12FC5D0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 供应商不符合采购文件中规定的合格</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资格要求的；</w:t>
      </w:r>
    </w:p>
    <w:p w14:paraId="744CF99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（5） 不符合法律、法规和采购文件中规定的其他实质性要求的（本采购文件中斜体且有下划线部分为实质性要求和条件）；</w:t>
      </w:r>
    </w:p>
    <w:p w14:paraId="387E972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（6） 其他法律、法规及本采购文件规定的属未实质性响应的响应文件的情形。</w:t>
      </w:r>
    </w:p>
    <w:p w14:paraId="77CE38B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（7）供应商被 “信用中国”网站（www.creditchina.gov.cn）和“中国政府采购网”（www.ccgp.gov.cn）列入失信被执行人或重大税收违法案件当事人名单或政府采购严重失信行为记录名单；</w:t>
      </w:r>
    </w:p>
    <w:p w14:paraId="227E051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5.4未实质性响应询价文件的响应文件按无效响应处理，询价小组将予以拒绝，供应商不得通过修改或撤销不合要求的偏离或保留而使其询价响应文件成为实质性响应的文件。</w:t>
      </w:r>
    </w:p>
    <w:p w14:paraId="495B917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5.5同一项目（项目未分包）或同一分包（项目有不同分包），如出现同一品牌同一型号的产品有多个供应商参加询价时，询价中在其他条件合格的前提下，选取报价最低的供应商参加询价报价，其他供应商作为无效询价响应处理。</w:t>
      </w:r>
    </w:p>
    <w:p w14:paraId="48E61A4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6.</w:t>
      </w:r>
      <w:r>
        <w:rPr>
          <w:rFonts w:hint="eastAsia" w:ascii="仿宋" w:hAnsi="仿宋" w:eastAsia="仿宋" w:cs="仿宋"/>
          <w:sz w:val="21"/>
          <w:szCs w:val="21"/>
          <w:highlight w:val="none"/>
          <w:lang w:bidi="ar"/>
        </w:rPr>
        <w:t>询价程序及成交原则</w:t>
      </w:r>
    </w:p>
    <w:p w14:paraId="1B2C78C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6.1询价程序</w:t>
      </w:r>
    </w:p>
    <w:p w14:paraId="2475DB9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6.1.1 对于通过资格性和符合性审查的供应商，如询价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询价成交资格，按顺序由最后报价次低的供应商递补，以此类推。</w:t>
      </w:r>
    </w:p>
    <w:p w14:paraId="4BE3493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6.2 评审原则</w:t>
      </w:r>
    </w:p>
    <w:p w14:paraId="2A27EFE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6.2.1询价小组将从质量和服务均能满足采购文件实质性响应要求的供应商中，按照最后报价由低到高顺序推荐</w:t>
      </w:r>
      <w:r>
        <w:rPr>
          <w:rFonts w:hint="eastAsia" w:ascii="仿宋" w:hAnsi="仿宋" w:eastAsia="仿宋" w:cs="仿宋"/>
          <w:sz w:val="21"/>
          <w:szCs w:val="21"/>
          <w:highlight w:val="none"/>
          <w:lang w:val="en-US" w:eastAsia="zh-CN" w:bidi="ar"/>
        </w:rPr>
        <w:t>2</w:t>
      </w:r>
      <w:r>
        <w:rPr>
          <w:rFonts w:hint="eastAsia" w:ascii="仿宋" w:hAnsi="仿宋" w:eastAsia="仿宋" w:cs="仿宋"/>
          <w:sz w:val="21"/>
          <w:szCs w:val="21"/>
          <w:highlight w:val="none"/>
          <w:lang w:bidi="ar"/>
        </w:rPr>
        <w:t>名成交候选供应商，并编写评审报告。采购人从评审报告提出的成交候选供应商中，根据质量和服务均能满足采购文件实质性响应要求且最后报价最低的原则确定1名成交供应商和1名备选供应商。</w:t>
      </w:r>
    </w:p>
    <w:p w14:paraId="6791158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6.3采购活动终止的情况</w:t>
      </w:r>
    </w:p>
    <w:p w14:paraId="292BD74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 xml:space="preserve"> 出现下列情形之一的，本次询价采购活动将被终止：</w:t>
      </w:r>
    </w:p>
    <w:p w14:paraId="19647CD3">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（1）因情况变化，不再符合规定的询价采购方式适用情形的；</w:t>
      </w:r>
    </w:p>
    <w:p w14:paraId="5329516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（2）出现影响采购公正的违法、违规行为的；</w:t>
      </w:r>
    </w:p>
    <w:p w14:paraId="7194C7D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（3）在采购过程中符合竞争要求的供应商或者报价未超过采购预算的供应商不足3家的。</w:t>
      </w:r>
    </w:p>
    <w:p w14:paraId="13137D1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（4）因重大变故，采购任务取消的。</w:t>
      </w:r>
    </w:p>
    <w:p w14:paraId="7685EDA1">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bidi="ar"/>
        </w:rPr>
        <w:t>五、成交</w:t>
      </w:r>
    </w:p>
    <w:p w14:paraId="7314548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1.</w:t>
      </w:r>
      <w:r>
        <w:rPr>
          <w:rFonts w:hint="eastAsia" w:ascii="仿宋" w:hAnsi="仿宋" w:eastAsia="仿宋" w:cs="仿宋"/>
          <w:sz w:val="21"/>
          <w:szCs w:val="21"/>
          <w:highlight w:val="none"/>
          <w:lang w:bidi="ar"/>
        </w:rPr>
        <w:t>确定成交单位</w:t>
      </w:r>
    </w:p>
    <w:p w14:paraId="6645D9F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1.1询价小组根据本采购文件规定评审办法、原始询价记录和询价结果，编写评审报告，推荐成交候选人。</w:t>
      </w:r>
    </w:p>
    <w:p w14:paraId="68B3443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1.2采购人根据询价小组推荐的成交候选人确定第一名为成交供应商和第二名为备选供应商。采购人确定成交供应商后，将在</w:t>
      </w:r>
      <w:r>
        <w:rPr>
          <w:rFonts w:hint="eastAsia" w:ascii="仿宋" w:hAnsi="仿宋" w:eastAsia="仿宋" w:cs="仿宋"/>
          <w:sz w:val="21"/>
          <w:szCs w:val="21"/>
          <w:highlight w:val="none"/>
          <w:lang w:val="en-US" w:eastAsia="zh-CN" w:bidi="ar"/>
        </w:rPr>
        <w:t>询价公告发布的</w:t>
      </w:r>
      <w:r>
        <w:rPr>
          <w:rFonts w:hint="eastAsia" w:ascii="仿宋" w:hAnsi="仿宋" w:eastAsia="仿宋" w:cs="仿宋"/>
          <w:sz w:val="21"/>
          <w:szCs w:val="21"/>
          <w:highlight w:val="none"/>
          <w:lang w:bidi="ar"/>
        </w:rPr>
        <w:t>网站发布成交结果公告，公告期限为1个工作日。成交结果确定后，采购人将向成交供应商发出成交通知书。</w:t>
      </w:r>
    </w:p>
    <w:p w14:paraId="37F2FBB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1.3若有充分证据证明，成交供应商出现下列情况之一的，一经查实，将被取消成交资格：</w:t>
      </w:r>
    </w:p>
    <w:p w14:paraId="43AB636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（1）提供虚假材料谋取成交的；</w:t>
      </w:r>
    </w:p>
    <w:p w14:paraId="01E824F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（2）与评审专家、采购人、其他供应商恶意串通的；</w:t>
      </w:r>
    </w:p>
    <w:p w14:paraId="25F474D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（3）向评审专家、采购人工作人员行贿或者提供其他不正当利益的；</w:t>
      </w:r>
    </w:p>
    <w:p w14:paraId="05AB6CD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（4）恶意竞争，评审小组认为</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的报价明显低于其他通过符合性审查</w:t>
      </w:r>
      <w:r>
        <w:rPr>
          <w:rFonts w:hint="eastAsia" w:ascii="仿宋" w:hAnsi="仿宋" w:eastAsia="仿宋" w:cs="仿宋"/>
          <w:sz w:val="21"/>
          <w:szCs w:val="21"/>
          <w:highlight w:val="none"/>
          <w:lang w:eastAsia="zh-CN" w:bidi="ar"/>
        </w:rPr>
        <w:t>供应商</w:t>
      </w:r>
      <w:r>
        <w:rPr>
          <w:rFonts w:hint="eastAsia" w:ascii="仿宋" w:hAnsi="仿宋" w:eastAsia="仿宋" w:cs="仿宋"/>
          <w:sz w:val="21"/>
          <w:szCs w:val="21"/>
          <w:highlight w:val="none"/>
          <w:lang w:bidi="ar"/>
        </w:rPr>
        <w:t>的报价，有可能影响产品质量或者不能诚信履约且又无法提供证明的；</w:t>
      </w:r>
    </w:p>
    <w:p w14:paraId="19C53F38">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（5）不满足本采购文件规定的实质性要求，但在评审过程中又未被询价小组发现的；</w:t>
      </w:r>
    </w:p>
    <w:p w14:paraId="45CD1CE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（6）成交后无正当理由拒不与采购人签订采购合同或者未按照采购文件确定的事项签订采购合同；</w:t>
      </w:r>
    </w:p>
    <w:p w14:paraId="61DAAEC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（7）将采购合同转包；</w:t>
      </w:r>
    </w:p>
    <w:p w14:paraId="0DFF263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（8）法律、法规、规章规定的属于成交无效的其他情形。</w:t>
      </w:r>
    </w:p>
    <w:p w14:paraId="3FCFBE4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2.</w:t>
      </w:r>
      <w:r>
        <w:rPr>
          <w:rFonts w:hint="eastAsia" w:ascii="仿宋" w:hAnsi="仿宋" w:eastAsia="仿宋" w:cs="仿宋"/>
          <w:sz w:val="21"/>
          <w:szCs w:val="21"/>
          <w:highlight w:val="none"/>
          <w:lang w:bidi="ar"/>
        </w:rPr>
        <w:t>质疑处理</w:t>
      </w:r>
    </w:p>
    <w:p w14:paraId="3AE83BB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2.1 提出质疑的供应商应当是参与所质疑项目采购活动的供应商。潜在供应商依法获取其可质疑的采购文件的，可以对采购文件提出质疑。</w:t>
      </w:r>
    </w:p>
    <w:p w14:paraId="591EBE61">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2.2供应商认为询价文件、采购过程和采购结果使自己的权益受到损害的，可以在知道或应知其权益受到损害之日起七个工作日内，以书面形式向采购代理人提出质疑。上述应知其权益受到损害之日，是指：</w:t>
      </w:r>
    </w:p>
    <w:p w14:paraId="1089ACC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（1）对可以质疑的询价文件提出质疑的，为收到询价文件之日或者询价文件公告期限届满之日；</w:t>
      </w:r>
    </w:p>
    <w:p w14:paraId="0587C07A">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（2）对采购过程提出质疑的，为各采购程序环节结束之日；</w:t>
      </w:r>
    </w:p>
    <w:p w14:paraId="4BD8CC7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（3）对成交结果提出质疑的，为成交结果公告期限届满之日。</w:t>
      </w:r>
    </w:p>
    <w:p w14:paraId="737A371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供应商应当在法定质疑期内一次性提出针对同一采购程序环节的质疑。供应商如在法定期限内对同一采购程序环节提出多次质疑的，采购代理人将只对供应商第一次质疑作出答复。</w:t>
      </w:r>
    </w:p>
    <w:p w14:paraId="5B90ED4B">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2.3质疑函必须按照本询价文件中《质疑函范本》要求的格式和内容进行填写。供应商如组成联合体参加询价，则《质疑函范本》中要求签字、盖章、加盖公章之处，联合体各方均须按要求签字、盖章、加盖公章。</w:t>
      </w:r>
    </w:p>
    <w:p w14:paraId="086C8666">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2.4 采购代理人只接收以纸质原件形式送达的质疑。</w:t>
      </w:r>
    </w:p>
    <w:p w14:paraId="50E24FD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2.5 以下情形的质疑不予受理</w:t>
      </w:r>
    </w:p>
    <w:p w14:paraId="2B48608C">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2.5.1 内容不符合《政府采购质疑和投诉办法》第十二条规定的质疑。</w:t>
      </w:r>
    </w:p>
    <w:p w14:paraId="27CBD43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2.5.2 超出政府采购法定期限的质疑。</w:t>
      </w:r>
    </w:p>
    <w:p w14:paraId="3857883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2.5.3 以传真、电子邮件等方式递交的非原件形式的质疑。</w:t>
      </w:r>
    </w:p>
    <w:p w14:paraId="7662A97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2.5.4 未参加投标活动的供应商或在投标活动中自身权益未受到损害的供应商所提出的质疑。</w:t>
      </w:r>
    </w:p>
    <w:p w14:paraId="1E1FEA3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2.5.5供应商组成联合体参加投标，联合体中任何一方或多方未按要求签字、盖章、加盖公章的质疑。</w:t>
      </w:r>
    </w:p>
    <w:p w14:paraId="2710370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9B5A358">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lang w:val="zh-CN" w:bidi="ar"/>
        </w:rPr>
      </w:pPr>
      <w:r>
        <w:rPr>
          <w:rFonts w:hint="eastAsia" w:ascii="仿宋" w:hAnsi="仿宋" w:eastAsia="仿宋" w:cs="仿宋"/>
          <w:b/>
          <w:sz w:val="21"/>
          <w:szCs w:val="21"/>
          <w:highlight w:val="none"/>
          <w:lang w:val="en-US" w:eastAsia="zh-CN" w:bidi="ar"/>
        </w:rPr>
        <w:t>六</w:t>
      </w:r>
      <w:r>
        <w:rPr>
          <w:rFonts w:hint="eastAsia" w:ascii="仿宋" w:hAnsi="仿宋" w:eastAsia="仿宋" w:cs="仿宋"/>
          <w:b/>
          <w:sz w:val="21"/>
          <w:szCs w:val="21"/>
          <w:highlight w:val="none"/>
          <w:lang w:val="zh-CN" w:bidi="ar"/>
        </w:rPr>
        <w:t>、诚实信用</w:t>
      </w:r>
    </w:p>
    <w:p w14:paraId="22FD97A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en-US" w:eastAsia="zh-CN" w:bidi="ar"/>
        </w:rPr>
        <w:t>1.</w:t>
      </w:r>
      <w:r>
        <w:rPr>
          <w:rFonts w:hint="eastAsia" w:ascii="仿宋" w:hAnsi="仿宋" w:eastAsia="仿宋" w:cs="仿宋"/>
          <w:sz w:val="21"/>
          <w:szCs w:val="21"/>
          <w:highlight w:val="none"/>
          <w:lang w:val="zh-CN" w:bidi="ar"/>
        </w:rPr>
        <w:t>供应商应当遵循公平竞争的原则，不得恶意串通，不得妨碍其他供应商的竞争行为，不得损害采购人或者其他供应商的合法权益。</w:t>
      </w:r>
    </w:p>
    <w:p w14:paraId="12CD2784">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zh-CN" w:bidi="ar"/>
        </w:rPr>
        <w:t>有下列情形之一的，视为供应商串通投标，其</w:t>
      </w:r>
      <w:r>
        <w:rPr>
          <w:rFonts w:hint="eastAsia" w:ascii="仿宋" w:hAnsi="仿宋" w:eastAsia="仿宋" w:cs="仿宋"/>
          <w:sz w:val="21"/>
          <w:szCs w:val="21"/>
          <w:highlight w:val="none"/>
          <w:lang w:val="en-US" w:eastAsia="zh-CN" w:bidi="ar"/>
        </w:rPr>
        <w:t>响应</w:t>
      </w:r>
      <w:r>
        <w:rPr>
          <w:rFonts w:hint="eastAsia" w:ascii="仿宋" w:hAnsi="仿宋" w:eastAsia="仿宋" w:cs="仿宋"/>
          <w:sz w:val="21"/>
          <w:szCs w:val="21"/>
          <w:highlight w:val="none"/>
          <w:lang w:val="zh-CN" w:bidi="ar"/>
        </w:rPr>
        <w:t>无效：</w:t>
      </w:r>
    </w:p>
    <w:p w14:paraId="2DF6114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zh-CN" w:bidi="ar"/>
        </w:rPr>
        <w:t>不同供应商的响应文件由同一单位或者个人编制；</w:t>
      </w:r>
    </w:p>
    <w:p w14:paraId="6DA4787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zh-CN" w:bidi="ar"/>
        </w:rPr>
        <w:t>不同供应商委托同一单位或者个人办理投标事宜；</w:t>
      </w:r>
    </w:p>
    <w:p w14:paraId="2FBF7302">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zh-CN" w:bidi="ar"/>
        </w:rPr>
        <w:t>不同供应商的响应文件载明的项目管理成员或者联系人员为同一人；</w:t>
      </w:r>
    </w:p>
    <w:p w14:paraId="5F41208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zh-CN" w:bidi="ar"/>
        </w:rPr>
        <w:t>不同供应商的响应文件异常一致或者响应报价呈规律性差异；</w:t>
      </w:r>
    </w:p>
    <w:p w14:paraId="45D1097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zh-CN" w:bidi="ar"/>
        </w:rPr>
        <w:t>不同供应商的响应文件相互混装；</w:t>
      </w:r>
    </w:p>
    <w:p w14:paraId="541A80A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zh-CN" w:bidi="ar"/>
        </w:rPr>
        <w:t>不同供应商的投标保证金（</w:t>
      </w:r>
      <w:r>
        <w:rPr>
          <w:rFonts w:hint="eastAsia" w:ascii="仿宋" w:hAnsi="仿宋" w:eastAsia="仿宋" w:cs="仿宋"/>
          <w:sz w:val="21"/>
          <w:szCs w:val="21"/>
          <w:highlight w:val="none"/>
          <w:lang w:val="en-US" w:eastAsia="zh-CN" w:bidi="ar"/>
        </w:rPr>
        <w:t>如有</w:t>
      </w:r>
      <w:r>
        <w:rPr>
          <w:rFonts w:hint="eastAsia" w:ascii="仿宋" w:hAnsi="仿宋" w:eastAsia="仿宋" w:cs="仿宋"/>
          <w:sz w:val="21"/>
          <w:szCs w:val="21"/>
          <w:highlight w:val="none"/>
          <w:lang w:val="zh-CN" w:bidi="ar"/>
        </w:rPr>
        <w:t>）从同一单位或者个人的账户转出。</w:t>
      </w:r>
    </w:p>
    <w:p w14:paraId="676FCA9E">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en-US" w:eastAsia="zh-CN" w:bidi="ar"/>
        </w:rPr>
        <w:t>2.</w:t>
      </w:r>
      <w:r>
        <w:rPr>
          <w:rFonts w:hint="eastAsia" w:ascii="仿宋" w:hAnsi="仿宋" w:eastAsia="仿宋" w:cs="仿宋"/>
          <w:sz w:val="21"/>
          <w:szCs w:val="21"/>
          <w:highlight w:val="none"/>
          <w:lang w:val="zh-CN" w:bidi="ar"/>
        </w:rPr>
        <w:t>供应商不得以向采购代理机构工作人员、</w:t>
      </w:r>
      <w:r>
        <w:rPr>
          <w:rFonts w:hint="eastAsia" w:ascii="仿宋" w:hAnsi="仿宋" w:eastAsia="仿宋" w:cs="仿宋"/>
          <w:sz w:val="21"/>
          <w:szCs w:val="21"/>
          <w:highlight w:val="none"/>
          <w:lang w:val="en-US" w:eastAsia="zh-CN" w:bidi="ar"/>
        </w:rPr>
        <w:t>询价小组</w:t>
      </w:r>
      <w:r>
        <w:rPr>
          <w:rFonts w:hint="eastAsia" w:ascii="仿宋" w:hAnsi="仿宋" w:eastAsia="仿宋" w:cs="仿宋"/>
          <w:sz w:val="21"/>
          <w:szCs w:val="21"/>
          <w:highlight w:val="none"/>
          <w:lang w:val="zh-CN" w:bidi="ar"/>
        </w:rPr>
        <w:t>成员行贿或者采取其他不正当手段谋取成交。</w:t>
      </w:r>
    </w:p>
    <w:p w14:paraId="1D0F21F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zh-CN" w:bidi="ar"/>
        </w:rPr>
      </w:pPr>
      <w:r>
        <w:rPr>
          <w:rFonts w:hint="eastAsia" w:ascii="仿宋" w:hAnsi="仿宋" w:eastAsia="仿宋" w:cs="仿宋"/>
          <w:sz w:val="21"/>
          <w:szCs w:val="21"/>
          <w:highlight w:val="none"/>
          <w:lang w:val="en-US" w:eastAsia="zh-CN" w:bidi="ar"/>
        </w:rPr>
        <w:t>3.</w:t>
      </w:r>
      <w:r>
        <w:rPr>
          <w:rFonts w:hint="eastAsia" w:ascii="仿宋" w:hAnsi="仿宋" w:eastAsia="仿宋" w:cs="仿宋"/>
          <w:sz w:val="21"/>
          <w:szCs w:val="21"/>
          <w:highlight w:val="none"/>
          <w:lang w:val="zh-CN" w:bidi="ar"/>
        </w:rPr>
        <w:t>供应商不得虚假承诺；否则，按照提供虚假材料谋取成交处理。</w:t>
      </w:r>
    </w:p>
    <w:p w14:paraId="40D5A082">
      <w:pPr>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bidi="ar"/>
        </w:rPr>
        <w:t>七</w:t>
      </w:r>
      <w:r>
        <w:rPr>
          <w:rFonts w:hint="eastAsia" w:ascii="仿宋" w:hAnsi="仿宋" w:eastAsia="仿宋" w:cs="仿宋"/>
          <w:b/>
          <w:sz w:val="21"/>
          <w:szCs w:val="21"/>
          <w:highlight w:val="none"/>
          <w:lang w:bidi="ar"/>
        </w:rPr>
        <w:t>、合同签订相关事项</w:t>
      </w:r>
    </w:p>
    <w:p w14:paraId="73B9DF95">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bidi="ar"/>
        </w:rPr>
        <w:t>1.</w:t>
      </w:r>
      <w:r>
        <w:rPr>
          <w:rFonts w:hint="eastAsia" w:ascii="仿宋" w:hAnsi="仿宋" w:eastAsia="仿宋" w:cs="仿宋"/>
          <w:sz w:val="21"/>
          <w:szCs w:val="21"/>
          <w:highlight w:val="none"/>
          <w:lang w:bidi="ar"/>
        </w:rPr>
        <w:t>签订合同</w:t>
      </w:r>
    </w:p>
    <w:p w14:paraId="50086650">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l成交供应商确定后，采购代理人将向成交供应商发出成交通知书。成交供应商应按成交通知书规定的时间、地点,按照采购文件确定的事项与采购人签订采购合同，且不得迟于成交通知书发出之日起三十日内，否则询价保证金将不予退还，由此给采购人造成损失的，成交供应商还应承担赔偿责任。采购代理人将向排名第二的供应商发出备选供应商成交通知书。</w:t>
      </w:r>
    </w:p>
    <w:p w14:paraId="7246DD21">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bidi="ar"/>
        </w:rPr>
        <w:t>1.2 采购文件、成交供应商的询价响应文件及询价采购过程中有关澄清、承诺文件均应作为合同附件。</w:t>
      </w:r>
    </w:p>
    <w:p w14:paraId="75FE2C79">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bidi="ar"/>
        </w:rPr>
      </w:pPr>
      <w:r>
        <w:rPr>
          <w:rFonts w:hint="eastAsia" w:ascii="仿宋" w:hAnsi="仿宋" w:eastAsia="仿宋" w:cs="仿宋"/>
          <w:sz w:val="21"/>
          <w:szCs w:val="21"/>
          <w:highlight w:val="none"/>
          <w:lang w:bidi="ar"/>
        </w:rPr>
        <w:t>1.3 签订合同后</w:t>
      </w:r>
      <w:r>
        <w:rPr>
          <w:rFonts w:hint="eastAsia" w:ascii="仿宋" w:hAnsi="仿宋" w:eastAsia="仿宋" w:cs="仿宋"/>
          <w:i/>
          <w:sz w:val="21"/>
          <w:szCs w:val="21"/>
          <w:highlight w:val="none"/>
          <w:u w:val="single"/>
          <w:lang w:bidi="ar"/>
        </w:rPr>
        <w:t>，</w:t>
      </w:r>
      <w:r>
        <w:rPr>
          <w:rFonts w:hint="eastAsia" w:ascii="宋体" w:hAnsi="宋体" w:eastAsia="宋体" w:cs="宋体"/>
          <w:b/>
          <w:bCs/>
          <w:i/>
          <w:sz w:val="21"/>
          <w:szCs w:val="21"/>
          <w:highlight w:val="none"/>
          <w:u w:val="single"/>
          <w:lang w:bidi="ar"/>
        </w:rPr>
        <w:t>★</w:t>
      </w:r>
      <w:r>
        <w:rPr>
          <w:rFonts w:hint="eastAsia" w:ascii="仿宋" w:hAnsi="仿宋" w:eastAsia="仿宋" w:cs="仿宋"/>
          <w:b/>
          <w:bCs/>
          <w:i/>
          <w:sz w:val="21"/>
          <w:szCs w:val="21"/>
          <w:highlight w:val="none"/>
          <w:u w:val="single"/>
          <w:lang w:bidi="ar"/>
        </w:rPr>
        <w:t>成交供应商不得将成交产品及其他相关服务进行转包</w:t>
      </w:r>
      <w:r>
        <w:rPr>
          <w:rFonts w:hint="eastAsia" w:ascii="仿宋" w:hAnsi="仿宋" w:eastAsia="仿宋" w:cs="仿宋"/>
          <w:i/>
          <w:sz w:val="21"/>
          <w:szCs w:val="21"/>
          <w:highlight w:val="none"/>
          <w:u w:val="single"/>
          <w:lang w:bidi="ar"/>
        </w:rPr>
        <w:t>。</w:t>
      </w:r>
      <w:r>
        <w:rPr>
          <w:rFonts w:hint="eastAsia" w:ascii="仿宋" w:hAnsi="仿宋" w:eastAsia="仿宋" w:cs="仿宋"/>
          <w:sz w:val="21"/>
          <w:szCs w:val="21"/>
          <w:highlight w:val="none"/>
          <w:lang w:bidi="ar"/>
        </w:rPr>
        <w:t>未经采购人同意，成交供应商也不得采用分包的形式履行合同，否则采购人有权终止合同，成交供应商的履约保证金将不予退还。转包或分包造成采购人损失的，成交供应商应承担相应赔偿责任。</w:t>
      </w:r>
    </w:p>
    <w:p w14:paraId="7D24121F">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履约保证金</w:t>
      </w:r>
    </w:p>
    <w:p w14:paraId="47C9E2E7">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2.1成交供应商在收到成交通知书后，须缴纳履约保证金</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具体金额见合同条款</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履约保证金用以约束成交供应商在合同履行中的行为，弥补合同执行中由于自身行为可能给采购人带来的各种损失。如果成交供应商不同意按照规定去做，采购人有权取消本次采购成交决定、追究相关责任并按规定予以负面评价，1年内不得参加本单位交易项目。</w:t>
      </w:r>
    </w:p>
    <w:p w14:paraId="2D9879AD">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2.2履约保证金的退还：合同履行结束后，办理保证金退还手续（无息退还）。</w:t>
      </w:r>
    </w:p>
    <w:p w14:paraId="28943ACE">
      <w:pPr>
        <w:pStyle w:val="3"/>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6"/>
          <w:szCs w:val="36"/>
          <w:highlight w:val="none"/>
          <w:lang w:val="en-US" w:eastAsia="zh-CN"/>
        </w:rPr>
      </w:pPr>
      <w:bookmarkStart w:id="3" w:name="_Toc15089"/>
      <w:r>
        <w:rPr>
          <w:rFonts w:hint="eastAsia" w:ascii="仿宋" w:hAnsi="仿宋" w:eastAsia="仿宋" w:cs="仿宋"/>
          <w:b/>
          <w:bCs/>
          <w:sz w:val="44"/>
          <w:szCs w:val="44"/>
          <w:highlight w:val="none"/>
        </w:rPr>
        <w:br w:type="column"/>
      </w:r>
      <w:r>
        <w:rPr>
          <w:rFonts w:hint="eastAsia" w:ascii="仿宋" w:hAnsi="仿宋" w:eastAsia="仿宋" w:cs="仿宋"/>
          <w:b/>
          <w:bCs/>
          <w:sz w:val="36"/>
          <w:szCs w:val="36"/>
          <w:highlight w:val="none"/>
        </w:rPr>
        <w:t xml:space="preserve">第三章 </w:t>
      </w:r>
      <w:r>
        <w:rPr>
          <w:rFonts w:hint="eastAsia" w:ascii="仿宋" w:hAnsi="仿宋" w:eastAsia="仿宋" w:cs="仿宋"/>
          <w:b/>
          <w:bCs/>
          <w:sz w:val="36"/>
          <w:szCs w:val="36"/>
          <w:highlight w:val="none"/>
          <w:lang w:val="en-US" w:eastAsia="zh-CN"/>
        </w:rPr>
        <w:t>评审办法</w:t>
      </w:r>
      <w:bookmarkEnd w:id="3"/>
    </w:p>
    <w:p w14:paraId="4C2A4B9C">
      <w:pPr>
        <w:pStyle w:val="4"/>
        <w:pageBreakBefore w:val="0"/>
        <w:widowControl w:val="0"/>
        <w:kinsoku/>
        <w:wordWrap/>
        <w:overflowPunct/>
        <w:topLinePunct w:val="0"/>
        <w:autoSpaceDE/>
        <w:autoSpaceDN/>
        <w:bidi w:val="0"/>
        <w:adjustRightInd/>
        <w:snapToGrid w:val="0"/>
        <w:spacing w:before="0" w:after="0" w:line="360" w:lineRule="auto"/>
        <w:ind w:left="420" w:leftChars="200"/>
        <w:jc w:val="both"/>
        <w:textAlignment w:val="auto"/>
        <w:rPr>
          <w:rFonts w:hint="eastAsia" w:ascii="仿宋" w:hAnsi="仿宋" w:eastAsia="仿宋" w:cs="仿宋"/>
          <w:color w:val="auto"/>
          <w:kern w:val="0"/>
          <w:sz w:val="21"/>
          <w:szCs w:val="21"/>
          <w:highlight w:val="none"/>
        </w:rPr>
      </w:pPr>
      <w:bookmarkStart w:id="4" w:name="_Toc1310"/>
      <w:r>
        <w:rPr>
          <w:rFonts w:hint="eastAsia" w:ascii="仿宋" w:hAnsi="仿宋" w:eastAsia="仿宋" w:cs="仿宋"/>
          <w:color w:val="auto"/>
          <w:kern w:val="0"/>
          <w:sz w:val="21"/>
          <w:szCs w:val="21"/>
          <w:highlight w:val="none"/>
        </w:rPr>
        <w:t>一、供应商资格审查标准</w:t>
      </w:r>
      <w:bookmarkEnd w:id="4"/>
    </w:p>
    <w:p w14:paraId="11425378">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询价小组</w:t>
      </w:r>
      <w:r>
        <w:rPr>
          <w:rFonts w:hint="eastAsia" w:ascii="仿宋" w:hAnsi="仿宋" w:eastAsia="仿宋" w:cs="仿宋"/>
          <w:color w:val="auto"/>
          <w:kern w:val="0"/>
          <w:sz w:val="21"/>
          <w:szCs w:val="21"/>
          <w:highlight w:val="none"/>
        </w:rPr>
        <w:t>依据下列标准，对供应商的资格进行评审。有一项不符合评审标准的，</w:t>
      </w:r>
      <w:r>
        <w:rPr>
          <w:rFonts w:hint="eastAsia" w:ascii="仿宋" w:hAnsi="仿宋" w:eastAsia="仿宋" w:cs="仿宋"/>
          <w:color w:val="auto"/>
          <w:kern w:val="0"/>
          <w:sz w:val="21"/>
          <w:szCs w:val="21"/>
          <w:highlight w:val="none"/>
          <w:lang w:val="en-US" w:eastAsia="zh-CN"/>
        </w:rPr>
        <w:t>响应文件将被视为无效</w:t>
      </w:r>
      <w:r>
        <w:rPr>
          <w:rFonts w:hint="eastAsia" w:ascii="仿宋" w:hAnsi="仿宋" w:eastAsia="仿宋" w:cs="仿宋"/>
          <w:color w:val="auto"/>
          <w:kern w:val="0"/>
          <w:sz w:val="21"/>
          <w:szCs w:val="21"/>
          <w:highlight w:val="none"/>
        </w:rPr>
        <w:t>。</w:t>
      </w:r>
    </w:p>
    <w:tbl>
      <w:tblPr>
        <w:tblStyle w:val="17"/>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229"/>
      </w:tblGrid>
      <w:tr w14:paraId="4227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blHeader/>
          <w:jc w:val="center"/>
        </w:trPr>
        <w:tc>
          <w:tcPr>
            <w:tcW w:w="710" w:type="dxa"/>
            <w:vAlign w:val="center"/>
          </w:tcPr>
          <w:p w14:paraId="06341C4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9229" w:type="dxa"/>
            <w:vAlign w:val="center"/>
          </w:tcPr>
          <w:p w14:paraId="7226118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评审标准</w:t>
            </w:r>
          </w:p>
        </w:tc>
      </w:tr>
      <w:tr w14:paraId="2B94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blHeader/>
          <w:jc w:val="center"/>
        </w:trPr>
        <w:tc>
          <w:tcPr>
            <w:tcW w:w="710" w:type="dxa"/>
            <w:vAlign w:val="center"/>
          </w:tcPr>
          <w:p w14:paraId="2B4B0681">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9229" w:type="dxa"/>
            <w:vAlign w:val="center"/>
          </w:tcPr>
          <w:p w14:paraId="4A8D2674">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具有独立承担民事责任的能力（提供法人或者其他组织的营业执照）。</w:t>
            </w:r>
          </w:p>
        </w:tc>
      </w:tr>
      <w:tr w14:paraId="5AB1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710" w:type="dxa"/>
            <w:vAlign w:val="center"/>
          </w:tcPr>
          <w:p w14:paraId="03D8DF6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9229" w:type="dxa"/>
            <w:vAlign w:val="center"/>
          </w:tcPr>
          <w:p w14:paraId="2EBB9E62">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具有良好的商业信誉和健全的财务会计制度[提供距开标时间一年内任意一月份的财务状况报告（至少包括资产负债表和利润表）或其2023年度经审计的财务报告；复印件加盖公章]。</w:t>
            </w:r>
          </w:p>
        </w:tc>
      </w:tr>
      <w:tr w14:paraId="6FEB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710" w:type="dxa"/>
            <w:vAlign w:val="center"/>
          </w:tcPr>
          <w:p w14:paraId="02795E40">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9229" w:type="dxa"/>
            <w:vAlign w:val="center"/>
          </w:tcPr>
          <w:p w14:paraId="2CD7E9E0">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有依法缴纳税收的良好记录，提供距开标时间一年内任意一月份的纳税凭据复印件加盖公章（依法免税的应提供相应文件说明）。</w:t>
            </w:r>
          </w:p>
        </w:tc>
      </w:tr>
      <w:tr w14:paraId="4E64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710" w:type="dxa"/>
            <w:vAlign w:val="center"/>
          </w:tcPr>
          <w:p w14:paraId="11F8A818">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9229" w:type="dxa"/>
            <w:vAlign w:val="center"/>
          </w:tcPr>
          <w:p w14:paraId="5FD61994">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有依法缴纳社会保障资金的良好记录，提供距开标时间一年内任意一月份的依法缴纳社会保障资金的凭据复印件加盖公章。</w:t>
            </w:r>
          </w:p>
        </w:tc>
      </w:tr>
      <w:tr w14:paraId="678C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710" w:type="dxa"/>
            <w:vAlign w:val="center"/>
          </w:tcPr>
          <w:p w14:paraId="5087EE8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9229" w:type="dxa"/>
            <w:vAlign w:val="center"/>
          </w:tcPr>
          <w:p w14:paraId="02999989">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具有履行合同所必需的设备和专业技术能力（供应商根据履行采购项目合同需要，提供具有履行合同所必需的设备和专业技术能力的声明或证明材料）。</w:t>
            </w:r>
          </w:p>
        </w:tc>
      </w:tr>
      <w:tr w14:paraId="495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710" w:type="dxa"/>
            <w:vAlign w:val="center"/>
          </w:tcPr>
          <w:p w14:paraId="42CC638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9229" w:type="dxa"/>
            <w:vAlign w:val="center"/>
          </w:tcPr>
          <w:p w14:paraId="4A4CE8D7">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参加采购活动近三年内，在经营活动中没有重大违法记录（提供承诺书，格式自拟，重大违法记录是指供应商因违法经营受到刑事处罚或责令停产停业、吊销许可证或者执照、较大数额等行政处罚）。</w:t>
            </w:r>
          </w:p>
        </w:tc>
      </w:tr>
      <w:tr w14:paraId="714E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blHeader/>
          <w:jc w:val="center"/>
        </w:trPr>
        <w:tc>
          <w:tcPr>
            <w:tcW w:w="710" w:type="dxa"/>
            <w:vAlign w:val="center"/>
          </w:tcPr>
          <w:p w14:paraId="101C5460">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9229" w:type="dxa"/>
            <w:vAlign w:val="center"/>
          </w:tcPr>
          <w:p w14:paraId="4C8794EA">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根据财政部、工业和信息化部关于印发《政府采购促进中小企业发展管理办法》的通知、江苏省财政厅《关于做好政府采购支持企业发展有关事项的通知》、《江苏省财政厅关于进一步加大政府采购支持中小企业力度的通知》（苏财购【2022】45号）的相关规定，本项目专门面向中小微企业采购，只接受中小微企业、监狱企业、残疾人福利性单位参加询价。中小企业划分标准见《工业和信息化部、国家统计局、国家发展和改革委员会、财政部关于印发中小企业划型标准规定的通知》。</w:t>
            </w:r>
          </w:p>
          <w:p w14:paraId="6D143806">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本项目所属行业:批发类。中小企业划分标准按《关于印发中小企业划型标准规定的通知》（工信部联企业〔2011〕300号）执行。</w:t>
            </w:r>
          </w:p>
        </w:tc>
      </w:tr>
      <w:tr w14:paraId="22DA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710" w:type="dxa"/>
            <w:vAlign w:val="center"/>
          </w:tcPr>
          <w:p w14:paraId="2E8AB35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9229" w:type="dxa"/>
            <w:vAlign w:val="center"/>
          </w:tcPr>
          <w:p w14:paraId="2083318B">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lang w:val="en-US" w:eastAsia="zh-CN"/>
              </w:rPr>
              <w:t>具有有效期内的</w:t>
            </w:r>
            <w:r>
              <w:rPr>
                <w:rFonts w:hint="eastAsia" w:ascii="仿宋" w:hAnsi="仿宋" w:eastAsia="仿宋" w:cs="仿宋"/>
                <w:sz w:val="21"/>
                <w:szCs w:val="21"/>
                <w:highlight w:val="none"/>
                <w:lang w:eastAsia="zh-CN"/>
              </w:rPr>
              <w:t>《食品流通许可证》或《食品经营许可证》或《食品生产许可证》。（提供证书复印件）</w:t>
            </w:r>
          </w:p>
        </w:tc>
      </w:tr>
      <w:tr w14:paraId="67EC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710" w:type="dxa"/>
            <w:vAlign w:val="center"/>
          </w:tcPr>
          <w:p w14:paraId="6AE34658">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9</w:t>
            </w:r>
          </w:p>
        </w:tc>
        <w:tc>
          <w:tcPr>
            <w:tcW w:w="9229" w:type="dxa"/>
            <w:vAlign w:val="center"/>
          </w:tcPr>
          <w:p w14:paraId="6BA0872A">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lang w:eastAsia="zh-CN"/>
              </w:rPr>
              <w:t>未被“信用中国”网站（www.creditchina.gov.cn）列入失信被执行人、重大税收违法案件当事人名单；未被“中国政府采购网”（www.ccgp.gov.cn）列入政府采购严重失信行为记录名单。</w:t>
            </w:r>
          </w:p>
        </w:tc>
      </w:tr>
      <w:tr w14:paraId="1ED1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blHeader/>
          <w:jc w:val="center"/>
        </w:trPr>
        <w:tc>
          <w:tcPr>
            <w:tcW w:w="710" w:type="dxa"/>
            <w:vAlign w:val="center"/>
          </w:tcPr>
          <w:p w14:paraId="6CAC8D6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9229" w:type="dxa"/>
            <w:vAlign w:val="center"/>
          </w:tcPr>
          <w:p w14:paraId="07280926">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单位负责人为同一人或者存在直接控股、管理关系的不同供应商，不得同时参加本项目同一包的投标。（提供承诺书或声明，正本中应为原件）</w:t>
            </w:r>
          </w:p>
        </w:tc>
      </w:tr>
      <w:tr w14:paraId="502E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blHeader/>
          <w:jc w:val="center"/>
        </w:trPr>
        <w:tc>
          <w:tcPr>
            <w:tcW w:w="710" w:type="dxa"/>
            <w:vAlign w:val="center"/>
          </w:tcPr>
          <w:p w14:paraId="79077AB9">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9229" w:type="dxa"/>
            <w:vAlign w:val="center"/>
          </w:tcPr>
          <w:p w14:paraId="73DE6DF7">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三个月内因违约被本项目采购人函告的供应商，不得参加本次询价。</w:t>
            </w:r>
          </w:p>
        </w:tc>
      </w:tr>
      <w:tr w14:paraId="1BD2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blHeader/>
          <w:jc w:val="center"/>
        </w:trPr>
        <w:tc>
          <w:tcPr>
            <w:tcW w:w="710" w:type="dxa"/>
            <w:vAlign w:val="center"/>
          </w:tcPr>
          <w:p w14:paraId="7DC31688">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9229" w:type="dxa"/>
            <w:vAlign w:val="center"/>
          </w:tcPr>
          <w:p w14:paraId="099D5706">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本项目不接受联合体参与询价</w:t>
            </w:r>
            <w:r>
              <w:rPr>
                <w:rFonts w:hint="eastAsia" w:ascii="仿宋" w:hAnsi="仿宋" w:eastAsia="仿宋" w:cs="仿宋"/>
                <w:sz w:val="21"/>
                <w:szCs w:val="21"/>
                <w:highlight w:val="none"/>
                <w:lang w:val="en-US" w:eastAsia="zh-CN"/>
              </w:rPr>
              <w:t>。</w:t>
            </w:r>
          </w:p>
        </w:tc>
      </w:tr>
      <w:tr w14:paraId="5F9F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710" w:type="dxa"/>
            <w:vAlign w:val="center"/>
          </w:tcPr>
          <w:p w14:paraId="08031CC8">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9229" w:type="dxa"/>
            <w:vAlign w:val="center"/>
          </w:tcPr>
          <w:p w14:paraId="03EFF349">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本项目不接受供应商使用进口产品参与询价。</w:t>
            </w:r>
          </w:p>
        </w:tc>
      </w:tr>
    </w:tbl>
    <w:p w14:paraId="37BE8486">
      <w:pPr>
        <w:pStyle w:val="4"/>
        <w:pageBreakBefore w:val="0"/>
        <w:widowControl w:val="0"/>
        <w:kinsoku/>
        <w:wordWrap/>
        <w:overflowPunct/>
        <w:topLinePunct w:val="0"/>
        <w:autoSpaceDE/>
        <w:autoSpaceDN/>
        <w:bidi w:val="0"/>
        <w:adjustRightInd/>
        <w:snapToGrid w:val="0"/>
        <w:spacing w:before="0" w:after="0" w:line="360" w:lineRule="auto"/>
        <w:ind w:left="420" w:leftChars="200"/>
        <w:jc w:val="both"/>
        <w:textAlignment w:val="auto"/>
        <w:rPr>
          <w:rFonts w:hint="eastAsia" w:ascii="仿宋" w:hAnsi="仿宋" w:eastAsia="仿宋" w:cs="仿宋"/>
          <w:color w:val="auto"/>
          <w:kern w:val="0"/>
          <w:sz w:val="21"/>
          <w:szCs w:val="21"/>
          <w:highlight w:val="none"/>
        </w:rPr>
      </w:pPr>
      <w:bookmarkStart w:id="5" w:name="_Toc6868"/>
      <w:r>
        <w:rPr>
          <w:rFonts w:hint="eastAsia" w:ascii="仿宋" w:hAnsi="仿宋" w:eastAsia="仿宋" w:cs="仿宋"/>
          <w:color w:val="auto"/>
          <w:kern w:val="0"/>
          <w:sz w:val="21"/>
          <w:szCs w:val="21"/>
          <w:highlight w:val="none"/>
        </w:rPr>
        <w:t>二、响应文件符合性审查标准</w:t>
      </w:r>
      <w:bookmarkEnd w:id="5"/>
    </w:p>
    <w:p w14:paraId="446A5BD3">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询价小组</w:t>
      </w:r>
      <w:r>
        <w:rPr>
          <w:rFonts w:hint="eastAsia" w:ascii="仿宋" w:hAnsi="仿宋" w:eastAsia="仿宋" w:cs="仿宋"/>
          <w:color w:val="auto"/>
          <w:kern w:val="0"/>
          <w:sz w:val="21"/>
          <w:szCs w:val="21"/>
          <w:highlight w:val="none"/>
        </w:rPr>
        <w:t>依据下列标准，对响应文件进行符合性审查。有一项不符合评审标准的，</w:t>
      </w:r>
      <w:r>
        <w:rPr>
          <w:rFonts w:hint="eastAsia" w:ascii="仿宋" w:hAnsi="仿宋" w:eastAsia="仿宋" w:cs="仿宋"/>
          <w:color w:val="auto"/>
          <w:kern w:val="0"/>
          <w:sz w:val="21"/>
          <w:szCs w:val="21"/>
          <w:highlight w:val="none"/>
          <w:lang w:val="en-US" w:eastAsia="zh-CN"/>
        </w:rPr>
        <w:t>响应文件将被视为无效</w:t>
      </w:r>
      <w:r>
        <w:rPr>
          <w:rFonts w:hint="eastAsia" w:ascii="仿宋" w:hAnsi="仿宋" w:eastAsia="仿宋" w:cs="仿宋"/>
          <w:color w:val="auto"/>
          <w:kern w:val="0"/>
          <w:sz w:val="21"/>
          <w:szCs w:val="21"/>
          <w:highlight w:val="none"/>
        </w:rPr>
        <w:t>。</w:t>
      </w:r>
    </w:p>
    <w:tbl>
      <w:tblPr>
        <w:tblStyle w:val="17"/>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846"/>
      </w:tblGrid>
      <w:tr w14:paraId="513D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1856F0B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2126" w:type="dxa"/>
            <w:vAlign w:val="center"/>
          </w:tcPr>
          <w:p w14:paraId="50941FCD">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评审因素</w:t>
            </w:r>
          </w:p>
        </w:tc>
        <w:tc>
          <w:tcPr>
            <w:tcW w:w="6846" w:type="dxa"/>
            <w:vAlign w:val="center"/>
          </w:tcPr>
          <w:p w14:paraId="263DCD5B">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评审标准</w:t>
            </w:r>
          </w:p>
        </w:tc>
      </w:tr>
      <w:tr w14:paraId="55B6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0B8208F4">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p>
        </w:tc>
        <w:tc>
          <w:tcPr>
            <w:tcW w:w="2126" w:type="dxa"/>
            <w:vAlign w:val="center"/>
          </w:tcPr>
          <w:p w14:paraId="45B085E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响应文件签字、盖章</w:t>
            </w:r>
          </w:p>
        </w:tc>
        <w:tc>
          <w:tcPr>
            <w:tcW w:w="6846" w:type="dxa"/>
            <w:vAlign w:val="center"/>
          </w:tcPr>
          <w:p w14:paraId="5D384714">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响应文件按照</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要求签署、盖章。由法定代表人签字的，应附法定代表人身份证明；由代理人签字的，应附授权委托书及身份证明。</w:t>
            </w:r>
          </w:p>
        </w:tc>
      </w:tr>
      <w:tr w14:paraId="05E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vAlign w:val="center"/>
          </w:tcPr>
          <w:p w14:paraId="2A1F0DF0">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2126" w:type="dxa"/>
            <w:vMerge w:val="restart"/>
            <w:vAlign w:val="center"/>
          </w:tcPr>
          <w:p w14:paraId="5D552384">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响应报价</w:t>
            </w:r>
          </w:p>
        </w:tc>
        <w:tc>
          <w:tcPr>
            <w:tcW w:w="6846" w:type="dxa"/>
            <w:vAlign w:val="center"/>
          </w:tcPr>
          <w:p w14:paraId="7FE98281">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报价没有超过</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中规定的预算金额或者最高限价</w:t>
            </w:r>
          </w:p>
        </w:tc>
      </w:tr>
      <w:tr w14:paraId="099E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71EEEB52">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2126" w:type="dxa"/>
            <w:vMerge w:val="continue"/>
            <w:vAlign w:val="center"/>
          </w:tcPr>
          <w:p w14:paraId="32B684C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6846" w:type="dxa"/>
            <w:vAlign w:val="center"/>
          </w:tcPr>
          <w:p w14:paraId="6F74DFED">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每一项产品/服务没有两个或多个报价，</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如有特别说明的除外</w:t>
            </w:r>
          </w:p>
        </w:tc>
      </w:tr>
      <w:tr w14:paraId="12B9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continue"/>
            <w:vAlign w:val="center"/>
          </w:tcPr>
          <w:p w14:paraId="2CF518E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2126" w:type="dxa"/>
            <w:vMerge w:val="continue"/>
            <w:vAlign w:val="center"/>
          </w:tcPr>
          <w:p w14:paraId="0B303E2F">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6846" w:type="dxa"/>
            <w:vAlign w:val="center"/>
          </w:tcPr>
          <w:p w14:paraId="48A18F20">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接受</w:t>
            </w:r>
            <w:r>
              <w:rPr>
                <w:rFonts w:hint="eastAsia" w:ascii="仿宋" w:hAnsi="仿宋" w:eastAsia="仿宋" w:cs="仿宋"/>
                <w:color w:val="auto"/>
                <w:kern w:val="0"/>
                <w:sz w:val="21"/>
                <w:szCs w:val="21"/>
                <w:highlight w:val="none"/>
                <w:lang w:val="en-US" w:eastAsia="zh-CN"/>
              </w:rPr>
              <w:t>询价小组</w:t>
            </w:r>
            <w:r>
              <w:rPr>
                <w:rFonts w:hint="eastAsia" w:ascii="仿宋" w:hAnsi="仿宋" w:eastAsia="仿宋" w:cs="仿宋"/>
                <w:color w:val="auto"/>
                <w:kern w:val="0"/>
                <w:sz w:val="21"/>
                <w:szCs w:val="21"/>
                <w:highlight w:val="none"/>
              </w:rPr>
              <w:t>对响应文件报价出现前后不一致的修正</w:t>
            </w:r>
          </w:p>
        </w:tc>
      </w:tr>
      <w:tr w14:paraId="6379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5FA90DD0">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c>
          <w:tcPr>
            <w:tcW w:w="2126" w:type="dxa"/>
            <w:vAlign w:val="center"/>
          </w:tcPr>
          <w:p w14:paraId="5F7CE3D1">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响应文件份数</w:t>
            </w:r>
          </w:p>
        </w:tc>
        <w:tc>
          <w:tcPr>
            <w:tcW w:w="6846" w:type="dxa"/>
            <w:vAlign w:val="center"/>
          </w:tcPr>
          <w:p w14:paraId="6B568093">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响应文件正本一份，副本三份，电子版本一份</w:t>
            </w:r>
          </w:p>
        </w:tc>
      </w:tr>
      <w:tr w14:paraId="4464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7128D041">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p>
        </w:tc>
        <w:tc>
          <w:tcPr>
            <w:tcW w:w="2126" w:type="dxa"/>
            <w:vAlign w:val="center"/>
          </w:tcPr>
          <w:p w14:paraId="6AF3FE7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实质性条款</w:t>
            </w:r>
          </w:p>
        </w:tc>
        <w:tc>
          <w:tcPr>
            <w:tcW w:w="6846" w:type="dxa"/>
            <w:vAlign w:val="center"/>
          </w:tcPr>
          <w:p w14:paraId="6708DBF6">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实质性条款</w:t>
            </w:r>
            <w:r>
              <w:rPr>
                <w:rFonts w:hint="eastAsia" w:ascii="仿宋" w:hAnsi="仿宋" w:eastAsia="仿宋" w:cs="仿宋"/>
                <w:color w:val="auto"/>
                <w:kern w:val="0"/>
                <w:sz w:val="21"/>
                <w:szCs w:val="21"/>
                <w:highlight w:val="none"/>
                <w:lang w:val="en-US" w:eastAsia="zh-CN"/>
              </w:rPr>
              <w:t>（标</w:t>
            </w:r>
            <w:r>
              <w:rPr>
                <w:rFonts w:hint="eastAsia" w:ascii="仿宋" w:hAnsi="仿宋" w:eastAsia="仿宋" w:cs="仿宋"/>
                <w:b w:val="0"/>
                <w:bCs w:val="0"/>
                <w:color w:val="auto"/>
                <w:kern w:val="0"/>
                <w:szCs w:val="21"/>
                <w:highlight w:val="none"/>
              </w:rPr>
              <w:t>★</w:t>
            </w:r>
            <w:r>
              <w:rPr>
                <w:rFonts w:hint="eastAsia" w:ascii="仿宋" w:hAnsi="仿宋" w:eastAsia="仿宋" w:cs="仿宋"/>
                <w:b w:val="0"/>
                <w:bCs w:val="0"/>
                <w:color w:val="auto"/>
                <w:kern w:val="0"/>
                <w:szCs w:val="21"/>
                <w:highlight w:val="none"/>
                <w:lang w:val="en-US" w:eastAsia="zh-CN"/>
              </w:rPr>
              <w:t>号的加粗</w:t>
            </w:r>
            <w:r>
              <w:rPr>
                <w:rFonts w:hint="eastAsia" w:ascii="仿宋" w:hAnsi="仿宋" w:eastAsia="仿宋" w:cs="仿宋"/>
                <w:b w:val="0"/>
                <w:bCs w:val="0"/>
                <w:color w:val="auto"/>
                <w:kern w:val="0"/>
                <w:sz w:val="21"/>
                <w:szCs w:val="21"/>
                <w:highlight w:val="none"/>
                <w:lang w:val="en-US" w:eastAsia="zh-CN"/>
              </w:rPr>
              <w:t>斜体</w:t>
            </w:r>
            <w:r>
              <w:rPr>
                <w:rFonts w:hint="eastAsia" w:ascii="仿宋" w:hAnsi="仿宋" w:eastAsia="仿宋" w:cs="仿宋"/>
                <w:color w:val="auto"/>
                <w:kern w:val="0"/>
                <w:sz w:val="21"/>
                <w:szCs w:val="21"/>
                <w:highlight w:val="none"/>
                <w:lang w:val="en-US" w:eastAsia="zh-CN"/>
              </w:rPr>
              <w:t>下画线字，如有）没有</w:t>
            </w:r>
            <w:r>
              <w:rPr>
                <w:rFonts w:hint="eastAsia" w:ascii="仿宋" w:hAnsi="仿宋" w:eastAsia="仿宋" w:cs="仿宋"/>
                <w:color w:val="auto"/>
                <w:kern w:val="0"/>
                <w:sz w:val="21"/>
                <w:szCs w:val="21"/>
                <w:highlight w:val="none"/>
              </w:rPr>
              <w:t>负偏离并且有佐证材料予以支持</w:t>
            </w:r>
          </w:p>
        </w:tc>
      </w:tr>
      <w:tr w14:paraId="296C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0BDD9055">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c>
          <w:tcPr>
            <w:tcW w:w="2126" w:type="dxa"/>
            <w:vAlign w:val="center"/>
          </w:tcPr>
          <w:p w14:paraId="539BD918">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商务要求</w:t>
            </w:r>
          </w:p>
        </w:tc>
        <w:tc>
          <w:tcPr>
            <w:tcW w:w="6846" w:type="dxa"/>
            <w:vAlign w:val="center"/>
          </w:tcPr>
          <w:p w14:paraId="02143A4A">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中的商务要求条款，没有任何一项负偏离</w:t>
            </w:r>
          </w:p>
        </w:tc>
      </w:tr>
      <w:tr w14:paraId="73CF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1590D561">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c>
          <w:tcPr>
            <w:tcW w:w="2126" w:type="dxa"/>
            <w:vAlign w:val="center"/>
          </w:tcPr>
          <w:p w14:paraId="325C699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rPr>
              <w:t>有效期</w:t>
            </w:r>
          </w:p>
        </w:tc>
        <w:tc>
          <w:tcPr>
            <w:tcW w:w="6846" w:type="dxa"/>
            <w:vAlign w:val="center"/>
          </w:tcPr>
          <w:p w14:paraId="09EBB20A">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要求</w:t>
            </w:r>
          </w:p>
        </w:tc>
      </w:tr>
      <w:tr w14:paraId="26B9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53E1120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7</w:t>
            </w:r>
          </w:p>
        </w:tc>
        <w:tc>
          <w:tcPr>
            <w:tcW w:w="2126" w:type="dxa"/>
            <w:vAlign w:val="center"/>
          </w:tcPr>
          <w:p w14:paraId="556D3D7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串通投标</w:t>
            </w:r>
          </w:p>
        </w:tc>
        <w:tc>
          <w:tcPr>
            <w:tcW w:w="6846" w:type="dxa"/>
            <w:vAlign w:val="center"/>
          </w:tcPr>
          <w:p w14:paraId="5D255246">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没有</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第</w:t>
            </w:r>
            <w:r>
              <w:rPr>
                <w:rFonts w:hint="eastAsia" w:ascii="仿宋" w:hAnsi="仿宋" w:eastAsia="仿宋" w:cs="仿宋"/>
                <w:color w:val="auto"/>
                <w:kern w:val="0"/>
                <w:sz w:val="21"/>
                <w:szCs w:val="21"/>
                <w:highlight w:val="none"/>
                <w:lang w:val="en-US" w:eastAsia="zh-CN"/>
              </w:rPr>
              <w:t>二章 询价须知“六</w:t>
            </w:r>
            <w:r>
              <w:rPr>
                <w:rFonts w:hint="eastAsia" w:ascii="仿宋" w:hAnsi="仿宋" w:eastAsia="仿宋" w:cs="仿宋"/>
                <w:color w:val="auto"/>
                <w:kern w:val="0"/>
                <w:sz w:val="21"/>
                <w:szCs w:val="21"/>
                <w:highlight w:val="none"/>
                <w:lang w:val="zh-CN" w:eastAsia="zh-CN"/>
              </w:rPr>
              <w:t>、诚实信用</w:t>
            </w:r>
            <w:r>
              <w:rPr>
                <w:rFonts w:hint="eastAsia" w:ascii="仿宋" w:hAnsi="仿宋" w:eastAsia="仿宋" w:cs="仿宋"/>
                <w:color w:val="auto"/>
                <w:kern w:val="0"/>
                <w:sz w:val="21"/>
                <w:szCs w:val="21"/>
                <w:highlight w:val="none"/>
                <w:lang w:val="en-US" w:eastAsia="zh-CN"/>
              </w:rPr>
              <w:t>”第1条</w:t>
            </w:r>
            <w:r>
              <w:rPr>
                <w:rFonts w:hint="eastAsia" w:ascii="仿宋" w:hAnsi="仿宋" w:eastAsia="仿宋" w:cs="仿宋"/>
                <w:color w:val="auto"/>
                <w:kern w:val="0"/>
                <w:sz w:val="21"/>
                <w:szCs w:val="21"/>
                <w:highlight w:val="none"/>
              </w:rPr>
              <w:t>的供应商串通投标情形</w:t>
            </w:r>
          </w:p>
        </w:tc>
      </w:tr>
      <w:tr w14:paraId="2524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3E30BAE1">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p>
        </w:tc>
        <w:tc>
          <w:tcPr>
            <w:tcW w:w="2126" w:type="dxa"/>
            <w:vAlign w:val="center"/>
          </w:tcPr>
          <w:p w14:paraId="75C02DA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附加条件</w:t>
            </w:r>
          </w:p>
        </w:tc>
        <w:tc>
          <w:tcPr>
            <w:tcW w:w="6846" w:type="dxa"/>
            <w:vAlign w:val="center"/>
          </w:tcPr>
          <w:p w14:paraId="51A4DEDC">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响应文件没有采购人不能接受的附加条件</w:t>
            </w:r>
          </w:p>
        </w:tc>
      </w:tr>
      <w:tr w14:paraId="70D5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Align w:val="center"/>
          </w:tcPr>
          <w:p w14:paraId="3363195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9</w:t>
            </w:r>
          </w:p>
        </w:tc>
        <w:tc>
          <w:tcPr>
            <w:tcW w:w="2126" w:type="dxa"/>
            <w:vAlign w:val="center"/>
          </w:tcPr>
          <w:p w14:paraId="1352A78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其他无效情形</w:t>
            </w:r>
          </w:p>
        </w:tc>
        <w:tc>
          <w:tcPr>
            <w:tcW w:w="6846" w:type="dxa"/>
            <w:vAlign w:val="center"/>
          </w:tcPr>
          <w:p w14:paraId="0523E98B">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响应文件没有法律、法规和</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规定的其他无效情形</w:t>
            </w:r>
          </w:p>
        </w:tc>
      </w:tr>
    </w:tbl>
    <w:p w14:paraId="159D130A">
      <w:pPr>
        <w:pStyle w:val="4"/>
        <w:pageBreakBefore w:val="0"/>
        <w:widowControl w:val="0"/>
        <w:kinsoku/>
        <w:wordWrap/>
        <w:overflowPunct/>
        <w:topLinePunct w:val="0"/>
        <w:autoSpaceDE/>
        <w:autoSpaceDN/>
        <w:bidi w:val="0"/>
        <w:adjustRightInd/>
        <w:snapToGrid w:val="0"/>
        <w:spacing w:before="0" w:after="0" w:line="360" w:lineRule="auto"/>
        <w:ind w:left="420" w:leftChars="200"/>
        <w:jc w:val="both"/>
        <w:textAlignment w:val="auto"/>
        <w:rPr>
          <w:rFonts w:hint="eastAsia" w:ascii="仿宋" w:hAnsi="仿宋" w:eastAsia="仿宋" w:cs="仿宋"/>
          <w:color w:val="auto"/>
          <w:kern w:val="0"/>
          <w:sz w:val="21"/>
          <w:szCs w:val="21"/>
          <w:highlight w:val="none"/>
        </w:rPr>
      </w:pPr>
      <w:bookmarkStart w:id="6" w:name="_Toc14631"/>
      <w:r>
        <w:rPr>
          <w:rFonts w:hint="eastAsia" w:ascii="仿宋" w:hAnsi="仿宋" w:eastAsia="仿宋" w:cs="仿宋"/>
          <w:color w:val="auto"/>
          <w:kern w:val="0"/>
          <w:sz w:val="21"/>
          <w:szCs w:val="21"/>
          <w:highlight w:val="none"/>
        </w:rPr>
        <w:t>三、</w:t>
      </w:r>
      <w:bookmarkStart w:id="7" w:name="_Hlk116635605"/>
      <w:r>
        <w:rPr>
          <w:rFonts w:hint="eastAsia" w:ascii="仿宋" w:hAnsi="仿宋" w:eastAsia="仿宋" w:cs="仿宋"/>
          <w:color w:val="auto"/>
          <w:kern w:val="0"/>
          <w:sz w:val="21"/>
          <w:szCs w:val="21"/>
          <w:highlight w:val="none"/>
          <w:lang w:val="en-US" w:eastAsia="zh-CN"/>
        </w:rPr>
        <w:t>详细评审</w:t>
      </w:r>
      <w:r>
        <w:rPr>
          <w:rFonts w:hint="eastAsia" w:ascii="仿宋" w:hAnsi="仿宋" w:eastAsia="仿宋" w:cs="仿宋"/>
          <w:color w:val="auto"/>
          <w:kern w:val="0"/>
          <w:sz w:val="21"/>
          <w:szCs w:val="21"/>
          <w:highlight w:val="none"/>
        </w:rPr>
        <w:t>标准</w:t>
      </w:r>
      <w:bookmarkEnd w:id="6"/>
      <w:bookmarkEnd w:id="7"/>
    </w:p>
    <w:p w14:paraId="436BF48B">
      <w:pPr>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根据质量和服务均能满足采购文件实质性响应要求且最后报价折扣比例最低的原则确定1名成交供应商和1名备选供应商。</w:t>
      </w:r>
      <w:r>
        <w:rPr>
          <w:rFonts w:hint="eastAsia" w:ascii="仿宋" w:hAnsi="仿宋" w:eastAsia="仿宋" w:cs="仿宋"/>
          <w:color w:val="000000"/>
          <w:sz w:val="21"/>
          <w:szCs w:val="21"/>
          <w:highlight w:val="none"/>
          <w:lang w:val="en-US" w:eastAsia="zh-CN"/>
        </w:rPr>
        <w:t>如出现报价相同，将由询价小组抽签决定排序。</w:t>
      </w:r>
    </w:p>
    <w:p w14:paraId="5110072F">
      <w:pPr>
        <w:pStyle w:val="3"/>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6"/>
          <w:szCs w:val="36"/>
          <w:highlight w:val="none"/>
        </w:rPr>
      </w:pPr>
      <w:bookmarkStart w:id="8" w:name="_Toc11486"/>
      <w:r>
        <w:rPr>
          <w:rFonts w:hint="eastAsia" w:ascii="仿宋" w:hAnsi="仿宋" w:eastAsia="仿宋" w:cs="仿宋"/>
          <w:b/>
          <w:bCs/>
          <w:sz w:val="21"/>
          <w:szCs w:val="21"/>
          <w:highlight w:val="none"/>
          <w:lang w:val="en-US" w:eastAsia="zh-CN"/>
        </w:rPr>
        <w:br w:type="column"/>
      </w:r>
      <w:r>
        <w:rPr>
          <w:rFonts w:hint="eastAsia" w:ascii="仿宋" w:hAnsi="仿宋" w:eastAsia="仿宋" w:cs="仿宋"/>
          <w:b/>
          <w:bCs/>
          <w:sz w:val="36"/>
          <w:szCs w:val="36"/>
          <w:highlight w:val="none"/>
          <w:lang w:val="en-US" w:eastAsia="zh-CN"/>
        </w:rPr>
        <w:t xml:space="preserve">第四章 </w:t>
      </w:r>
      <w:r>
        <w:rPr>
          <w:rFonts w:hint="eastAsia" w:ascii="仿宋" w:hAnsi="仿宋" w:eastAsia="仿宋" w:cs="仿宋"/>
          <w:b/>
          <w:bCs/>
          <w:sz w:val="36"/>
          <w:szCs w:val="36"/>
          <w:highlight w:val="none"/>
        </w:rPr>
        <w:t>合同条款及格式</w:t>
      </w:r>
      <w:bookmarkEnd w:id="8"/>
    </w:p>
    <w:p w14:paraId="5409D9A8">
      <w:pPr>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eastAsia" w:ascii="仿宋" w:hAnsi="仿宋" w:eastAsia="仿宋" w:cs="仿宋"/>
          <w:b/>
          <w:sz w:val="21"/>
          <w:szCs w:val="21"/>
          <w:highlight w:val="none"/>
        </w:rPr>
      </w:pPr>
      <w:r>
        <w:rPr>
          <w:rFonts w:hint="eastAsia" w:ascii="仿宋" w:hAnsi="仿宋" w:eastAsia="仿宋" w:cs="仿宋"/>
          <w:b/>
          <w:sz w:val="21"/>
          <w:szCs w:val="21"/>
          <w:highlight w:val="none"/>
        </w:rPr>
        <w:t>以下为成交后签定本项目合同的通用条款，成交供应商不得提出实质性的修改，关于专用条款将由采购人与成交供应商结合本项目具体情况协商后签订。</w:t>
      </w:r>
    </w:p>
    <w:p w14:paraId="0F49D451">
      <w:pPr>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bCs/>
          <w:sz w:val="30"/>
          <w:szCs w:val="30"/>
          <w:highlight w:val="none"/>
        </w:rPr>
      </w:pPr>
      <w:bookmarkStart w:id="9" w:name="_Hlt16619369"/>
      <w:bookmarkEnd w:id="9"/>
      <w:r>
        <w:rPr>
          <w:rFonts w:hint="eastAsia" w:ascii="仿宋" w:hAnsi="仿宋" w:eastAsia="仿宋" w:cs="仿宋"/>
          <w:b/>
          <w:sz w:val="30"/>
          <w:szCs w:val="30"/>
          <w:highlight w:val="none"/>
        </w:rPr>
        <w:t>采购合同</w:t>
      </w:r>
    </w:p>
    <w:p w14:paraId="4D1B8C77">
      <w:pPr>
        <w:pStyle w:val="9"/>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项目名称：                                       </w:t>
      </w:r>
    </w:p>
    <w:p w14:paraId="16DFAD87">
      <w:pPr>
        <w:pStyle w:val="9"/>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项目编号：</w:t>
      </w:r>
    </w:p>
    <w:p w14:paraId="7107860B">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甲方（采购人）： 江苏省镇江监狱</w:t>
      </w:r>
    </w:p>
    <w:p w14:paraId="2328685B">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乙方（</w:t>
      </w:r>
      <w:r>
        <w:rPr>
          <w:rFonts w:hint="eastAsia" w:ascii="仿宋" w:hAnsi="仿宋" w:eastAsia="仿宋" w:cs="仿宋"/>
          <w:sz w:val="21"/>
          <w:szCs w:val="21"/>
          <w:highlight w:val="none"/>
          <w:lang w:val="en-US" w:eastAsia="zh-CN"/>
        </w:rPr>
        <w:t>成交</w:t>
      </w:r>
      <w:r>
        <w:rPr>
          <w:rFonts w:hint="eastAsia" w:ascii="仿宋" w:hAnsi="仿宋" w:eastAsia="仿宋" w:cs="仿宋"/>
          <w:sz w:val="21"/>
          <w:szCs w:val="21"/>
          <w:highlight w:val="none"/>
        </w:rPr>
        <w:t>人）：</w:t>
      </w:r>
    </w:p>
    <w:p w14:paraId="3382F2ED">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根据江苏省镇江监狱</w:t>
      </w:r>
      <w:r>
        <w:rPr>
          <w:rFonts w:hint="eastAsia" w:ascii="仿宋" w:hAnsi="仿宋" w:eastAsia="仿宋" w:cs="仿宋"/>
          <w:sz w:val="21"/>
          <w:szCs w:val="21"/>
          <w:highlight w:val="none"/>
          <w:u w:val="single"/>
        </w:rPr>
        <w:t xml:space="preserve">             （项目编号：         ）</w:t>
      </w:r>
      <w:r>
        <w:rPr>
          <w:rFonts w:hint="eastAsia" w:ascii="仿宋" w:hAnsi="仿宋" w:eastAsia="仿宋" w:cs="仿宋"/>
          <w:sz w:val="21"/>
          <w:szCs w:val="21"/>
          <w:highlight w:val="none"/>
        </w:rPr>
        <w:t>项目询价结果，现就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买卖，经双方协商，达成如下协议，为明确双方的权利、义务，特签订本合同，以共同遵守执行：</w:t>
      </w:r>
    </w:p>
    <w:p w14:paraId="432D4A68">
      <w:pPr>
        <w:keepLines w:val="0"/>
        <w:pageBreakBefore w:val="0"/>
        <w:widowControl w:val="0"/>
        <w:kinsoku/>
        <w:wordWrap/>
        <w:overflowPunct/>
        <w:topLinePunct w:val="0"/>
        <w:autoSpaceDE/>
        <w:autoSpaceDN/>
        <w:bidi w:val="0"/>
        <w:adjustRightInd/>
        <w:snapToGrid w:val="0"/>
        <w:spacing w:line="360" w:lineRule="auto"/>
        <w:ind w:firstLine="482"/>
        <w:textAlignment w:val="auto"/>
        <w:outlineLvl w:val="9"/>
        <w:rPr>
          <w:rFonts w:hint="eastAsia" w:ascii="仿宋" w:hAnsi="仿宋" w:eastAsia="仿宋" w:cs="仿宋"/>
          <w:b/>
          <w:sz w:val="21"/>
          <w:szCs w:val="21"/>
          <w:highlight w:val="none"/>
          <w:u w:val="single"/>
        </w:rPr>
      </w:pPr>
      <w:r>
        <w:rPr>
          <w:rFonts w:hint="eastAsia" w:ascii="仿宋" w:hAnsi="仿宋" w:eastAsia="仿宋" w:cs="仿宋"/>
          <w:b/>
          <w:sz w:val="21"/>
          <w:szCs w:val="21"/>
          <w:highlight w:val="none"/>
        </w:rPr>
        <w:t>一、采购内容：</w:t>
      </w:r>
      <w:r>
        <w:rPr>
          <w:rFonts w:hint="eastAsia" w:ascii="仿宋" w:hAnsi="仿宋" w:eastAsia="仿宋" w:cs="仿宋"/>
          <w:b/>
          <w:sz w:val="21"/>
          <w:szCs w:val="21"/>
          <w:highlight w:val="none"/>
          <w:u w:val="single"/>
        </w:rPr>
        <w:t xml:space="preserve">                </w:t>
      </w:r>
    </w:p>
    <w:p w14:paraId="3ABA201D">
      <w:pPr>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甲方向乙方采购具体内容以甲方确认的采购清单为准。</w:t>
      </w:r>
    </w:p>
    <w:p w14:paraId="49451591">
      <w:pPr>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rPr>
        <w:t>甲方向乙方提供第二天菜单，乙方须按甲方时间要求送达。</w:t>
      </w:r>
    </w:p>
    <w:p w14:paraId="78F9D2B3">
      <w:pPr>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下列文件为本合同不可分割部分：</w:t>
      </w:r>
    </w:p>
    <w:p w14:paraId="38A0678B">
      <w:pPr>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（1）成交通知书；</w:t>
      </w:r>
    </w:p>
    <w:p w14:paraId="3E1E65E3">
      <w:pPr>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（2）采购文件及其补充文件（如有）；  </w:t>
      </w:r>
    </w:p>
    <w:p w14:paraId="3E90953E">
      <w:pPr>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（3）乙方成交的</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w:t>
      </w:r>
    </w:p>
    <w:p w14:paraId="4072BE8E">
      <w:pPr>
        <w:keepLines w:val="0"/>
        <w:pageBreakBefore w:val="0"/>
        <w:widowControl w:val="0"/>
        <w:kinsoku/>
        <w:wordWrap/>
        <w:overflowPunct/>
        <w:topLinePunct w:val="0"/>
        <w:autoSpaceDE/>
        <w:autoSpaceDN/>
        <w:bidi w:val="0"/>
        <w:adjustRightInd/>
        <w:snapToGrid w:val="0"/>
        <w:spacing w:line="360" w:lineRule="auto"/>
        <w:ind w:firstLine="48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rPr>
        <w:t>（4）乙方在</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中所作的其它承诺、声明、书面澄清等。</w:t>
      </w:r>
    </w:p>
    <w:p w14:paraId="14784806">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3.</w:t>
      </w:r>
      <w:r>
        <w:rPr>
          <w:rFonts w:hint="eastAsia" w:ascii="仿宋" w:hAnsi="仿宋" w:eastAsia="仿宋" w:cs="仿宋"/>
          <w:sz w:val="21"/>
          <w:szCs w:val="21"/>
          <w:highlight w:val="none"/>
        </w:rPr>
        <w:t>价格与支付：</w:t>
      </w:r>
    </w:p>
    <w:p w14:paraId="427F09D7">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（1）本项目采用固定折扣率合同，</w:t>
      </w:r>
      <w:r>
        <w:rPr>
          <w:rFonts w:hint="eastAsia" w:ascii="仿宋" w:hAnsi="仿宋" w:eastAsia="仿宋" w:cs="仿宋"/>
          <w:color w:val="000000"/>
          <w:kern w:val="0"/>
          <w:sz w:val="21"/>
          <w:szCs w:val="21"/>
          <w:highlight w:val="none"/>
        </w:rPr>
        <w:t>报价折扣比例为</w:t>
      </w:r>
      <w:r>
        <w:rPr>
          <w:rFonts w:hint="eastAsia" w:ascii="仿宋" w:hAnsi="仿宋" w:eastAsia="仿宋" w:cs="仿宋"/>
          <w:color w:val="000000"/>
          <w:kern w:val="0"/>
          <w:sz w:val="21"/>
          <w:szCs w:val="21"/>
          <w:highlight w:val="none"/>
          <w:u w:val="single"/>
        </w:rPr>
        <w:t xml:space="preserve">    </w:t>
      </w:r>
      <w:r>
        <w:rPr>
          <w:rFonts w:hint="eastAsia" w:ascii="仿宋" w:hAnsi="仿宋" w:eastAsia="仿宋" w:cs="仿宋"/>
          <w:color w:val="000000"/>
          <w:kern w:val="0"/>
          <w:sz w:val="21"/>
          <w:szCs w:val="21"/>
          <w:highlight w:val="none"/>
        </w:rPr>
        <w:t>%。</w:t>
      </w:r>
    </w:p>
    <w:p w14:paraId="2E2769E6">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仿宋" w:hAnsi="仿宋" w:eastAsia="仿宋" w:cs="仿宋"/>
          <w:highlight w:val="none"/>
        </w:rPr>
      </w:pPr>
      <w:r>
        <w:rPr>
          <w:rFonts w:hint="eastAsia" w:ascii="仿宋" w:hAnsi="仿宋" w:eastAsia="仿宋" w:cs="仿宋"/>
          <w:sz w:val="21"/>
          <w:szCs w:val="21"/>
          <w:highlight w:val="none"/>
          <w:lang w:val="en-US" w:eastAsia="zh-CN"/>
        </w:rPr>
        <w:t>本项目</w:t>
      </w:r>
      <w:r>
        <w:rPr>
          <w:rFonts w:hint="eastAsia" w:ascii="仿宋" w:hAnsi="仿宋" w:eastAsia="仿宋" w:cs="仿宋"/>
          <w:highlight w:val="none"/>
          <w:lang w:val="en-US" w:eastAsia="zh-CN"/>
        </w:rPr>
        <w:t>按</w:t>
      </w:r>
      <w:r>
        <w:rPr>
          <w:rFonts w:hint="eastAsia" w:ascii="仿宋" w:hAnsi="仿宋" w:eastAsia="仿宋" w:cs="仿宋"/>
          <w:highlight w:val="none"/>
        </w:rPr>
        <w:t>实际发生数量</w:t>
      </w:r>
      <w:r>
        <w:rPr>
          <w:rFonts w:hint="eastAsia" w:ascii="仿宋" w:hAnsi="仿宋" w:eastAsia="仿宋" w:cs="仿宋"/>
          <w:highlight w:val="none"/>
          <w:lang w:val="en-US" w:eastAsia="zh-CN"/>
        </w:rPr>
        <w:t>进行</w:t>
      </w:r>
      <w:r>
        <w:rPr>
          <w:rFonts w:hint="eastAsia" w:ascii="仿宋" w:hAnsi="仿宋" w:eastAsia="仿宋" w:cs="仿宋"/>
          <w:highlight w:val="none"/>
        </w:rPr>
        <w:t>结算</w:t>
      </w:r>
      <w:r>
        <w:rPr>
          <w:rFonts w:hint="eastAsia" w:ascii="仿宋" w:hAnsi="仿宋" w:eastAsia="仿宋" w:cs="仿宋"/>
          <w:highlight w:val="none"/>
          <w:lang w:val="en-US" w:eastAsia="zh-CN"/>
        </w:rPr>
        <w:t>。</w:t>
      </w:r>
      <w:r>
        <w:rPr>
          <w:rFonts w:hint="eastAsia" w:ascii="仿宋" w:hAnsi="仿宋" w:eastAsia="仿宋" w:cs="仿宋"/>
          <w:highlight w:val="none"/>
        </w:rPr>
        <w:t>结算价=Σ实际数量×基准价×</w:t>
      </w:r>
      <w:r>
        <w:rPr>
          <w:rFonts w:hint="eastAsia" w:ascii="仿宋" w:hAnsi="仿宋" w:eastAsia="仿宋" w:cs="仿宋"/>
          <w:highlight w:val="none"/>
          <w:lang w:val="en-US" w:eastAsia="zh-CN"/>
        </w:rPr>
        <w:t>成交</w:t>
      </w:r>
      <w:r>
        <w:rPr>
          <w:rFonts w:hint="eastAsia" w:ascii="仿宋" w:hAnsi="仿宋" w:eastAsia="仿宋" w:cs="仿宋"/>
          <w:sz w:val="21"/>
          <w:szCs w:val="21"/>
          <w:highlight w:val="none"/>
          <w:lang w:val="en-US" w:eastAsia="zh-CN"/>
        </w:rPr>
        <w:t>折扣比例</w:t>
      </w:r>
      <w:r>
        <w:rPr>
          <w:rFonts w:hint="eastAsia" w:ascii="仿宋" w:hAnsi="仿宋" w:eastAsia="仿宋" w:cs="仿宋"/>
          <w:highlight w:val="none"/>
        </w:rPr>
        <w:t>，其中基准价为“送货当月凌家塘（http://www.ljt.cn/）公示的价格行情各品种中间价平均数”，即当月公示的所有中间价相加除以公示的天数</w:t>
      </w:r>
      <w:r>
        <w:rPr>
          <w:rFonts w:hint="eastAsia" w:ascii="仿宋" w:hAnsi="仿宋" w:eastAsia="仿宋" w:cs="仿宋"/>
          <w:highlight w:val="none"/>
          <w:lang w:eastAsia="zh-CN"/>
        </w:rPr>
        <w:t>；</w:t>
      </w:r>
      <w:r>
        <w:rPr>
          <w:rFonts w:hint="eastAsia" w:ascii="仿宋" w:hAnsi="仿宋" w:eastAsia="仿宋" w:cs="仿宋"/>
          <w:highlight w:val="none"/>
        </w:rPr>
        <w:t>如果出现凌家塘没有公示的品种，则以南京农副产品物流中心（http://www.njnfwl.com/）公示的平均价进行计算。如采购计划中出现清单目录之外品种，基准价</w:t>
      </w:r>
      <w:r>
        <w:rPr>
          <w:rFonts w:hint="eastAsia" w:ascii="仿宋" w:hAnsi="仿宋" w:eastAsia="仿宋" w:cs="仿宋"/>
          <w:highlight w:val="none"/>
          <w:lang w:val="en-US" w:eastAsia="zh-CN"/>
        </w:rPr>
        <w:t>仍按以上次序（</w:t>
      </w:r>
      <w:r>
        <w:rPr>
          <w:rFonts w:hint="eastAsia" w:ascii="仿宋" w:hAnsi="仿宋" w:eastAsia="仿宋" w:cs="仿宋"/>
          <w:highlight w:val="none"/>
        </w:rPr>
        <w:t>凌家塘→南京农副产品物流中心</w:t>
      </w:r>
      <w:r>
        <w:rPr>
          <w:rFonts w:hint="eastAsia" w:ascii="仿宋" w:hAnsi="仿宋" w:eastAsia="仿宋" w:cs="仿宋"/>
          <w:highlight w:val="none"/>
          <w:lang w:val="en-US" w:eastAsia="zh-CN"/>
        </w:rPr>
        <w:t>）计算（</w:t>
      </w:r>
      <w:r>
        <w:rPr>
          <w:rFonts w:hint="eastAsia" w:ascii="仿宋" w:hAnsi="仿宋" w:eastAsia="仿宋" w:cs="仿宋"/>
          <w:highlight w:val="none"/>
        </w:rPr>
        <w:t>成交折扣</w:t>
      </w:r>
      <w:r>
        <w:rPr>
          <w:rFonts w:hint="eastAsia" w:ascii="仿宋" w:hAnsi="仿宋" w:eastAsia="仿宋" w:cs="仿宋"/>
          <w:highlight w:val="none"/>
          <w:lang w:val="en-US" w:eastAsia="zh-CN"/>
        </w:rPr>
        <w:t>比例不变）</w:t>
      </w:r>
      <w:r>
        <w:rPr>
          <w:rFonts w:hint="eastAsia" w:ascii="仿宋" w:hAnsi="仿宋" w:eastAsia="仿宋" w:cs="仿宋"/>
          <w:highlight w:val="none"/>
        </w:rPr>
        <w:t>。</w:t>
      </w:r>
    </w:p>
    <w:p w14:paraId="476A44CA">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（2）付款步骤：甲方根据当月实际配送种类、数量及价格结算货款，货款每月结算一次。</w:t>
      </w:r>
    </w:p>
    <w:p w14:paraId="0E8A0583">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4.</w:t>
      </w:r>
      <w:r>
        <w:rPr>
          <w:rFonts w:hint="eastAsia" w:ascii="仿宋" w:hAnsi="仿宋" w:eastAsia="仿宋" w:cs="仿宋"/>
          <w:sz w:val="21"/>
          <w:szCs w:val="21"/>
          <w:highlight w:val="none"/>
        </w:rPr>
        <w:t>付款方式：乙方需向甲方提供国家正式税务发票，甲方以转账方式将货款转入乙方指定的</w:t>
      </w:r>
      <w:r>
        <w:rPr>
          <w:rFonts w:hint="eastAsia" w:ascii="仿宋" w:hAnsi="仿宋" w:eastAsia="仿宋" w:cs="仿宋"/>
          <w:sz w:val="21"/>
          <w:szCs w:val="21"/>
          <w:highlight w:val="none"/>
          <w:lang w:eastAsia="zh-CN"/>
        </w:rPr>
        <w:t>账</w:t>
      </w:r>
      <w:r>
        <w:rPr>
          <w:rFonts w:hint="eastAsia" w:ascii="仿宋" w:hAnsi="仿宋" w:eastAsia="仿宋" w:cs="仿宋"/>
          <w:sz w:val="21"/>
          <w:szCs w:val="21"/>
          <w:highlight w:val="none"/>
        </w:rPr>
        <w:t>户。</w:t>
      </w:r>
    </w:p>
    <w:p w14:paraId="21E575A4">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5.</w:t>
      </w:r>
      <w:r>
        <w:rPr>
          <w:rFonts w:hint="eastAsia" w:ascii="仿宋" w:hAnsi="仿宋" w:eastAsia="仿宋" w:cs="仿宋"/>
          <w:sz w:val="21"/>
          <w:szCs w:val="21"/>
          <w:highlight w:val="none"/>
        </w:rPr>
        <w:t>服务期限：</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66F9BFE8">
      <w:pPr>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二、质量和数量要求：</w:t>
      </w:r>
    </w:p>
    <w:p w14:paraId="4B4B10F6">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rPr>
        <w:t>质量要求：乙方须保证配送的物资符合《中华人民共和国食品安全法》、《餐饮业和集体用餐配送单位卫生规范》等相关产品国家标准，特殊物品应符合行业内通用标准。所供食品均符合《国家食品卫生标准》、《食品卫生法》等相关规定。乙方需保证所供物资卫生安全，须无毒、无害，具有相应的色、香、味等感官性状。蔬菜类应保持较好的色泽和新鲜度，不得有黄叶、腐烂、泥沙等现象，属于无公害蔬菜；严禁配送假冒、变质、过期的产品，不得弄虚作假或以次充好，对于不符合质量要求的物品甲方有权要求乙方及时退货或换货，乙方必须无条件退换。</w:t>
      </w:r>
    </w:p>
    <w:p w14:paraId="386206E2">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若因乙方所配送食品等物资造成甲方人员食物中毒或其它不良后果的，经相关部门确认后，所产生的一切法律和经济责任全部由乙方承担。</w:t>
      </w:r>
    </w:p>
    <w:p w14:paraId="42C93159">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数量要求：乙方须保证所供货物品种和数量、重量的准确性；以甲方的验货数量为准，乙方每次随货附一式三份盖章的送货清单，供甲方验货后签字确认，甲方执两份，乙方执一份，作为送、收货的凭证。对于出现质量、数量不符合要求等现象，甲方有权要求乙方及时退换，并按合同约定要求乙方支付违约金，乙方必须无条件退换，以保证餐食正常供应。</w:t>
      </w:r>
    </w:p>
    <w:p w14:paraId="0545B468">
      <w:pPr>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三、价格确认</w:t>
      </w:r>
    </w:p>
    <w:p w14:paraId="236C796C">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确认好的价格任何一方不得随意更改。在价格表上没出现而临时定价的特殊品种，如甲方有异议，需双方协商后予以最后确认。乙方结算货款时，双方严格按确认后的价格予以结算。</w:t>
      </w:r>
    </w:p>
    <w:p w14:paraId="7E963461">
      <w:pPr>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四、送货时间</w:t>
      </w:r>
    </w:p>
    <w:p w14:paraId="117A18FC">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每周4次，乙方须保证每天规定时间之前将甲方所订的货物送至甲方所在地或其他指定位置；乙方如送货迟到超过半小时，甲方可扣乙方当天总货款的10%做为违约金。因迟到时间长而造成甲方无法正常供餐的，甲方有权追究乙方相关经济、法律责任。 </w:t>
      </w:r>
    </w:p>
    <w:p w14:paraId="41BC173D">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bCs/>
          <w:sz w:val="21"/>
          <w:szCs w:val="21"/>
          <w:highlight w:val="none"/>
        </w:rPr>
      </w:pPr>
      <w:r>
        <w:rPr>
          <w:rFonts w:hint="eastAsia" w:ascii="仿宋" w:hAnsi="仿宋" w:eastAsia="仿宋" w:cs="仿宋"/>
          <w:sz w:val="21"/>
          <w:szCs w:val="21"/>
          <w:highlight w:val="none"/>
        </w:rPr>
        <w:t>乙方须严格按照甲方确认的采购清单进行配送，如有缺货须在收到采购单2个小时内通知甲方。极个别产品因质量太差或没有货源时，乙方须及时反馈到甲方并协商调整，保证所需货物准时到达。</w:t>
      </w:r>
    </w:p>
    <w:p w14:paraId="6F21A429">
      <w:pPr>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五、验收及其他要求</w:t>
      </w:r>
    </w:p>
    <w:p w14:paraId="6EFF4433">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rPr>
        <w:t>若乙方不能按甲方要求（质量、数量、送货、价格等方面）按质按量准时配送物资商品，则甲方有权解除合同，并不给予乙方任何赔偿。</w:t>
      </w:r>
    </w:p>
    <w:p w14:paraId="3C975EB2">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若乙方所提供的货品虽经甲方验收入库，但在使用过程中发现有质量问题的，乙方必须及时给予退换货品。</w:t>
      </w:r>
    </w:p>
    <w:p w14:paraId="5CD191BA">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3.</w:t>
      </w:r>
      <w:r>
        <w:rPr>
          <w:rFonts w:hint="eastAsia" w:ascii="仿宋" w:hAnsi="仿宋" w:eastAsia="仿宋" w:cs="仿宋"/>
          <w:sz w:val="21"/>
          <w:szCs w:val="21"/>
          <w:highlight w:val="none"/>
        </w:rPr>
        <w:t>乙方应按照甲方的要求，建立完整的各类物品追踪溯源体系，应当建立专门台账，按食品进货索证和台账登记本格式如实记录配送给甲方的各类物品，留存相关检验合格证明、资质证明、营业执照等有效资料，并可追踪溯源，甲方有权定期检查。</w:t>
      </w:r>
    </w:p>
    <w:p w14:paraId="0D0C5F48">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4.</w:t>
      </w:r>
      <w:r>
        <w:rPr>
          <w:rFonts w:hint="eastAsia" w:ascii="仿宋" w:hAnsi="仿宋" w:eastAsia="仿宋" w:cs="仿宋"/>
          <w:sz w:val="21"/>
          <w:szCs w:val="21"/>
          <w:highlight w:val="none"/>
        </w:rPr>
        <w:t>乙方须按甲方要求提供各类货物清晰准确的原产地以及检测检疫报告。</w:t>
      </w:r>
    </w:p>
    <w:p w14:paraId="44ACABC7">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bCs/>
          <w:sz w:val="21"/>
          <w:szCs w:val="21"/>
          <w:highlight w:val="none"/>
        </w:rPr>
      </w:pPr>
      <w:r>
        <w:rPr>
          <w:rFonts w:hint="eastAsia" w:ascii="仿宋" w:hAnsi="仿宋" w:eastAsia="仿宋" w:cs="仿宋"/>
          <w:sz w:val="21"/>
          <w:szCs w:val="21"/>
          <w:highlight w:val="none"/>
          <w:lang w:eastAsia="zh-CN"/>
        </w:rPr>
        <w:t>5.</w:t>
      </w:r>
      <w:r>
        <w:rPr>
          <w:rFonts w:hint="eastAsia" w:ascii="仿宋" w:hAnsi="仿宋" w:eastAsia="仿宋" w:cs="仿宋"/>
          <w:b/>
          <w:bCs/>
          <w:sz w:val="21"/>
          <w:szCs w:val="21"/>
          <w:highlight w:val="none"/>
        </w:rPr>
        <w:t>乙方按要求送达的食品（包括肉类、水产类、蔬菜类、粮食类、其他食用品），须配合甲方食品安全检测人员对所送物品按国家有关标准进行检测。若检测不合格，甲方予以书面警告，对该批货物予以退货或当场销毁，同时乙方需及时补货，甲方不需支付该批货物的货款；书面警告后若再次出现同类情况，甲方有权解除合同。</w:t>
      </w:r>
    </w:p>
    <w:p w14:paraId="1745912C">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6.</w:t>
      </w:r>
      <w:r>
        <w:rPr>
          <w:rFonts w:hint="eastAsia" w:ascii="仿宋" w:hAnsi="仿宋" w:eastAsia="仿宋" w:cs="仿宋"/>
          <w:sz w:val="21"/>
          <w:szCs w:val="21"/>
          <w:highlight w:val="none"/>
        </w:rPr>
        <w:t>服务期内，供应商所供货物如检测后发现存在阳性病毒，供应商应根据国家法律法规和相关检验检疫要求等承担相应法律后果，并扣除当月货款，且采购人保留终止其供货资格及诉讼权利。</w:t>
      </w:r>
    </w:p>
    <w:p w14:paraId="4DA24A28">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7.乙方配送器具（送菜筐、豆腐板、水箱、油桶、鸡蛋筐等）因需要留在甲方作业场所，甲方须妥善保管并及时归还乙方；如有遗失，甲方须照价赔偿。</w:t>
      </w:r>
    </w:p>
    <w:p w14:paraId="6CB308D5">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8.乙方必须确保运输车辆和周转包装容器的清洁卫生，车辆需保持清洁，无霉斑、鼠迹、苍蝇、蟑螂等，不得存放有毒、有害物品及个人生活用品，防止食物在运输过程中受到污染。为保障甲方餐饮供应应急需要，乙方须指定一辆自有专用食堂物资配送车辆为甲方定点使用。</w:t>
      </w:r>
    </w:p>
    <w:p w14:paraId="7350F8DD">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9.乙方因配送过程中和在甲方场所进行初加工作业等出现人身安全事故，乙方独立承担一切刑事、民事责任，与甲方无关。</w:t>
      </w:r>
    </w:p>
    <w:p w14:paraId="3EAD61DD">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10.乙方须保证所有员工凭健康证上岗，同时应成立食堂配送项目专项服务小组，并报备案，负责相关工作及提供各种服务。</w:t>
      </w:r>
    </w:p>
    <w:p w14:paraId="3FE358A3">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11.乙方有下列行为之一的，甲方可直接解除合同：</w:t>
      </w:r>
    </w:p>
    <w:p w14:paraId="0B3B7269">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（1）不按采购需求、响应文件以及采购服务合同要求全面履约，履约情况评价不合格的。</w:t>
      </w:r>
    </w:p>
    <w:p w14:paraId="2A0146FF">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（2）未按规定出具检测报告或相关承诺书等资料达到二次的。</w:t>
      </w:r>
    </w:p>
    <w:p w14:paraId="0B180093">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（3）经核实配送物资不符合甲方要求达到三次的。</w:t>
      </w:r>
    </w:p>
    <w:p w14:paraId="4F969F42">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（4）物资或服务以次充好，存在严重质量问题的。</w:t>
      </w:r>
    </w:p>
    <w:p w14:paraId="0DEB82F4">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（5）因供应的货物质量达不到国家有关食品安全标准而造成食物中毒或其它后果，经公安机关或卫生防疫部门鉴定属于乙方责任的。</w:t>
      </w:r>
    </w:p>
    <w:p w14:paraId="293CD18D">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六、违约责任</w:t>
      </w:r>
    </w:p>
    <w:p w14:paraId="574D661E">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合同一方不履行合同义务或者履行合同义务不符合约定的，应当承担继续履行、采取补救措施或者赔偿损失等违约责任。</w:t>
      </w:r>
    </w:p>
    <w:p w14:paraId="58076634">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甲方违约责任</w:t>
      </w:r>
    </w:p>
    <w:p w14:paraId="32E7970E">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在合同生效后，若非乙方过错，甲方要求解除合同的，应向乙方偿付合同总价款10%的违约金，违约金不足以补偿损失的，乙方有权要求甲方补足。</w:t>
      </w:r>
    </w:p>
    <w:p w14:paraId="619F6226">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乙方违约责任</w:t>
      </w:r>
    </w:p>
    <w:p w14:paraId="20D52217">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val="en-GB"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）乙方应保证向甲方配送货物的质量方面符合国家《食品安全法》等法律法规的有关规定，如因乙方商品质量方面的原因，由此造成甲方或任何第三方人身损害和财产损失的，甲方</w:t>
      </w:r>
      <w:r>
        <w:rPr>
          <w:rFonts w:hint="eastAsia" w:ascii="仿宋" w:hAnsi="仿宋" w:eastAsia="仿宋" w:cs="仿宋"/>
          <w:sz w:val="21"/>
          <w:szCs w:val="21"/>
          <w:highlight w:val="none"/>
          <w:lang w:val="en-GB" w:eastAsia="zh-CN"/>
        </w:rPr>
        <w:t>有权</w:t>
      </w:r>
      <w:r>
        <w:rPr>
          <w:rFonts w:hint="eastAsia" w:ascii="仿宋" w:hAnsi="仿宋" w:eastAsia="仿宋" w:cs="仿宋"/>
          <w:sz w:val="21"/>
          <w:szCs w:val="21"/>
          <w:highlight w:val="none"/>
          <w:lang w:eastAsia="zh-CN"/>
        </w:rPr>
        <w:t>终止合同并</w:t>
      </w:r>
      <w:r>
        <w:rPr>
          <w:rFonts w:hint="eastAsia" w:ascii="仿宋" w:hAnsi="仿宋" w:eastAsia="仿宋" w:cs="仿宋"/>
          <w:sz w:val="21"/>
          <w:szCs w:val="21"/>
          <w:highlight w:val="none"/>
          <w:lang w:val="en-GB" w:eastAsia="zh-CN"/>
        </w:rPr>
        <w:t>向</w:t>
      </w: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lang w:val="en-GB" w:eastAsia="zh-CN"/>
        </w:rPr>
        <w:t>追究法律责任，一切损失</w:t>
      </w:r>
      <w:r>
        <w:rPr>
          <w:rFonts w:hint="eastAsia" w:ascii="仿宋" w:hAnsi="仿宋" w:eastAsia="仿宋" w:cs="仿宋"/>
          <w:sz w:val="21"/>
          <w:szCs w:val="21"/>
          <w:highlight w:val="none"/>
          <w:lang w:eastAsia="zh-CN"/>
        </w:rPr>
        <w:t>由乙方全部承担</w:t>
      </w:r>
      <w:r>
        <w:rPr>
          <w:rFonts w:hint="eastAsia" w:ascii="仿宋" w:hAnsi="仿宋" w:eastAsia="仿宋" w:cs="仿宋"/>
          <w:sz w:val="21"/>
          <w:szCs w:val="21"/>
          <w:highlight w:val="none"/>
          <w:lang w:val="en-GB" w:eastAsia="zh-CN"/>
        </w:rPr>
        <w:t>。</w:t>
      </w:r>
    </w:p>
    <w:p w14:paraId="3AEEFBE5">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）乙方保证所交货品应符合甲乙双方约定的品质标准，</w:t>
      </w:r>
      <w:r>
        <w:rPr>
          <w:rFonts w:hint="eastAsia" w:ascii="仿宋" w:hAnsi="仿宋" w:eastAsia="仿宋" w:cs="仿宋"/>
          <w:sz w:val="21"/>
          <w:szCs w:val="21"/>
          <w:highlight w:val="none"/>
          <w:lang w:val="en-GB" w:eastAsia="zh-CN"/>
        </w:rPr>
        <w:t>若</w:t>
      </w:r>
      <w:r>
        <w:rPr>
          <w:rFonts w:hint="eastAsia" w:ascii="仿宋" w:hAnsi="仿宋" w:eastAsia="仿宋" w:cs="仿宋"/>
          <w:sz w:val="21"/>
          <w:szCs w:val="21"/>
          <w:highlight w:val="none"/>
          <w:lang w:eastAsia="zh-CN"/>
        </w:rPr>
        <w:t>乙方</w:t>
      </w:r>
      <w:r>
        <w:rPr>
          <w:rFonts w:hint="eastAsia" w:ascii="仿宋" w:hAnsi="仿宋" w:eastAsia="仿宋" w:cs="仿宋"/>
          <w:sz w:val="21"/>
          <w:szCs w:val="21"/>
          <w:highlight w:val="none"/>
          <w:lang w:val="en-GB" w:eastAsia="zh-CN"/>
        </w:rPr>
        <w:t>所供货品不符合卫生规定</w:t>
      </w:r>
      <w:r>
        <w:rPr>
          <w:rFonts w:hint="eastAsia" w:ascii="仿宋" w:hAnsi="仿宋" w:eastAsia="仿宋" w:cs="仿宋"/>
          <w:sz w:val="21"/>
          <w:szCs w:val="21"/>
          <w:highlight w:val="none"/>
          <w:lang w:eastAsia="zh-CN"/>
        </w:rPr>
        <w:t>或其他质量问题</w:t>
      </w:r>
      <w:r>
        <w:rPr>
          <w:rFonts w:hint="eastAsia" w:ascii="仿宋" w:hAnsi="仿宋" w:eastAsia="仿宋" w:cs="仿宋"/>
          <w:sz w:val="21"/>
          <w:szCs w:val="21"/>
          <w:highlight w:val="none"/>
          <w:lang w:val="en-GB" w:eastAsia="zh-CN"/>
        </w:rPr>
        <w:t>的，</w:t>
      </w:r>
      <w:r>
        <w:rPr>
          <w:rFonts w:hint="eastAsia" w:ascii="仿宋" w:hAnsi="仿宋" w:eastAsia="仿宋" w:cs="仿宋"/>
          <w:sz w:val="21"/>
          <w:szCs w:val="21"/>
          <w:highlight w:val="none"/>
          <w:lang w:eastAsia="zh-CN"/>
        </w:rPr>
        <w:t>甲方</w:t>
      </w:r>
      <w:r>
        <w:rPr>
          <w:rFonts w:hint="eastAsia" w:ascii="仿宋" w:hAnsi="仿宋" w:eastAsia="仿宋" w:cs="仿宋"/>
          <w:sz w:val="21"/>
          <w:szCs w:val="21"/>
          <w:highlight w:val="none"/>
          <w:lang w:val="en-GB" w:eastAsia="zh-CN"/>
        </w:rPr>
        <w:t>有权拒收，</w:t>
      </w:r>
      <w:r>
        <w:rPr>
          <w:rFonts w:hint="eastAsia" w:ascii="仿宋" w:hAnsi="仿宋" w:eastAsia="仿宋" w:cs="仿宋"/>
          <w:sz w:val="21"/>
          <w:szCs w:val="21"/>
          <w:highlight w:val="none"/>
          <w:lang w:eastAsia="zh-CN"/>
        </w:rPr>
        <w:t>乙方应及时予以退货、更换。每发生一次，扣除履约保证金的5%，若因此导致甲方伙食不能正常供应，乙方应</w:t>
      </w:r>
      <w:r>
        <w:rPr>
          <w:rFonts w:hint="eastAsia" w:ascii="仿宋" w:hAnsi="仿宋" w:eastAsia="仿宋" w:cs="仿宋"/>
          <w:sz w:val="21"/>
          <w:szCs w:val="21"/>
          <w:highlight w:val="none"/>
          <w:lang w:val="en-GB" w:eastAsia="zh-CN"/>
        </w:rPr>
        <w:t>承担因此产生的一切损失和费用。</w:t>
      </w:r>
      <w:r>
        <w:rPr>
          <w:rFonts w:hint="eastAsia" w:ascii="仿宋" w:hAnsi="仿宋" w:eastAsia="仿宋" w:cs="仿宋"/>
          <w:sz w:val="21"/>
          <w:szCs w:val="21"/>
          <w:highlight w:val="none"/>
          <w:lang w:eastAsia="zh-CN"/>
        </w:rPr>
        <w:t>合同期内累计发生3次及以上质量问题，甲方有权终止合同，并扣除乙方全部履约保证金。</w:t>
      </w:r>
    </w:p>
    <w:p w14:paraId="41FD2CE3">
      <w:pPr>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乙方不能按甲方要求的时间或数量等要求供货的（不可抗力除外），甲方有权拒收，乙方应向甲方支付违约金，其计算办法是：每发生一次，违约金为当天合同价款的3%，同时应赔偿甲方损失。发生二次，甲方有权解除合同并要求乙方赔偿甲方的全部</w:t>
      </w:r>
      <w:r>
        <w:rPr>
          <w:rFonts w:hint="eastAsia" w:ascii="仿宋" w:hAnsi="仿宋" w:eastAsia="仿宋" w:cs="仿宋"/>
          <w:bCs/>
          <w:sz w:val="21"/>
          <w:szCs w:val="21"/>
          <w:highlight w:val="none"/>
        </w:rPr>
        <w:t>经济损失。</w:t>
      </w:r>
    </w:p>
    <w:p w14:paraId="59CAD6A2">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因违约被甲方函告或处罚的供应商，三个月内不得参加甲方</w:t>
      </w:r>
      <w:r>
        <w:rPr>
          <w:rFonts w:hint="eastAsia" w:ascii="仿宋" w:hAnsi="仿宋" w:eastAsia="仿宋" w:cs="仿宋"/>
          <w:bCs/>
          <w:sz w:val="21"/>
          <w:szCs w:val="21"/>
          <w:highlight w:val="none"/>
          <w:lang w:val="en-US" w:eastAsia="zh-CN"/>
        </w:rPr>
        <w:t>交易</w:t>
      </w:r>
      <w:r>
        <w:rPr>
          <w:rFonts w:hint="eastAsia" w:ascii="仿宋" w:hAnsi="仿宋" w:eastAsia="仿宋" w:cs="仿宋"/>
          <w:bCs/>
          <w:sz w:val="21"/>
          <w:szCs w:val="21"/>
          <w:highlight w:val="none"/>
        </w:rPr>
        <w:t>项目。</w:t>
      </w:r>
    </w:p>
    <w:p w14:paraId="2E5DF7D3">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七、不可抗力</w:t>
      </w:r>
    </w:p>
    <w:p w14:paraId="1A2660CE">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1.因不可抗力不能履行合同的，根据不可抗力的影响，部分或者全部免除责任。但合同一方迟延履行后发生不可抗力的，不能免除责任。</w:t>
      </w:r>
    </w:p>
    <w:p w14:paraId="4E325C7C">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2.合同一方因不可抗力不能履行合同的，应当及时通知对方，以减轻可能给对方造成的损失，并应当在合理期限内提供证明。</w:t>
      </w:r>
    </w:p>
    <w:p w14:paraId="31B187A6">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八、履约保证金</w:t>
      </w:r>
    </w:p>
    <w:p w14:paraId="7111A504">
      <w:pPr>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乙方是否提供履约保证金：</w:t>
      </w:r>
      <w:r>
        <w:rPr>
          <w:rFonts w:hint="eastAsia" w:ascii="仿宋" w:hAnsi="仿宋" w:eastAsia="仿宋" w:cs="仿宋"/>
          <w:b/>
          <w:sz w:val="21"/>
          <w:szCs w:val="21"/>
          <w:highlight w:val="none"/>
          <w:u w:val="single"/>
        </w:rPr>
        <w:t xml:space="preserve"> 是 。</w:t>
      </w:r>
    </w:p>
    <w:p w14:paraId="45A55D65">
      <w:pPr>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仿宋" w:hAnsi="仿宋" w:eastAsia="仿宋" w:cs="仿宋"/>
          <w:b/>
          <w:sz w:val="21"/>
          <w:szCs w:val="21"/>
          <w:highlight w:val="none"/>
          <w:u w:val="single"/>
        </w:rPr>
      </w:pPr>
      <w:r>
        <w:rPr>
          <w:rFonts w:hint="eastAsia" w:ascii="仿宋" w:hAnsi="仿宋" w:eastAsia="仿宋" w:cs="仿宋"/>
          <w:sz w:val="21"/>
          <w:szCs w:val="21"/>
          <w:highlight w:val="none"/>
        </w:rPr>
        <w:t>乙方提供履约保证金的形式、金额及期限：</w:t>
      </w:r>
      <w:r>
        <w:rPr>
          <w:rFonts w:hint="eastAsia" w:ascii="仿宋" w:hAnsi="仿宋" w:eastAsia="仿宋" w:cs="仿宋"/>
          <w:b/>
          <w:sz w:val="21"/>
          <w:szCs w:val="21"/>
          <w:highlight w:val="none"/>
          <w:u w:val="single"/>
        </w:rPr>
        <w:t>履约保证金可以采取电汇、支票、银行保函等方式，其数额为50000元，合同签订前10日内提供。</w:t>
      </w:r>
    </w:p>
    <w:p w14:paraId="5F10D7B7">
      <w:pPr>
        <w:pStyle w:val="7"/>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履约保证金的返还时间约定：</w:t>
      </w:r>
      <w:r>
        <w:rPr>
          <w:rFonts w:hint="eastAsia" w:ascii="仿宋" w:hAnsi="仿宋" w:eastAsia="仿宋" w:cs="仿宋"/>
          <w:sz w:val="21"/>
          <w:szCs w:val="21"/>
          <w:highlight w:val="none"/>
          <w:u w:val="single"/>
        </w:rPr>
        <w:t>合同履行期结束后，如无违约情形，原数退还</w:t>
      </w:r>
      <w:r>
        <w:rPr>
          <w:rFonts w:hint="eastAsia" w:ascii="仿宋" w:hAnsi="仿宋" w:eastAsia="仿宋" w:cs="仿宋"/>
          <w:bCs/>
          <w:sz w:val="21"/>
          <w:szCs w:val="21"/>
          <w:highlight w:val="none"/>
          <w:u w:val="single"/>
        </w:rPr>
        <w:t>（无息）</w:t>
      </w:r>
      <w:r>
        <w:rPr>
          <w:rFonts w:hint="eastAsia" w:ascii="仿宋" w:hAnsi="仿宋" w:eastAsia="仿宋" w:cs="仿宋"/>
          <w:sz w:val="21"/>
          <w:szCs w:val="21"/>
          <w:highlight w:val="none"/>
        </w:rPr>
        <w:t>。</w:t>
      </w:r>
    </w:p>
    <w:p w14:paraId="15B3622C">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九、合同的解除和转让</w:t>
      </w:r>
    </w:p>
    <w:p w14:paraId="267AEB4D">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1.合同的解除</w:t>
      </w:r>
    </w:p>
    <w:p w14:paraId="415628AC">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（1）有下列情形之一，合同一方可以解除合同：</w:t>
      </w:r>
    </w:p>
    <w:p w14:paraId="6681091B">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①因不可抗力致使不能实现合同目的，未受不可抗力影响的一方有权解除合同；</w:t>
      </w:r>
    </w:p>
    <w:p w14:paraId="70F3A21B">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②因合同一方违约导致合同不能履行，另一方有权解除合同；</w:t>
      </w:r>
    </w:p>
    <w:p w14:paraId="79DD9756">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（2）有权解除合同的一方，应当在违约事实或不可抗力发生之后三十天内书面通知对方以主张解除合同，合同在书面通知到达对方时解除。</w:t>
      </w:r>
    </w:p>
    <w:p w14:paraId="4C37835C">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2.合同的转让</w:t>
      </w:r>
    </w:p>
    <w:p w14:paraId="48A314EB">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本合同权利和义务全部不得转让，甲方因行政管理职能依法转变的除外。</w:t>
      </w:r>
    </w:p>
    <w:p w14:paraId="1B2E4CD7">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十、合同生效及其它</w:t>
      </w:r>
    </w:p>
    <w:p w14:paraId="4768CCA1">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1.合同经甲、乙双方代表签字并加盖公章（或合同章）后即生效。</w:t>
      </w:r>
    </w:p>
    <w:p w14:paraId="2AE5CCE8">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2.合同签订后甲乙双方即直接产生权利与义务的关系，合同执行过程中出现的问题应按照《</w:t>
      </w:r>
      <w:r>
        <w:rPr>
          <w:rFonts w:hint="eastAsia" w:ascii="仿宋" w:hAnsi="仿宋" w:eastAsia="仿宋" w:cs="仿宋"/>
          <w:sz w:val="21"/>
          <w:szCs w:val="21"/>
          <w:highlight w:val="none"/>
          <w:lang w:eastAsia="zh-CN"/>
        </w:rPr>
        <w:t>民法典</w:t>
      </w:r>
      <w:r>
        <w:rPr>
          <w:rFonts w:hint="eastAsia" w:ascii="仿宋" w:hAnsi="仿宋" w:eastAsia="仿宋" w:cs="仿宋"/>
          <w:sz w:val="21"/>
          <w:szCs w:val="21"/>
          <w:highlight w:val="none"/>
        </w:rPr>
        <w:t>》的规定办理，在合同履行过程中，双方如有争议，经协商无效，任何一方可向</w:t>
      </w:r>
      <w:r>
        <w:rPr>
          <w:rFonts w:hint="eastAsia" w:ascii="仿宋" w:hAnsi="仿宋" w:eastAsia="仿宋" w:cs="仿宋"/>
          <w:sz w:val="21"/>
          <w:szCs w:val="21"/>
          <w:highlight w:val="none"/>
          <w:lang w:eastAsia="zh-CN"/>
        </w:rPr>
        <w:t>甲方</w:t>
      </w:r>
      <w:r>
        <w:rPr>
          <w:rFonts w:hint="eastAsia" w:ascii="仿宋" w:hAnsi="仿宋" w:eastAsia="仿宋" w:cs="仿宋"/>
          <w:sz w:val="21"/>
          <w:szCs w:val="21"/>
          <w:highlight w:val="none"/>
        </w:rPr>
        <w:t>所在地人民法院提起诉讼。</w:t>
      </w:r>
    </w:p>
    <w:p w14:paraId="217895EB">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2"/>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十一、附则</w:t>
      </w:r>
    </w:p>
    <w:p w14:paraId="05418735">
      <w:pPr>
        <w:keepLines w:val="0"/>
        <w:pageBreakBefore w:val="0"/>
        <w:widowControl w:val="0"/>
        <w:tabs>
          <w:tab w:val="left" w:pos="360"/>
        </w:tabs>
        <w:suppressAutoHyphens/>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合同份数</w:t>
      </w:r>
    </w:p>
    <w:p w14:paraId="624D7008">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1.合同份数：本合同一式肆份，甲方叁份、乙方壹份。</w:t>
      </w:r>
    </w:p>
    <w:p w14:paraId="47B89783">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2.未尽事宜</w:t>
      </w:r>
    </w:p>
    <w:p w14:paraId="6D3CE085">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本合同未尽事宜应按《中华人民共和国民法典》、《中华人民共和国政府采购法》以及其同相关法律、法规之规定解释。</w:t>
      </w:r>
    </w:p>
    <w:p w14:paraId="06B813C9">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甲方（盖章）：</w:t>
      </w:r>
      <w:r>
        <w:rPr>
          <w:rFonts w:hint="eastAsia" w:ascii="仿宋" w:hAnsi="仿宋" w:eastAsia="仿宋" w:cs="仿宋"/>
          <w:sz w:val="21"/>
          <w:szCs w:val="21"/>
          <w:highlight w:val="none"/>
          <w:lang w:val="zh-CN"/>
        </w:rPr>
        <w:tab/>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zh-CN"/>
        </w:rPr>
        <w:t>乙方（盖章）：</w:t>
      </w:r>
    </w:p>
    <w:p w14:paraId="00CE18F2">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法定（授权）代表人（签字）：</w:t>
      </w:r>
      <w:r>
        <w:rPr>
          <w:rFonts w:hint="eastAsia" w:ascii="仿宋" w:hAnsi="仿宋" w:eastAsia="仿宋" w:cs="仿宋"/>
          <w:sz w:val="21"/>
          <w:szCs w:val="21"/>
          <w:highlight w:val="none"/>
          <w:lang w:val="zh-CN"/>
        </w:rPr>
        <w:tab/>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zh-CN"/>
        </w:rPr>
        <w:t>法定（授权）代表人（签字）：</w:t>
      </w:r>
    </w:p>
    <w:p w14:paraId="4C3BA315">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电话：</w:t>
      </w:r>
      <w:r>
        <w:rPr>
          <w:rFonts w:hint="eastAsia" w:ascii="仿宋" w:hAnsi="仿宋" w:eastAsia="仿宋" w:cs="仿宋"/>
          <w:sz w:val="21"/>
          <w:szCs w:val="21"/>
          <w:highlight w:val="none"/>
          <w:lang w:val="zh-CN"/>
        </w:rPr>
        <w:tab/>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val="zh-CN"/>
        </w:rPr>
        <w:t>电话：</w:t>
      </w:r>
    </w:p>
    <w:p w14:paraId="6FFB0B3C">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ab/>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val="zh-CN"/>
        </w:rPr>
        <w:t>开户银行：</w:t>
      </w:r>
    </w:p>
    <w:p w14:paraId="2E259E78">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ab/>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lang w:val="zh-CN"/>
        </w:rPr>
        <w:t>账号：</w:t>
      </w:r>
    </w:p>
    <w:p w14:paraId="443654F7">
      <w:pPr>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zh-CN"/>
        </w:rPr>
        <w:t xml:space="preserve">日期：                       </w:t>
      </w:r>
      <w:r>
        <w:rPr>
          <w:rFonts w:hint="eastAsia" w:ascii="仿宋" w:hAnsi="仿宋" w:eastAsia="仿宋" w:cs="仿宋"/>
          <w:sz w:val="21"/>
          <w:szCs w:val="21"/>
          <w:highlight w:val="none"/>
        </w:rPr>
        <w:t xml:space="preserve">       </w:t>
      </w:r>
      <w:r>
        <w:rPr>
          <w:rFonts w:hint="eastAsia" w:ascii="仿宋" w:hAnsi="仿宋" w:eastAsia="仿宋" w:cs="仿宋"/>
          <w:sz w:val="21"/>
          <w:szCs w:val="21"/>
          <w:highlight w:val="none"/>
          <w:lang w:val="zh-CN"/>
        </w:rPr>
        <w:t>日期：</w:t>
      </w:r>
    </w:p>
    <w:p w14:paraId="47C12D5B">
      <w:pPr>
        <w:pageBreakBefore w:val="0"/>
        <w:kinsoku/>
        <w:autoSpaceDE w:val="0"/>
        <w:bidi w:val="0"/>
        <w:snapToGrid w:val="0"/>
        <w:spacing w:line="360" w:lineRule="auto"/>
        <w:rPr>
          <w:rFonts w:hint="eastAsia" w:ascii="仿宋" w:hAnsi="仿宋" w:eastAsia="仿宋" w:cs="仿宋"/>
          <w:sz w:val="24"/>
          <w:highlight w:val="none"/>
        </w:rPr>
      </w:pPr>
    </w:p>
    <w:p w14:paraId="38089EA9">
      <w:pPr>
        <w:keepNext/>
        <w:keepLines/>
        <w:pageBreakBefore w:val="0"/>
        <w:kinsoku/>
        <w:bidi w:val="0"/>
        <w:snapToGrid w:val="0"/>
        <w:spacing w:line="360" w:lineRule="auto"/>
        <w:rPr>
          <w:rFonts w:hint="eastAsia" w:ascii="仿宋" w:hAnsi="仿宋" w:eastAsia="仿宋" w:cs="仿宋"/>
          <w:b/>
          <w:bCs/>
          <w:color w:val="auto"/>
          <w:kern w:val="44"/>
          <w:sz w:val="24"/>
          <w:szCs w:val="24"/>
          <w:highlight w:val="none"/>
          <w:lang w:eastAsia="zh-CN"/>
        </w:rPr>
      </w:pPr>
      <w:r>
        <w:rPr>
          <w:rFonts w:hint="eastAsia" w:ascii="仿宋" w:hAnsi="仿宋" w:eastAsia="仿宋" w:cs="仿宋"/>
          <w:sz w:val="44"/>
          <w:szCs w:val="44"/>
          <w:highlight w:val="none"/>
        </w:rPr>
        <w:br w:type="column"/>
      </w:r>
      <w:r>
        <w:rPr>
          <w:rFonts w:hint="eastAsia" w:ascii="仿宋" w:hAnsi="仿宋" w:eastAsia="仿宋" w:cs="仿宋"/>
          <w:b/>
          <w:bCs/>
          <w:color w:val="auto"/>
          <w:kern w:val="44"/>
          <w:sz w:val="24"/>
          <w:szCs w:val="24"/>
          <w:highlight w:val="none"/>
          <w:lang w:val="en-US" w:eastAsia="zh-CN"/>
        </w:rPr>
        <w:t>合同</w:t>
      </w:r>
      <w:r>
        <w:rPr>
          <w:rFonts w:hint="eastAsia" w:ascii="仿宋" w:hAnsi="仿宋" w:eastAsia="仿宋" w:cs="仿宋"/>
          <w:b/>
          <w:bCs/>
          <w:color w:val="auto"/>
          <w:kern w:val="44"/>
          <w:sz w:val="24"/>
          <w:szCs w:val="24"/>
          <w:highlight w:val="none"/>
        </w:rPr>
        <w:t>附件1</w:t>
      </w:r>
    </w:p>
    <w:p w14:paraId="0A561F5E">
      <w:pPr>
        <w:pageBreakBefore w:val="0"/>
        <w:kinsoku/>
        <w:bidi w:val="0"/>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32"/>
          <w:szCs w:val="32"/>
          <w:highlight w:val="none"/>
          <w:lang w:bidi="ar"/>
        </w:rPr>
        <w:t>保密合同</w:t>
      </w:r>
    </w:p>
    <w:p w14:paraId="655E2ED8">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根据中华人民共和国有关法律、法规，经甲乙双方协商一致，就甲方委托乙方进行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rPr>
        <w:t>所涉及的秘密信息（资料、数据、技术等）事宜，双方达成协议如下：</w:t>
      </w:r>
    </w:p>
    <w:p w14:paraId="440F0720">
      <w:pPr>
        <w:pageBreakBefore w:val="0"/>
        <w:kinsoku/>
        <w:bidi w:val="0"/>
        <w:snapToGrid w:val="0"/>
        <w:spacing w:line="360" w:lineRule="auto"/>
        <w:ind w:firstLine="56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第一条  总则</w:t>
      </w:r>
    </w:p>
    <w:p w14:paraId="2D22B99F">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一、甲乙双方同意，在《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合同</w:t>
      </w:r>
      <w:r>
        <w:rPr>
          <w:rFonts w:hint="eastAsia" w:ascii="仿宋" w:hAnsi="仿宋" w:eastAsia="仿宋" w:cs="仿宋"/>
          <w:color w:val="auto"/>
          <w:kern w:val="0"/>
          <w:szCs w:val="21"/>
          <w:highlight w:val="none"/>
        </w:rPr>
        <w:t>》（以下简称本合同）的签订、履行过程中通过口头、书面、电子或其他方式知悉的对方某些非公开的、保密的、专业的数据和信息，除该方作出相反的书面说明外，均应视为该方的秘密或商业秘密。需保密的资料包括但不限于：与客户相关的数据、通讯资料、项目文档及相关数据、公司商务资料、员工资料以及属于第三方但对方负有保密义务的信息。</w:t>
      </w:r>
    </w:p>
    <w:p w14:paraId="3D6E3CF7">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对于甲乙双方已确认为秘密的信息均须以书面形式严格限制其仅应为双方约定或指定的人员或机构所知悉，未经秘密信息所有方的书面同意，不得以介绍、复印、拷贝、发表文稿等方式故意或过失泄露给任何第三方或公众。</w:t>
      </w:r>
    </w:p>
    <w:p w14:paraId="05E8E6E7">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三、本协议为本采购合同的从属合同。</w:t>
      </w:r>
    </w:p>
    <w:p w14:paraId="1400FA48">
      <w:pPr>
        <w:pageBreakBefore w:val="0"/>
        <w:kinsoku/>
        <w:bidi w:val="0"/>
        <w:snapToGrid w:val="0"/>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第二条  乙方义务</w:t>
      </w:r>
    </w:p>
    <w:p w14:paraId="0E4E245C">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一、乙方同意遵守甲方有关保密的各项管理规定。甲方有权依据上述制度对乙方进行检查并按照相关的规定对乙方的违规行为进行处罚。</w:t>
      </w:r>
    </w:p>
    <w:p w14:paraId="7DE8FAC7">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乙方获得或知晓的甲方的秘密信息，仅用于本次项目及协商双方合作的用途。对于项目实施过程中采集到的数据、信息，乙方应进行严格的访问控制，无关人员不能访问；乙方应对管理以上秘密信息的人员进行严格筛选。</w:t>
      </w:r>
    </w:p>
    <w:p w14:paraId="2834F98B">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三、乙方负有维护已知甲方秘密信息保密性的责任。除了甲乙双方约定的工作目的之外，未经甲方书面许可，乙方不得擅自使用甲方的秘密信息，不得将所知的甲方秘密信息以任何方式提供给任何第三方。</w:t>
      </w:r>
    </w:p>
    <w:p w14:paraId="6ED49513">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未经甲方书面许可，乙方不得带走从甲方得到的任何文档、图纸、资料、磁盘、胶片等载有甲方秘密信息的介质；因工作需要必须携带的数据资料，须经甲方书面许可后加密或封条存储；工作期满离开时，乙方应将包含甲方秘密信息的一切资料及其复印件如数交还甲方，无法交还的，应当在甲方见证下予以脱密销毁处理，未经甲方书面许可，乙方不得擅自保留。</w:t>
      </w:r>
    </w:p>
    <w:p w14:paraId="403E41AE">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五、乙方承诺，其所属员工对上述保密及非侵害条款负有履行义务，乙方通过一定的书面手段保证上述承诺。</w:t>
      </w:r>
    </w:p>
    <w:p w14:paraId="215180AF">
      <w:pPr>
        <w:pageBreakBefore w:val="0"/>
        <w:kinsoku/>
        <w:bidi w:val="0"/>
        <w:snapToGrid w:val="0"/>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第三条  甲方义务</w:t>
      </w:r>
    </w:p>
    <w:p w14:paraId="242EDB04">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一、甲方获得或知晓的乙方的秘密信息，仅用于本次项目及协商双方合作的用途。并且，甲方负有维护已知乙方秘密信息保密性的责任，不得向任何第三方泄漏。</w:t>
      </w:r>
    </w:p>
    <w:p w14:paraId="3A815B62">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甲方保证，对于乙方提供的资料只在直接相关人员中传阅；不以任何方式对乙方提供的各种介质的资料进行未经授权的复印、翻译和转发；但甲方由于后续项目建设需要，对乙方所提供的资料进行节选和复制，不在本保密范围约束之列。</w:t>
      </w:r>
    </w:p>
    <w:p w14:paraId="2C3DD1D4">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三、乙方为本次项目提供的所有资料，经双方确认后，除本次项目的文档和资料外，甲方均在项目结束后交回乙方或根据其要求销毁。</w:t>
      </w:r>
    </w:p>
    <w:p w14:paraId="2093F20C">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四、甲方承诺，其接触并知悉上述秘密信息的员工负有保密义务，甲方通过一定的书面手段保证上述承诺。</w:t>
      </w:r>
    </w:p>
    <w:p w14:paraId="15ABD41A">
      <w:pPr>
        <w:pageBreakBefore w:val="0"/>
        <w:kinsoku/>
        <w:bidi w:val="0"/>
        <w:snapToGrid w:val="0"/>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第四条  不可抗力</w:t>
      </w:r>
    </w:p>
    <w:p w14:paraId="70703633">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甲乙双方确认，任何一方因不可抗力（如法律、法规、国家政策规定等）而必须透露对方秘密信息的，应事先以书面的形式通知对方，并且尽力为对方的秘密信息提供保护。</w:t>
      </w:r>
    </w:p>
    <w:p w14:paraId="79BEAFAB">
      <w:pPr>
        <w:pageBreakBefore w:val="0"/>
        <w:kinsoku/>
        <w:bidi w:val="0"/>
        <w:snapToGrid w:val="0"/>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第五条  违约责任</w:t>
      </w:r>
    </w:p>
    <w:p w14:paraId="0200142D">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一、双方应恪守各自保密义务，如一方故意或过失泄密，则守约方有权解除本协议及本合同。并由违约方依照本协议、本合同或法律规定赔偿守约方之经济损失。</w:t>
      </w:r>
    </w:p>
    <w:p w14:paraId="62CF41C9">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二、如果违约方支付的违约金不足以补偿对方因违约方违反本协议而遭受的其他损失，违约方应当继续承担赔偿责任。</w:t>
      </w:r>
    </w:p>
    <w:p w14:paraId="5E7060FD">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三、违约方违反本协议，给对方造成的损失额以下面两种方法计算的较高者为准：</w:t>
      </w:r>
    </w:p>
    <w:p w14:paraId="7BF5650D">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1.对方因被侵害而受到的实际损失作为赔偿额。</w:t>
      </w:r>
    </w:p>
    <w:p w14:paraId="499341FB">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2.违约方因违约所获得的全部收益作为赔偿额，包括违约方将该秘密信息泄露给第三方，第三方因此而得到的收益。</w:t>
      </w:r>
    </w:p>
    <w:p w14:paraId="14E49511">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四、因违约方的行为造成对方的秘密信息完全公开的，违约方应赔偿该秘密信息的全部价值。</w:t>
      </w:r>
    </w:p>
    <w:p w14:paraId="3E898AC0">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五、违约方应承担对方因调查及处理侵害行为所支出的合理费用，包括但不限于公证费，保全费，诉讼费，赔偿第三方产生的全部费用，律师费，差旅费等。</w:t>
      </w:r>
    </w:p>
    <w:p w14:paraId="2D3DCFC8">
      <w:pPr>
        <w:pageBreakBefore w:val="0"/>
        <w:kinsoku/>
        <w:bidi w:val="0"/>
        <w:snapToGrid w:val="0"/>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第六条  协议变更与补充</w:t>
      </w:r>
    </w:p>
    <w:p w14:paraId="322623DA">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一、本协议履行过程中，双方经协商一致，允许对本协议进行变更。变更均须以书面形式提出，由甲乙双方签字确认。</w:t>
      </w:r>
    </w:p>
    <w:p w14:paraId="4737845A">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二、本协议如有未尽事宜，须经双方共同协商并达成书面补充协议，补充协议与本协议具有同等法律效力。</w:t>
      </w:r>
    </w:p>
    <w:p w14:paraId="3CF91945">
      <w:pPr>
        <w:pageBreakBefore w:val="0"/>
        <w:kinsoku/>
        <w:bidi w:val="0"/>
        <w:snapToGrid w:val="0"/>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第七条  适用法律及合同争议解决</w:t>
      </w:r>
    </w:p>
    <w:p w14:paraId="4F879B36">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一、本协议适用中华人民共和国法律。</w:t>
      </w:r>
    </w:p>
    <w:p w14:paraId="22FCDAF6">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二、因本协议引起的任何争议，双方应首先尝试通过协商解决。不能达成一致解决协议的，则按照本合同约定的争议解决方式处理。</w:t>
      </w:r>
    </w:p>
    <w:p w14:paraId="5614486A">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三、在诉讼期间，本协议不涉及争议的条款仍须履行。</w:t>
      </w:r>
    </w:p>
    <w:p w14:paraId="598434C9">
      <w:pPr>
        <w:pageBreakBefore w:val="0"/>
        <w:kinsoku/>
        <w:bidi w:val="0"/>
        <w:snapToGrid w:val="0"/>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第八条  协议的生效及份数</w:t>
      </w:r>
    </w:p>
    <w:p w14:paraId="1BA7CB12">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一、本协议正本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二</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份，甲乙双方各执</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一</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份，均具有同等法律效力。</w:t>
      </w:r>
    </w:p>
    <w:p w14:paraId="27C950F7">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二、本协议自甲乙双方</w:t>
      </w:r>
      <w:r>
        <w:rPr>
          <w:rFonts w:hint="eastAsia" w:ascii="仿宋" w:hAnsi="仿宋" w:eastAsia="仿宋" w:cs="仿宋"/>
          <w:color w:val="auto"/>
          <w:kern w:val="0"/>
          <w:szCs w:val="21"/>
          <w:highlight w:val="none"/>
          <w:lang w:eastAsia="zh-CN"/>
        </w:rPr>
        <w:t>项目经理</w:t>
      </w:r>
      <w:r>
        <w:rPr>
          <w:rFonts w:hint="eastAsia" w:ascii="仿宋" w:hAnsi="仿宋" w:eastAsia="仿宋" w:cs="仿宋"/>
          <w:color w:val="auto"/>
          <w:kern w:val="0"/>
          <w:szCs w:val="21"/>
          <w:highlight w:val="none"/>
        </w:rPr>
        <w:t>签字并加盖公章后生效。</w:t>
      </w:r>
    </w:p>
    <w:p w14:paraId="7F8476EE">
      <w:pPr>
        <w:pageBreakBefore w:val="0"/>
        <w:kinsoku/>
        <w:bidi w:val="0"/>
        <w:adjustRightInd w:val="0"/>
        <w:snapToGrid w:val="0"/>
        <w:spacing w:line="360" w:lineRule="auto"/>
        <w:ind w:firstLine="420" w:firstLineChars="200"/>
        <w:rPr>
          <w:rFonts w:hint="eastAsia" w:ascii="仿宋" w:hAnsi="仿宋" w:eastAsia="仿宋" w:cs="仿宋"/>
          <w:color w:val="auto"/>
          <w:kern w:val="0"/>
          <w:szCs w:val="21"/>
          <w:highlight w:val="none"/>
        </w:rPr>
      </w:pPr>
    </w:p>
    <w:tbl>
      <w:tblPr>
        <w:tblStyle w:val="17"/>
        <w:tblW w:w="8522" w:type="dxa"/>
        <w:jc w:val="center"/>
        <w:tblLayout w:type="fixed"/>
        <w:tblCellMar>
          <w:top w:w="0" w:type="dxa"/>
          <w:left w:w="108" w:type="dxa"/>
          <w:bottom w:w="0" w:type="dxa"/>
          <w:right w:w="108" w:type="dxa"/>
        </w:tblCellMar>
      </w:tblPr>
      <w:tblGrid>
        <w:gridCol w:w="4261"/>
        <w:gridCol w:w="4261"/>
      </w:tblGrid>
      <w:tr w14:paraId="3C97A6EB">
        <w:tblPrEx>
          <w:tblCellMar>
            <w:top w:w="0" w:type="dxa"/>
            <w:left w:w="108" w:type="dxa"/>
            <w:bottom w:w="0" w:type="dxa"/>
            <w:right w:w="108" w:type="dxa"/>
          </w:tblCellMar>
        </w:tblPrEx>
        <w:trPr>
          <w:jc w:val="center"/>
        </w:trPr>
        <w:tc>
          <w:tcPr>
            <w:tcW w:w="4261" w:type="dxa"/>
          </w:tcPr>
          <w:p w14:paraId="0B47D198">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w:t>
            </w:r>
            <w:r>
              <w:rPr>
                <w:rFonts w:hint="eastAsia" w:ascii="仿宋" w:hAnsi="仿宋" w:eastAsia="仿宋" w:cs="仿宋"/>
                <w:bCs/>
                <w:color w:val="auto"/>
                <w:szCs w:val="20"/>
                <w:highlight w:val="none"/>
              </w:rPr>
              <w:t>（公章）</w:t>
            </w:r>
          </w:p>
          <w:p w14:paraId="5219CDC6">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w:t>
            </w:r>
          </w:p>
          <w:p w14:paraId="03785B6E">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tc>
        <w:tc>
          <w:tcPr>
            <w:tcW w:w="4261" w:type="dxa"/>
          </w:tcPr>
          <w:p w14:paraId="0DD85550">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bCs/>
                <w:color w:val="auto"/>
                <w:szCs w:val="20"/>
                <w:highlight w:val="none"/>
              </w:rPr>
              <w:t>（公章）</w:t>
            </w:r>
          </w:p>
          <w:p w14:paraId="0BF822F2">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w:t>
            </w:r>
          </w:p>
          <w:p w14:paraId="4060B433">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tc>
      </w:tr>
    </w:tbl>
    <w:p w14:paraId="4C725023">
      <w:pPr>
        <w:pageBreakBefore w:val="0"/>
        <w:kinsoku/>
        <w:autoSpaceDE w:val="0"/>
        <w:autoSpaceDN w:val="0"/>
        <w:bidi w:val="0"/>
        <w:adjustRightInd w:val="0"/>
        <w:snapToGrid w:val="0"/>
        <w:spacing w:line="360" w:lineRule="auto"/>
        <w:ind w:firstLine="420" w:firstLineChars="200"/>
        <w:rPr>
          <w:rFonts w:hint="eastAsia" w:ascii="仿宋" w:hAnsi="仿宋" w:eastAsia="仿宋" w:cs="仿宋"/>
          <w:color w:val="auto"/>
          <w:szCs w:val="20"/>
          <w:highlight w:val="none"/>
        </w:rPr>
      </w:pPr>
    </w:p>
    <w:p w14:paraId="3401849D">
      <w:pPr>
        <w:pageBreakBefore w:val="0"/>
        <w:tabs>
          <w:tab w:val="left" w:pos="-235"/>
        </w:tabs>
        <w:kinsoku/>
        <w:bidi w:val="0"/>
        <w:snapToGrid w:val="0"/>
        <w:spacing w:line="360" w:lineRule="auto"/>
        <w:rPr>
          <w:rFonts w:hint="eastAsia" w:ascii="仿宋" w:hAnsi="仿宋" w:eastAsia="仿宋" w:cs="仿宋"/>
          <w:b/>
          <w:color w:val="auto"/>
          <w:szCs w:val="21"/>
          <w:highlight w:val="none"/>
          <w:lang w:eastAsia="zh-CN"/>
        </w:rPr>
      </w:pPr>
      <w:r>
        <w:rPr>
          <w:rFonts w:hint="eastAsia" w:ascii="仿宋" w:hAnsi="仿宋" w:eastAsia="仿宋" w:cs="仿宋"/>
          <w:color w:val="auto"/>
          <w:sz w:val="36"/>
          <w:szCs w:val="36"/>
          <w:highlight w:val="none"/>
        </w:rPr>
        <w:br w:type="column"/>
      </w:r>
      <w:r>
        <w:rPr>
          <w:rFonts w:hint="eastAsia" w:ascii="仿宋" w:hAnsi="仿宋" w:eastAsia="仿宋" w:cs="仿宋"/>
          <w:b/>
          <w:color w:val="auto"/>
          <w:szCs w:val="21"/>
          <w:highlight w:val="none"/>
          <w:lang w:val="en-US" w:eastAsia="zh-CN"/>
        </w:rPr>
        <w:t>合同</w:t>
      </w:r>
      <w:r>
        <w:rPr>
          <w:rFonts w:hint="eastAsia" w:ascii="仿宋" w:hAnsi="仿宋" w:eastAsia="仿宋" w:cs="仿宋"/>
          <w:b/>
          <w:color w:val="auto"/>
          <w:szCs w:val="21"/>
          <w:highlight w:val="none"/>
        </w:rPr>
        <w:t>附件2：</w:t>
      </w:r>
    </w:p>
    <w:p w14:paraId="4BB1E943">
      <w:pPr>
        <w:pageBreakBefore w:val="0"/>
        <w:kinsoku/>
        <w:autoSpaceDE w:val="0"/>
        <w:autoSpaceDN w:val="0"/>
        <w:bidi w:val="0"/>
        <w:adjustRightInd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廉洁合同</w:t>
      </w:r>
    </w:p>
    <w:p w14:paraId="1DB39017">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为防止国有资源交易活动中各种不正当行为发生，确保项目交易公开、公正、公平，根据廉政建设的相关规定，结合国有资源交易工作特点，特订立本合同如下：</w:t>
      </w:r>
    </w:p>
    <w:p w14:paraId="57FB2532">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一、甲乙双方应自觉遵守国家和所在地区关于招投标及政府采购的相关规定和廉政建设的各项规定。</w:t>
      </w:r>
    </w:p>
    <w:p w14:paraId="1ACC3CCD">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二、甲方及相关工作人员不得以任何形式向乙方索要和收受回扣等好处费。</w:t>
      </w:r>
    </w:p>
    <w:p w14:paraId="3DB32E26">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三、甲方相关工作人员应当保持与乙方的正常业务交往，不得接受乙方的礼金、有价证券和贵重物品，不得在乙方报销任何应由个人支付的费用，不得参加可能对公正履约有影响的宴请和娱乐活动。</w:t>
      </w:r>
    </w:p>
    <w:p w14:paraId="29BB58D6">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四、甲方相关工作人员不得要求或者接受乙方为其住房装修、婚丧嫁娶、家属和子女的工作安排以及出国提供方便或服务。</w:t>
      </w:r>
    </w:p>
    <w:p w14:paraId="6C4C6A00">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五、甲方相关工作人员不得向乙方介绍家属或者亲友从事与甲方招标（采购）有关的服务、货物供应、工程分包等经济活动。</w:t>
      </w:r>
    </w:p>
    <w:p w14:paraId="7780CEB9">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六、乙方应当通过正常途径开展相对业务工作，不得为获取某些不正当利益而向甲方相关工作人员赠送礼金、有价证券和贵重物品等。</w:t>
      </w:r>
    </w:p>
    <w:p w14:paraId="30A303C8">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七、乙方不得为谋取私利与甲方相关工作人员就中标（成交）甲方招标（采购）项目等进行私下商谈或者达成默契。</w:t>
      </w:r>
    </w:p>
    <w:p w14:paraId="5B425FA9">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八、乙方不得以洽谈业务、签订经济合同为借口，邀请甲方相关工作人员外出旅游和进入营业性高档娱乐场所。</w:t>
      </w:r>
    </w:p>
    <w:p w14:paraId="5BC234ED">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九、乙方不得为甲方单位和个人购置或者提供通讯工具、交通工具、家电、高档办公用品等物品。</w:t>
      </w:r>
    </w:p>
    <w:p w14:paraId="6072E2F0">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十、乙方发现甲方相关工作人员有违反上述协议者，应及时向甲方纪检监察部门或者甲方上级单位反映，有义务积极支持配合甲方纪检监察部门调查处理工作。</w:t>
      </w:r>
    </w:p>
    <w:p w14:paraId="56C7F314">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十一、甲方发现乙方有违反本协议或者采取不正当的手段行贿甲方相关工作人员，甲方可以根据具体情节和造成的后果采取以下措施：</w:t>
      </w:r>
    </w:p>
    <w:p w14:paraId="6AB57CAE">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1.责令乙方限期整改;</w:t>
      </w:r>
    </w:p>
    <w:p w14:paraId="1B0D5A52">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2.终止与乙方的合作;</w:t>
      </w:r>
    </w:p>
    <w:p w14:paraId="72233C8E">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3.终止合同，将乙方列入本单位招标“黑名单”。</w:t>
      </w:r>
    </w:p>
    <w:p w14:paraId="3EFA46A6">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十二、本廉洁合同作为项目成交合同的附件，与成交合同具有同等法律效力。经协议双方签署后立即生效。</w:t>
      </w:r>
    </w:p>
    <w:p w14:paraId="45888E60">
      <w:pPr>
        <w:pageBreakBefore w:val="0"/>
        <w:kinsoku/>
        <w:bidi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十三、本合同一式二份，甲、乙双方各持一份。</w:t>
      </w:r>
    </w:p>
    <w:tbl>
      <w:tblPr>
        <w:tblStyle w:val="17"/>
        <w:tblW w:w="8522" w:type="dxa"/>
        <w:jc w:val="center"/>
        <w:tblLayout w:type="fixed"/>
        <w:tblCellMar>
          <w:top w:w="0" w:type="dxa"/>
          <w:left w:w="108" w:type="dxa"/>
          <w:bottom w:w="0" w:type="dxa"/>
          <w:right w:w="108" w:type="dxa"/>
        </w:tblCellMar>
      </w:tblPr>
      <w:tblGrid>
        <w:gridCol w:w="4261"/>
        <w:gridCol w:w="4261"/>
      </w:tblGrid>
      <w:tr w14:paraId="5312DDBC">
        <w:tblPrEx>
          <w:tblCellMar>
            <w:top w:w="0" w:type="dxa"/>
            <w:left w:w="108" w:type="dxa"/>
            <w:bottom w:w="0" w:type="dxa"/>
            <w:right w:w="108" w:type="dxa"/>
          </w:tblCellMar>
        </w:tblPrEx>
        <w:trPr>
          <w:jc w:val="center"/>
        </w:trPr>
        <w:tc>
          <w:tcPr>
            <w:tcW w:w="4261" w:type="dxa"/>
          </w:tcPr>
          <w:p w14:paraId="04D03950">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w:t>
            </w:r>
            <w:r>
              <w:rPr>
                <w:rFonts w:hint="eastAsia" w:ascii="仿宋" w:hAnsi="仿宋" w:eastAsia="仿宋" w:cs="仿宋"/>
                <w:bCs/>
                <w:color w:val="auto"/>
                <w:szCs w:val="20"/>
                <w:highlight w:val="none"/>
              </w:rPr>
              <w:t>（公章）</w:t>
            </w:r>
          </w:p>
          <w:p w14:paraId="4A18F63B">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w:t>
            </w:r>
          </w:p>
          <w:p w14:paraId="4E22D04F">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tc>
        <w:tc>
          <w:tcPr>
            <w:tcW w:w="4261" w:type="dxa"/>
          </w:tcPr>
          <w:p w14:paraId="145463C4">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bCs/>
                <w:color w:val="auto"/>
                <w:szCs w:val="20"/>
                <w:highlight w:val="none"/>
              </w:rPr>
              <w:t>（公章）</w:t>
            </w:r>
          </w:p>
          <w:p w14:paraId="13B5A26C">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w:t>
            </w:r>
          </w:p>
          <w:p w14:paraId="38B1FA93">
            <w:pPr>
              <w:pageBreakBefore w:val="0"/>
              <w:kinsoku/>
              <w:autoSpaceDE w:val="0"/>
              <w:autoSpaceDN w:val="0"/>
              <w:bidi w:val="0"/>
              <w:adjustRightInd w:val="0"/>
              <w:snapToGrid w:val="0"/>
              <w:spacing w:line="360" w:lineRule="auto"/>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日期：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tc>
      </w:tr>
    </w:tbl>
    <w:p w14:paraId="693D0285">
      <w:pPr>
        <w:pStyle w:val="3"/>
        <w:keepLines w:val="0"/>
        <w:pageBreakBefore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6"/>
          <w:szCs w:val="36"/>
          <w:highlight w:val="none"/>
        </w:rPr>
      </w:pPr>
      <w:bookmarkStart w:id="10" w:name="_Toc5435"/>
      <w:r>
        <w:rPr>
          <w:rFonts w:hint="eastAsia" w:ascii="仿宋" w:hAnsi="仿宋" w:eastAsia="仿宋" w:cs="仿宋"/>
          <w:sz w:val="44"/>
          <w:szCs w:val="44"/>
          <w:highlight w:val="none"/>
        </w:rPr>
        <w:br w:type="column"/>
      </w:r>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五章</w:t>
      </w:r>
      <w:r>
        <w:rPr>
          <w:rFonts w:hint="eastAsia" w:ascii="仿宋" w:hAnsi="仿宋" w:eastAsia="仿宋" w:cs="仿宋"/>
          <w:b/>
          <w:bCs/>
          <w:sz w:val="36"/>
          <w:szCs w:val="36"/>
          <w:highlight w:val="none"/>
        </w:rPr>
        <w:t xml:space="preserve"> 项目需求</w:t>
      </w:r>
      <w:bookmarkEnd w:id="10"/>
    </w:p>
    <w:p w14:paraId="3CC3EEFB">
      <w:pPr>
        <w:spacing w:line="360" w:lineRule="auto"/>
        <w:ind w:firstLine="422" w:firstLineChars="200"/>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注：标注“★”的</w:t>
      </w:r>
      <w:r>
        <w:rPr>
          <w:rFonts w:hint="eastAsia" w:ascii="仿宋" w:hAnsi="仿宋" w:eastAsia="仿宋" w:cs="仿宋"/>
          <w:b/>
          <w:bCs/>
          <w:color w:val="auto"/>
          <w:kern w:val="0"/>
          <w:szCs w:val="21"/>
          <w:highlight w:val="none"/>
          <w:lang w:val="en-US" w:eastAsia="zh-CN"/>
        </w:rPr>
        <w:t>加粗斜体下画线</w:t>
      </w:r>
      <w:r>
        <w:rPr>
          <w:rFonts w:hint="eastAsia" w:ascii="仿宋" w:hAnsi="仿宋" w:eastAsia="仿宋" w:cs="仿宋"/>
          <w:b/>
          <w:bCs/>
          <w:color w:val="auto"/>
          <w:kern w:val="0"/>
          <w:szCs w:val="21"/>
          <w:highlight w:val="none"/>
        </w:rPr>
        <w:t>条款为实质性要求，若有一项负偏离将被按无效响应处理。</w:t>
      </w:r>
    </w:p>
    <w:p w14:paraId="7B8E4168">
      <w:pPr>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一、项目概况</w:t>
      </w:r>
    </w:p>
    <w:p w14:paraId="3A9EA71D">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color w:val="000000"/>
          <w:sz w:val="21"/>
          <w:szCs w:val="21"/>
          <w:highlight w:val="none"/>
        </w:rPr>
        <w:t>为保障日常就餐，保证食品绿色无污染，食用安全等，现面向社会选择</w:t>
      </w:r>
      <w:r>
        <w:rPr>
          <w:rFonts w:hint="eastAsia" w:ascii="仿宋" w:hAnsi="仿宋" w:eastAsia="仿宋" w:cs="仿宋"/>
          <w:color w:val="000000"/>
          <w:sz w:val="21"/>
          <w:szCs w:val="21"/>
          <w:highlight w:val="none"/>
          <w:lang w:val="en-US" w:eastAsia="zh-CN"/>
        </w:rPr>
        <w:t>合格的供应商</w:t>
      </w:r>
      <w:r>
        <w:rPr>
          <w:rFonts w:hint="eastAsia" w:ascii="仿宋" w:hAnsi="仿宋" w:eastAsia="仿宋" w:cs="仿宋"/>
          <w:color w:val="000000"/>
          <w:sz w:val="21"/>
          <w:szCs w:val="21"/>
          <w:highlight w:val="none"/>
        </w:rPr>
        <w:t>承担伙房食材供应。供货期3个月，本项目主要物资类型为</w:t>
      </w:r>
      <w:r>
        <w:rPr>
          <w:rFonts w:hint="eastAsia" w:ascii="仿宋" w:hAnsi="仿宋" w:eastAsia="仿宋" w:cs="仿宋"/>
          <w:color w:val="000000"/>
          <w:sz w:val="21"/>
          <w:szCs w:val="21"/>
          <w:highlight w:val="none"/>
          <w:lang w:val="en-US" w:eastAsia="zh-CN"/>
        </w:rPr>
        <w:t>荤菜</w:t>
      </w:r>
      <w:r>
        <w:rPr>
          <w:rFonts w:hint="eastAsia" w:ascii="仿宋" w:hAnsi="仿宋" w:eastAsia="仿宋" w:cs="仿宋"/>
          <w:color w:val="000000"/>
          <w:sz w:val="21"/>
          <w:szCs w:val="21"/>
          <w:highlight w:val="none"/>
        </w:rPr>
        <w:t>类。</w:t>
      </w:r>
    </w:p>
    <w:p w14:paraId="4D500268">
      <w:pPr>
        <w:pStyle w:val="16"/>
        <w:keepLines w:val="0"/>
        <w:pageBreakBefore w:val="0"/>
        <w:kinsoku/>
        <w:wordWrap/>
        <w:overflowPunct/>
        <w:topLinePunct w:val="0"/>
        <w:autoSpaceDE/>
        <w:autoSpaceDN/>
        <w:bidi w:val="0"/>
        <w:adjustRightInd/>
        <w:snapToGrid w:val="0"/>
        <w:spacing w:line="360" w:lineRule="auto"/>
        <w:ind w:firstLine="422"/>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二、项目需求</w:t>
      </w:r>
    </w:p>
    <w:p w14:paraId="3AABD84E">
      <w:pPr>
        <w:pStyle w:val="16"/>
        <w:keepLines w:val="0"/>
        <w:pageBreakBefore w:val="0"/>
        <w:kinsoku/>
        <w:wordWrap/>
        <w:overflowPunct/>
        <w:topLinePunct w:val="0"/>
        <w:autoSpaceDE/>
        <w:autoSpaceDN/>
        <w:bidi w:val="0"/>
        <w:adjustRightInd/>
        <w:snapToGrid w:val="0"/>
        <w:spacing w:line="360" w:lineRule="auto"/>
        <w:ind w:firstLine="422"/>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伙房</w:t>
      </w:r>
      <w:r>
        <w:rPr>
          <w:rFonts w:hint="eastAsia" w:ascii="仿宋" w:hAnsi="仿宋" w:eastAsia="仿宋" w:cs="仿宋"/>
          <w:b/>
          <w:bCs/>
          <w:color w:val="000000"/>
          <w:sz w:val="21"/>
          <w:szCs w:val="21"/>
          <w:highlight w:val="none"/>
          <w:lang w:val="en-US" w:eastAsia="zh-CN"/>
        </w:rPr>
        <w:t>荤菜</w:t>
      </w:r>
      <w:r>
        <w:rPr>
          <w:rFonts w:hint="eastAsia" w:ascii="仿宋" w:hAnsi="仿宋" w:eastAsia="仿宋" w:cs="仿宋"/>
          <w:b/>
          <w:bCs/>
          <w:color w:val="000000"/>
          <w:sz w:val="21"/>
          <w:szCs w:val="21"/>
          <w:highlight w:val="none"/>
        </w:rPr>
        <w:t>需求清单表 (</w:t>
      </w:r>
      <w:r>
        <w:rPr>
          <w:rFonts w:hint="eastAsia" w:ascii="仿宋" w:hAnsi="仿宋" w:eastAsia="仿宋" w:cs="仿宋"/>
          <w:b/>
          <w:bCs/>
          <w:color w:val="000000"/>
          <w:sz w:val="21"/>
          <w:szCs w:val="21"/>
          <w:highlight w:val="none"/>
          <w:lang w:eastAsia="zh-CN"/>
        </w:rPr>
        <w:t>2025年1-3月</w:t>
      </w:r>
      <w:r>
        <w:rPr>
          <w:rFonts w:hint="eastAsia" w:ascii="仿宋" w:hAnsi="仿宋" w:eastAsia="仿宋" w:cs="仿宋"/>
          <w:b/>
          <w:bCs/>
          <w:color w:val="000000"/>
          <w:sz w:val="21"/>
          <w:szCs w:val="21"/>
          <w:highlight w:val="none"/>
        </w:rPr>
        <w:t>）。</w:t>
      </w:r>
    </w:p>
    <w:p w14:paraId="758A0BC8">
      <w:pPr>
        <w:pStyle w:val="16"/>
        <w:keepLines w:val="0"/>
        <w:pageBreakBefore w:val="0"/>
        <w:kinsoku/>
        <w:wordWrap/>
        <w:overflowPunct/>
        <w:topLinePunct w:val="0"/>
        <w:autoSpaceDE/>
        <w:autoSpaceDN/>
        <w:bidi w:val="0"/>
        <w:adjustRightInd/>
        <w:snapToGrid w:val="0"/>
        <w:spacing w:line="360" w:lineRule="auto"/>
        <w:ind w:firstLine="422"/>
        <w:textAlignment w:val="auto"/>
        <w:rPr>
          <w:rFonts w:hint="eastAsia" w:ascii="仿宋" w:hAnsi="仿宋" w:eastAsia="仿宋" w:cs="仿宋"/>
          <w:b/>
          <w:bCs/>
          <w:color w:val="000000"/>
          <w:sz w:val="21"/>
          <w:szCs w:val="21"/>
          <w:highlight w:val="none"/>
          <w:lang w:eastAsia="zh-CN"/>
        </w:rPr>
      </w:pPr>
      <w:r>
        <w:rPr>
          <w:rFonts w:hint="eastAsia" w:ascii="仿宋" w:hAnsi="仿宋" w:eastAsia="仿宋" w:cs="仿宋"/>
          <w:color w:val="000000"/>
          <w:sz w:val="21"/>
          <w:szCs w:val="21"/>
          <w:highlight w:val="none"/>
        </w:rPr>
        <w:t>详见附件</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另提供excel电子版，请供应商登录e交易平台下载</w:t>
      </w:r>
      <w:r>
        <w:rPr>
          <w:rFonts w:hint="eastAsia" w:ascii="仿宋" w:hAnsi="仿宋" w:eastAsia="仿宋" w:cs="仿宋"/>
          <w:color w:val="000000"/>
          <w:sz w:val="21"/>
          <w:szCs w:val="21"/>
          <w:highlight w:val="none"/>
          <w:lang w:eastAsia="zh-CN"/>
        </w:rPr>
        <w:t>）。</w:t>
      </w:r>
    </w:p>
    <w:p w14:paraId="51AEC73B">
      <w:pPr>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三、质量要求</w:t>
      </w:r>
    </w:p>
    <w:p w14:paraId="186F6F13">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所供主副食品必须满足《中华人民共和国食品安全法》、《中华人民共和国农产品质量安全法》和监狱有关要求，符合国家质量技术监督和食品卫生标准，确保安全。</w:t>
      </w:r>
    </w:p>
    <w:p w14:paraId="4D41FB91">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水产类须保证为鲜活产品。</w:t>
      </w:r>
    </w:p>
    <w:p w14:paraId="18196B3A">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干杂类须是正规厂家并具有合格证书且无任何添加剂的优质产品。</w:t>
      </w:r>
    </w:p>
    <w:p w14:paraId="4EB0E85C">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其它有包装食品应符合《中华人民共和国产品质量法》有关要求，剩余质保期不少于三分之二。</w:t>
      </w:r>
    </w:p>
    <w:p w14:paraId="0ED92221">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送货至监狱后进行复称，生鲜称重类货物以去包装后重量为准。</w:t>
      </w:r>
    </w:p>
    <w:p w14:paraId="5F83BF28">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运输过程须保证食品的卫生与安全，运输冷藏工具应停放在指定的地点。</w:t>
      </w:r>
    </w:p>
    <w:p w14:paraId="3AA8DD33">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6.</w:t>
      </w:r>
      <w:r>
        <w:rPr>
          <w:rFonts w:hint="eastAsia" w:ascii="仿宋" w:hAnsi="仿宋" w:eastAsia="仿宋" w:cs="仿宋"/>
          <w:color w:val="000000"/>
          <w:sz w:val="21"/>
          <w:szCs w:val="21"/>
          <w:highlight w:val="none"/>
        </w:rPr>
        <w:t>需要</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配送未列明情况的其它产品质量要求，由供需双方协商确定。</w:t>
      </w:r>
    </w:p>
    <w:p w14:paraId="19A4FB52">
      <w:pPr>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四、报价要求</w:t>
      </w:r>
    </w:p>
    <w:p w14:paraId="096D3A1E">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color w:val="000000"/>
          <w:sz w:val="21"/>
          <w:szCs w:val="21"/>
          <w:highlight w:val="none"/>
          <w:lang w:eastAsia="zh-CN"/>
        </w:rPr>
        <w:t>1.</w:t>
      </w:r>
      <w:r>
        <w:rPr>
          <w:rFonts w:hint="eastAsia" w:ascii="仿宋" w:hAnsi="仿宋" w:eastAsia="仿宋" w:cs="仿宋"/>
          <w:sz w:val="21"/>
          <w:szCs w:val="21"/>
          <w:highlight w:val="none"/>
        </w:rPr>
        <w:t>本项目预算金额约为人民币</w:t>
      </w:r>
      <w:r>
        <w:rPr>
          <w:rFonts w:hint="eastAsia" w:ascii="仿宋" w:hAnsi="仿宋" w:eastAsia="仿宋" w:cs="仿宋"/>
          <w:sz w:val="21"/>
          <w:szCs w:val="21"/>
          <w:highlight w:val="none"/>
          <w:lang w:eastAsia="zh-CN"/>
        </w:rPr>
        <w:t>45万元</w:t>
      </w:r>
      <w:r>
        <w:rPr>
          <w:rFonts w:hint="eastAsia" w:ascii="仿宋" w:hAnsi="仿宋" w:eastAsia="仿宋" w:cs="仿宋"/>
          <w:sz w:val="21"/>
          <w:szCs w:val="21"/>
          <w:highlight w:val="none"/>
          <w:lang w:val="en-US" w:eastAsia="zh-CN"/>
        </w:rPr>
        <w:t>。供应商按折扣比例报价，</w:t>
      </w:r>
      <w:r>
        <w:rPr>
          <w:rFonts w:hint="eastAsia" w:ascii="仿宋" w:hAnsi="仿宋" w:eastAsia="仿宋" w:cs="仿宋"/>
          <w:sz w:val="21"/>
          <w:szCs w:val="21"/>
          <w:highlight w:val="none"/>
        </w:rPr>
        <w:t>报价折扣比例数值不得大于100%，</w:t>
      </w:r>
      <w:r>
        <w:rPr>
          <w:rFonts w:hint="eastAsia" w:ascii="仿宋" w:hAnsi="仿宋" w:eastAsia="仿宋" w:cs="仿宋"/>
          <w:sz w:val="21"/>
          <w:szCs w:val="21"/>
          <w:highlight w:val="none"/>
          <w:lang w:val="en-US" w:eastAsia="zh-CN"/>
        </w:rPr>
        <w:t>超过者</w:t>
      </w:r>
      <w:r>
        <w:rPr>
          <w:rFonts w:hint="eastAsia" w:ascii="仿宋" w:hAnsi="仿宋" w:eastAsia="仿宋" w:cs="仿宋"/>
          <w:sz w:val="21"/>
          <w:szCs w:val="21"/>
          <w:highlight w:val="none"/>
        </w:rPr>
        <w:t>按无效响应处理。</w:t>
      </w:r>
    </w:p>
    <w:p w14:paraId="6D9FC455">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eastAsia="zh-CN"/>
        </w:rPr>
        <w:t>2.</w:t>
      </w:r>
      <w:r>
        <w:rPr>
          <w:rFonts w:hint="eastAsia" w:ascii="仿宋" w:hAnsi="仿宋" w:eastAsia="仿宋" w:cs="仿宋"/>
          <w:color w:val="000000"/>
          <w:sz w:val="21"/>
          <w:szCs w:val="21"/>
          <w:highlight w:val="none"/>
        </w:rPr>
        <w:t>报价为含食材、运输、人工、损耗、税费等</w:t>
      </w:r>
      <w:r>
        <w:rPr>
          <w:rFonts w:hint="eastAsia" w:ascii="仿宋" w:hAnsi="仿宋" w:eastAsia="仿宋" w:cs="仿宋"/>
          <w:color w:val="000000"/>
          <w:sz w:val="21"/>
          <w:szCs w:val="21"/>
          <w:highlight w:val="none"/>
          <w:lang w:val="zh-CN"/>
        </w:rPr>
        <w:t>完成本项目发生的</w:t>
      </w:r>
      <w:r>
        <w:rPr>
          <w:rFonts w:hint="eastAsia" w:ascii="仿宋" w:hAnsi="仿宋" w:eastAsia="仿宋" w:cs="仿宋"/>
          <w:color w:val="000000"/>
          <w:sz w:val="21"/>
          <w:szCs w:val="21"/>
          <w:highlight w:val="none"/>
        </w:rPr>
        <w:t>所有费用。</w:t>
      </w:r>
      <w:r>
        <w:rPr>
          <w:rFonts w:hint="eastAsia" w:ascii="仿宋" w:hAnsi="仿宋" w:eastAsia="仿宋" w:cs="仿宋"/>
          <w:color w:val="000000"/>
          <w:sz w:val="21"/>
          <w:szCs w:val="21"/>
          <w:highlight w:val="none"/>
          <w:lang w:val="zh-CN"/>
        </w:rPr>
        <w:t>供应商一旦成交</w:t>
      </w:r>
      <w:r>
        <w:rPr>
          <w:rFonts w:hint="eastAsia" w:ascii="仿宋" w:hAnsi="仿宋" w:eastAsia="仿宋" w:cs="仿宋"/>
          <w:strike w:val="0"/>
          <w:dstrike w:val="0"/>
          <w:color w:val="000000"/>
          <w:sz w:val="21"/>
          <w:szCs w:val="21"/>
          <w:highlight w:val="none"/>
          <w:lang w:val="zh-CN"/>
        </w:rPr>
        <w:t>，</w:t>
      </w:r>
      <w:r>
        <w:rPr>
          <w:rFonts w:hint="eastAsia" w:ascii="仿宋" w:hAnsi="仿宋" w:eastAsia="仿宋" w:cs="仿宋"/>
          <w:sz w:val="21"/>
          <w:szCs w:val="21"/>
          <w:highlight w:val="none"/>
          <w:lang w:val="en-US" w:eastAsia="zh-CN"/>
        </w:rPr>
        <w:t>成交折扣比例</w:t>
      </w:r>
      <w:r>
        <w:rPr>
          <w:rFonts w:hint="eastAsia" w:ascii="仿宋" w:hAnsi="仿宋" w:eastAsia="仿宋" w:cs="仿宋"/>
          <w:sz w:val="21"/>
          <w:szCs w:val="21"/>
          <w:highlight w:val="none"/>
          <w:lang w:eastAsia="zh-CN"/>
        </w:rPr>
        <w:t>一概不予调整</w:t>
      </w:r>
      <w:r>
        <w:rPr>
          <w:rFonts w:hint="eastAsia" w:ascii="仿宋" w:hAnsi="仿宋" w:eastAsia="仿宋" w:cs="仿宋"/>
          <w:sz w:val="21"/>
          <w:szCs w:val="21"/>
          <w:highlight w:val="none"/>
          <w:lang w:val="en-US" w:eastAsia="zh-CN"/>
        </w:rPr>
        <w:t>。</w:t>
      </w:r>
    </w:p>
    <w:p w14:paraId="2663AD14">
      <w:pPr>
        <w:pStyle w:val="16"/>
        <w:keepLines w:val="0"/>
        <w:pageBreakBefore w:val="0"/>
        <w:kinsoku/>
        <w:wordWrap/>
        <w:overflowPunct/>
        <w:topLinePunct w:val="0"/>
        <w:autoSpaceDE/>
        <w:autoSpaceDN/>
        <w:bidi w:val="0"/>
        <w:adjustRightInd/>
        <w:snapToGrid w:val="0"/>
        <w:spacing w:line="360" w:lineRule="auto"/>
        <w:ind w:firstLine="643"/>
        <w:textAlignment w:val="auto"/>
        <w:rPr>
          <w:rFonts w:hint="eastAsia" w:ascii="仿宋" w:hAnsi="仿宋" w:eastAsia="仿宋" w:cs="仿宋"/>
          <w:b/>
          <w:bCs/>
          <w:sz w:val="21"/>
          <w:szCs w:val="21"/>
          <w:highlight w:val="none"/>
        </w:rPr>
      </w:pPr>
      <w:r>
        <w:rPr>
          <w:rFonts w:hint="eastAsia" w:ascii="仿宋" w:hAnsi="仿宋" w:eastAsia="仿宋" w:cs="仿宋"/>
          <w:b/>
          <w:bCs/>
          <w:color w:val="000000"/>
          <w:sz w:val="21"/>
          <w:szCs w:val="21"/>
          <w:highlight w:val="none"/>
          <w:lang w:val="zh-CN"/>
        </w:rPr>
        <w:t>特别提醒：部分菜品须提供净菜，各供应商报价格折扣比例时应充分考虑</w:t>
      </w:r>
      <w:r>
        <w:rPr>
          <w:rFonts w:hint="eastAsia" w:ascii="仿宋" w:hAnsi="仿宋" w:eastAsia="仿宋" w:cs="仿宋"/>
          <w:b/>
          <w:bCs/>
          <w:color w:val="000000"/>
          <w:sz w:val="21"/>
          <w:szCs w:val="21"/>
          <w:highlight w:val="none"/>
          <w:lang w:val="en-US" w:eastAsia="zh-CN"/>
        </w:rPr>
        <w:t>相关</w:t>
      </w:r>
      <w:r>
        <w:rPr>
          <w:rFonts w:hint="eastAsia" w:ascii="仿宋" w:hAnsi="仿宋" w:eastAsia="仿宋" w:cs="仿宋"/>
          <w:b/>
          <w:bCs/>
          <w:color w:val="000000"/>
          <w:sz w:val="21"/>
          <w:szCs w:val="21"/>
          <w:highlight w:val="none"/>
          <w:lang w:val="zh-CN"/>
        </w:rPr>
        <w:t>费用。</w:t>
      </w:r>
    </w:p>
    <w:p w14:paraId="580EC65C">
      <w:pPr>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3.</w:t>
      </w:r>
      <w:r>
        <w:rPr>
          <w:rFonts w:hint="eastAsia" w:ascii="仿宋" w:hAnsi="仿宋" w:eastAsia="仿宋" w:cs="仿宋"/>
          <w:color w:val="000000"/>
          <w:sz w:val="21"/>
          <w:szCs w:val="21"/>
          <w:highlight w:val="none"/>
        </w:rPr>
        <w:t>对需求清单中所列食材报出同一个比例。</w:t>
      </w:r>
    </w:p>
    <w:p w14:paraId="14C7FE9C">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4.</w:t>
      </w:r>
      <w:r>
        <w:rPr>
          <w:rFonts w:hint="eastAsia" w:ascii="仿宋" w:hAnsi="仿宋" w:eastAsia="仿宋" w:cs="仿宋"/>
          <w:color w:val="000000"/>
          <w:sz w:val="21"/>
          <w:szCs w:val="21"/>
          <w:highlight w:val="none"/>
        </w:rPr>
        <w:t>询价响应报价函必须加盖单位公章，法人代表或被授权人签字</w:t>
      </w:r>
      <w:r>
        <w:rPr>
          <w:rFonts w:hint="eastAsia" w:ascii="仿宋" w:hAnsi="仿宋" w:eastAsia="仿宋" w:cs="仿宋"/>
          <w:color w:val="000000"/>
          <w:sz w:val="21"/>
          <w:szCs w:val="21"/>
          <w:highlight w:val="none"/>
          <w:lang w:eastAsia="zh-CN"/>
        </w:rPr>
        <w:t>。</w:t>
      </w:r>
    </w:p>
    <w:p w14:paraId="41A5D834">
      <w:pPr>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五、交付要求</w:t>
      </w:r>
    </w:p>
    <w:p w14:paraId="1EC943AE">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1.</w:t>
      </w:r>
      <w:r>
        <w:rPr>
          <w:rFonts w:hint="eastAsia" w:ascii="仿宋" w:hAnsi="仿宋" w:eastAsia="仿宋" w:cs="仿宋"/>
          <w:color w:val="000000"/>
          <w:sz w:val="21"/>
          <w:szCs w:val="21"/>
          <w:highlight w:val="none"/>
        </w:rPr>
        <w:t>交期要求：乙方须保证在约定时间之前将甲方所订的货物送至甲方所在地或其他指定位置；乙方如送货迟到超过半小时，甲方可扣乙方当天总货款的10%做为违约金。因迟到时间长而造成甲方无法正常供餐的，甲方有权追究乙方相关经济、法律责任。遇有特殊任务或其他情况，应以采购人具体要求为准。非正常工作时间，遇特殊情况，</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要为采购人提供紧急配送服务。</w:t>
      </w:r>
    </w:p>
    <w:p w14:paraId="7B9604D9">
      <w:pPr>
        <w:pStyle w:val="8"/>
        <w:keepLines w:val="0"/>
        <w:pageBreakBefore w:val="0"/>
        <w:kinsoku/>
        <w:wordWrap/>
        <w:overflowPunct/>
        <w:topLinePunct w:val="0"/>
        <w:autoSpaceDE/>
        <w:autoSpaceDN/>
        <w:bidi w:val="0"/>
        <w:adjustRightInd/>
        <w:snapToGrid w:val="0"/>
        <w:spacing w:after="0"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具有在</w:t>
      </w:r>
      <w:r>
        <w:rPr>
          <w:rFonts w:hint="eastAsia" w:ascii="仿宋" w:hAnsi="仿宋" w:eastAsia="仿宋" w:cs="仿宋"/>
          <w:color w:val="000000"/>
          <w:sz w:val="21"/>
          <w:szCs w:val="21"/>
          <w:highlight w:val="none"/>
          <w:lang w:val="en-US" w:eastAsia="zh-CN"/>
        </w:rPr>
        <w:t>突发公共卫生事件</w:t>
      </w:r>
      <w:r>
        <w:rPr>
          <w:rFonts w:hint="eastAsia" w:ascii="仿宋" w:hAnsi="仿宋" w:eastAsia="仿宋" w:cs="仿宋"/>
          <w:color w:val="000000"/>
          <w:sz w:val="21"/>
          <w:szCs w:val="21"/>
          <w:highlight w:val="none"/>
        </w:rPr>
        <w:t>等特殊时期优先保障采购方日常生活需要且持续不断的供应能力。</w:t>
      </w:r>
    </w:p>
    <w:p w14:paraId="7A85147E">
      <w:pPr>
        <w:keepLines w:val="0"/>
        <w:pageBreakBefore w:val="0"/>
        <w:numPr>
          <w:ilvl w:val="0"/>
          <w:numId w:val="0"/>
        </w:numPr>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六、服务要求</w:t>
      </w:r>
    </w:p>
    <w:p w14:paraId="62028A9E">
      <w:pPr>
        <w:keepLines w:val="0"/>
        <w:pageBreakBefore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服务方案</w:t>
      </w:r>
    </w:p>
    <w:p w14:paraId="115031EB">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应在响应文件中提供详细的服务方案，包括但不限于配送方案、食品质量保证措施、人员及车辆配备方案、应急方案等。</w:t>
      </w:r>
    </w:p>
    <w:p w14:paraId="21EDD867">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服务要求</w:t>
      </w:r>
    </w:p>
    <w:p w14:paraId="1CF49F57">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1）所有食材必须卫生、清洁、新鲜、无污染、无假冒伪劣、无过期变质，符合食品国家标准和行业标准。</w:t>
      </w:r>
    </w:p>
    <w:p w14:paraId="677792E7">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所供食材要经采购人复秤验收，在质量、数量上存在问题的不合格食材由</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及时调换或增补，损失由</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承担。</w:t>
      </w:r>
    </w:p>
    <w:p w14:paraId="4DD1EA5F">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3）</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要按照采购人的要求及时供货，并将所供食材送到指定地点。</w:t>
      </w:r>
    </w:p>
    <w:p w14:paraId="42BD64A0">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4）中标人应保证做到所提供的产品价格合理、质量合格、计量准确、送货及时、服务周到，同时负责提供该产品进入市场的相关证明（质检报告、卫生证等）。采购人可按需要向中标人提出调换或增加供货的品种和型号。</w:t>
      </w:r>
    </w:p>
    <w:p w14:paraId="51A66DEE">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5）所供食材要求一次达标，质量合格，在使用过程中由于食品质量导致的后果，均由中标人全权负责。</w:t>
      </w:r>
    </w:p>
    <w:p w14:paraId="5927B0C5">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6）中标人每次送货以采购人提报计划通知为准，采购人要货应提前一天通知中标人，并明确要货数量，接采购人通知后，中标人应保证按时将货准时送到采购人指定地点，以免影响采购人正常使用。</w:t>
      </w:r>
    </w:p>
    <w:p w14:paraId="2CC936D9">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7）配送单位须使用专用食品采购车，</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名下该类食材专用配送车辆不低于1辆，食材进行密封包装，并带有公司出厂标签。夏季高温天气，</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提供冷藏车配送，防止（预防）原材料在高温情况下出现变质。</w:t>
      </w:r>
    </w:p>
    <w:p w14:paraId="4C75B5D4">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8）配送人员要有相应的健康证等证件。配送人员必须是本公司人员，必须每年进行一次健康体检，取得健康合格证后方可上岗。</w:t>
      </w:r>
    </w:p>
    <w:p w14:paraId="55FA8E68">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供应方式要求</w:t>
      </w:r>
    </w:p>
    <w:p w14:paraId="3404784F">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1）采购人提前一天向</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提供所需菜品订单，</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必须在采购人规定时间内，依据订单将采购人所需的菜品购齐，送至采购人伙食单位进行验收。</w:t>
      </w:r>
    </w:p>
    <w:p w14:paraId="3F4330AF">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不得以任何理由拒绝供应、随意变更订单项目、内容，由于特殊情况不能及时供应的菜品，</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应提前通知采购人，经采购人许可后方能调整所订菜品。</w:t>
      </w:r>
    </w:p>
    <w:p w14:paraId="57ECCF27">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3）</w:t>
      </w: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应主动配合采购人对其供应菜品所进行的数量、质量检查和价格审核调查，提供菜市场当日菜价的有效凭据（如菜场电子屏幕截图）。</w:t>
      </w:r>
    </w:p>
    <w:p w14:paraId="2ACD83DD">
      <w:pPr>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七、结算方式</w:t>
      </w:r>
    </w:p>
    <w:p w14:paraId="44A46A62">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监狱及相关单位（如有）分别</w:t>
      </w:r>
      <w:r>
        <w:rPr>
          <w:rFonts w:hint="eastAsia" w:ascii="仿宋" w:hAnsi="仿宋" w:eastAsia="仿宋" w:cs="仿宋"/>
          <w:color w:val="000000"/>
          <w:sz w:val="21"/>
          <w:szCs w:val="21"/>
          <w:highlight w:val="none"/>
          <w:lang w:val="en-US" w:eastAsia="zh-CN"/>
        </w:rPr>
        <w:t>与成交供应商</w:t>
      </w:r>
      <w:r>
        <w:rPr>
          <w:rFonts w:hint="eastAsia" w:ascii="仿宋" w:hAnsi="仿宋" w:eastAsia="仿宋" w:cs="仿宋"/>
          <w:color w:val="000000"/>
          <w:sz w:val="21"/>
          <w:szCs w:val="21"/>
          <w:highlight w:val="none"/>
        </w:rPr>
        <w:t>签订合同</w:t>
      </w:r>
      <w:r>
        <w:rPr>
          <w:rFonts w:hint="eastAsia" w:ascii="仿宋" w:hAnsi="仿宋" w:eastAsia="仿宋" w:cs="仿宋"/>
          <w:color w:val="000000"/>
          <w:sz w:val="21"/>
          <w:szCs w:val="21"/>
          <w:highlight w:val="none"/>
          <w:lang w:val="en-US" w:eastAsia="zh-CN"/>
        </w:rPr>
        <w:t>。</w:t>
      </w:r>
    </w:p>
    <w:p w14:paraId="4CFFDBE9">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本项目</w:t>
      </w:r>
      <w:r>
        <w:rPr>
          <w:rFonts w:hint="eastAsia" w:ascii="仿宋" w:hAnsi="仿宋" w:eastAsia="仿宋" w:cs="仿宋"/>
          <w:highlight w:val="none"/>
          <w:lang w:val="en-US" w:eastAsia="zh-CN"/>
        </w:rPr>
        <w:t>按</w:t>
      </w:r>
      <w:r>
        <w:rPr>
          <w:rFonts w:hint="eastAsia" w:ascii="仿宋" w:hAnsi="仿宋" w:eastAsia="仿宋" w:cs="仿宋"/>
          <w:highlight w:val="none"/>
        </w:rPr>
        <w:t>实际发生数量</w:t>
      </w:r>
      <w:r>
        <w:rPr>
          <w:rFonts w:hint="eastAsia" w:ascii="仿宋" w:hAnsi="仿宋" w:eastAsia="仿宋" w:cs="仿宋"/>
          <w:highlight w:val="none"/>
          <w:lang w:val="en-US" w:eastAsia="zh-CN"/>
        </w:rPr>
        <w:t>进行</w:t>
      </w:r>
      <w:r>
        <w:rPr>
          <w:rFonts w:hint="eastAsia" w:ascii="仿宋" w:hAnsi="仿宋" w:eastAsia="仿宋" w:cs="仿宋"/>
          <w:highlight w:val="none"/>
        </w:rPr>
        <w:t>结算</w:t>
      </w:r>
      <w:r>
        <w:rPr>
          <w:rFonts w:hint="eastAsia" w:ascii="仿宋" w:hAnsi="仿宋" w:eastAsia="仿宋" w:cs="仿宋"/>
          <w:highlight w:val="none"/>
          <w:lang w:eastAsia="zh-CN"/>
        </w:rPr>
        <w:t>，</w:t>
      </w:r>
      <w:r>
        <w:rPr>
          <w:rFonts w:hint="eastAsia" w:ascii="仿宋" w:hAnsi="仿宋" w:eastAsia="仿宋" w:cs="仿宋"/>
          <w:highlight w:val="none"/>
        </w:rPr>
        <w:t>结算价=Σ实际数量×基准价×</w:t>
      </w:r>
      <w:r>
        <w:rPr>
          <w:rFonts w:hint="eastAsia" w:ascii="仿宋" w:hAnsi="仿宋" w:eastAsia="仿宋" w:cs="仿宋"/>
          <w:highlight w:val="none"/>
          <w:lang w:val="en-US" w:eastAsia="zh-CN"/>
        </w:rPr>
        <w:t>成交</w:t>
      </w:r>
      <w:r>
        <w:rPr>
          <w:rFonts w:hint="eastAsia" w:ascii="仿宋" w:hAnsi="仿宋" w:eastAsia="仿宋" w:cs="仿宋"/>
          <w:sz w:val="21"/>
          <w:szCs w:val="21"/>
          <w:highlight w:val="none"/>
          <w:lang w:val="en-US" w:eastAsia="zh-CN"/>
        </w:rPr>
        <w:t>折扣比例</w:t>
      </w:r>
      <w:r>
        <w:rPr>
          <w:rFonts w:hint="eastAsia" w:ascii="仿宋" w:hAnsi="仿宋" w:eastAsia="仿宋" w:cs="仿宋"/>
          <w:highlight w:val="none"/>
        </w:rPr>
        <w:t>，其中基准价为“送货当月凌家塘（http://www.ljt.cn/）公示的价格行情各品种中间价平均数”，即当月公示的所有中间价相加除以公示的天数</w:t>
      </w:r>
      <w:r>
        <w:rPr>
          <w:rFonts w:hint="eastAsia" w:ascii="仿宋" w:hAnsi="仿宋" w:eastAsia="仿宋" w:cs="仿宋"/>
          <w:highlight w:val="none"/>
          <w:lang w:eastAsia="zh-CN"/>
        </w:rPr>
        <w:t>；</w:t>
      </w:r>
      <w:r>
        <w:rPr>
          <w:rFonts w:hint="eastAsia" w:ascii="仿宋" w:hAnsi="仿宋" w:eastAsia="仿宋" w:cs="仿宋"/>
          <w:highlight w:val="none"/>
        </w:rPr>
        <w:t>如果出现凌家塘没有公示的品种，则以南京农副产品物流中心（http://www.njnfwl.com/）公示的平均价进行计算。如采购计划中出现清单目录之外品种，基准价</w:t>
      </w:r>
      <w:r>
        <w:rPr>
          <w:rFonts w:hint="eastAsia" w:ascii="仿宋" w:hAnsi="仿宋" w:eastAsia="仿宋" w:cs="仿宋"/>
          <w:highlight w:val="none"/>
          <w:lang w:val="en-US" w:eastAsia="zh-CN"/>
        </w:rPr>
        <w:t>仍按以上次序（</w:t>
      </w:r>
      <w:r>
        <w:rPr>
          <w:rFonts w:hint="eastAsia" w:ascii="仿宋" w:hAnsi="仿宋" w:eastAsia="仿宋" w:cs="仿宋"/>
          <w:highlight w:val="none"/>
        </w:rPr>
        <w:t>凌家塘→南京农副产品物流中心</w:t>
      </w:r>
      <w:r>
        <w:rPr>
          <w:rFonts w:hint="eastAsia" w:ascii="仿宋" w:hAnsi="仿宋" w:eastAsia="仿宋" w:cs="仿宋"/>
          <w:highlight w:val="none"/>
          <w:lang w:val="en-US" w:eastAsia="zh-CN"/>
        </w:rPr>
        <w:t>）计算（</w:t>
      </w:r>
      <w:r>
        <w:rPr>
          <w:rFonts w:hint="eastAsia" w:ascii="仿宋" w:hAnsi="仿宋" w:eastAsia="仿宋" w:cs="仿宋"/>
          <w:highlight w:val="none"/>
        </w:rPr>
        <w:t>成交折扣</w:t>
      </w:r>
      <w:r>
        <w:rPr>
          <w:rFonts w:hint="eastAsia" w:ascii="仿宋" w:hAnsi="仿宋" w:eastAsia="仿宋" w:cs="仿宋"/>
          <w:highlight w:val="none"/>
          <w:lang w:val="en-US" w:eastAsia="zh-CN"/>
        </w:rPr>
        <w:t>比例不变）</w:t>
      </w:r>
      <w:r>
        <w:rPr>
          <w:rFonts w:hint="eastAsia" w:ascii="仿宋" w:hAnsi="仿宋" w:eastAsia="仿宋" w:cs="仿宋"/>
          <w:highlight w:val="none"/>
        </w:rPr>
        <w:t>。</w:t>
      </w:r>
    </w:p>
    <w:p w14:paraId="7DB177B4">
      <w:pPr>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货物验收合格，发票入账后1个月内付清。</w:t>
      </w:r>
    </w:p>
    <w:p w14:paraId="53F2988D">
      <w:pPr>
        <w:pStyle w:val="6"/>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58D5C24C">
      <w:pPr>
        <w:pStyle w:val="6"/>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674E3A7C">
      <w:pPr>
        <w:pStyle w:val="6"/>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73F657C8">
      <w:pPr>
        <w:pStyle w:val="6"/>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2156A775">
      <w:pPr>
        <w:pStyle w:val="6"/>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bCs/>
          <w:sz w:val="21"/>
          <w:szCs w:val="21"/>
          <w:highlight w:val="none"/>
        </w:rPr>
      </w:pPr>
      <w:r>
        <w:rPr>
          <w:rFonts w:hint="eastAsia" w:ascii="仿宋" w:hAnsi="仿宋" w:eastAsia="仿宋" w:cs="仿宋"/>
          <w:sz w:val="21"/>
          <w:szCs w:val="21"/>
          <w:highlight w:val="none"/>
        </w:rPr>
        <w:t xml:space="preserve"> </w:t>
      </w:r>
      <w:r>
        <w:rPr>
          <w:rFonts w:hint="eastAsia" w:ascii="仿宋" w:hAnsi="仿宋" w:eastAsia="仿宋" w:cs="仿宋"/>
          <w:bCs/>
          <w:sz w:val="21"/>
          <w:szCs w:val="21"/>
          <w:highlight w:val="none"/>
        </w:rPr>
        <w:t xml:space="preserve"> </w:t>
      </w:r>
    </w:p>
    <w:p w14:paraId="0598A821">
      <w:pPr>
        <w:pStyle w:val="4"/>
        <w:pageBreakBefore w:val="0"/>
        <w:widowControl/>
        <w:kinsoku/>
        <w:bidi w:val="0"/>
        <w:snapToGrid w:val="0"/>
        <w:spacing w:before="0" w:after="0" w:line="360" w:lineRule="auto"/>
        <w:rPr>
          <w:rFonts w:hint="eastAsia" w:ascii="仿宋" w:hAnsi="仿宋" w:eastAsia="仿宋" w:cs="仿宋"/>
          <w:highlight w:val="none"/>
        </w:rPr>
      </w:pPr>
    </w:p>
    <w:p w14:paraId="59273411">
      <w:pPr>
        <w:pStyle w:val="4"/>
        <w:pageBreakBefore w:val="0"/>
        <w:widowControl/>
        <w:kinsoku/>
        <w:bidi w:val="0"/>
        <w:snapToGrid w:val="0"/>
        <w:spacing w:before="0" w:after="0" w:line="360" w:lineRule="auto"/>
        <w:rPr>
          <w:rFonts w:hint="eastAsia" w:ascii="仿宋" w:hAnsi="仿宋" w:eastAsia="仿宋" w:cs="仿宋"/>
          <w:highlight w:val="none"/>
        </w:rPr>
      </w:pPr>
    </w:p>
    <w:p w14:paraId="64CF21C8">
      <w:pPr>
        <w:pStyle w:val="3"/>
        <w:pageBreakBefore w:val="0"/>
        <w:widowControl/>
        <w:kinsoku/>
        <w:bidi w:val="0"/>
        <w:snapToGrid w:val="0"/>
        <w:spacing w:before="0" w:after="0" w:line="360" w:lineRule="auto"/>
        <w:jc w:val="center"/>
        <w:outlineLvl w:val="0"/>
        <w:rPr>
          <w:rFonts w:hint="eastAsia" w:ascii="仿宋" w:hAnsi="仿宋" w:eastAsia="仿宋" w:cs="仿宋"/>
          <w:highlight w:val="none"/>
        </w:rPr>
      </w:pPr>
      <w:bookmarkStart w:id="11" w:name="_Toc13415"/>
      <w:r>
        <w:rPr>
          <w:rFonts w:hint="eastAsia" w:ascii="仿宋" w:hAnsi="仿宋" w:eastAsia="仿宋" w:cs="仿宋"/>
          <w:highlight w:val="none"/>
        </w:rPr>
        <w:br w:type="column"/>
      </w:r>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六</w:t>
      </w:r>
      <w:r>
        <w:rPr>
          <w:rFonts w:hint="eastAsia" w:ascii="仿宋" w:hAnsi="仿宋" w:eastAsia="仿宋" w:cs="仿宋"/>
          <w:b/>
          <w:bCs/>
          <w:sz w:val="36"/>
          <w:szCs w:val="36"/>
          <w:highlight w:val="none"/>
        </w:rPr>
        <w:t>章 响应文件的组成和格式</w:t>
      </w:r>
      <w:bookmarkEnd w:id="11"/>
    </w:p>
    <w:p w14:paraId="42F69862">
      <w:pPr>
        <w:pageBreakBefore w:val="0"/>
        <w:kinsoku/>
        <w:bidi w:val="0"/>
        <w:snapToGrid w:val="0"/>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p>
    <w:p w14:paraId="3963779C">
      <w:pPr>
        <w:pageBreakBefore w:val="0"/>
        <w:widowControl/>
        <w:kinsoku/>
        <w:wordWrap w:val="0"/>
        <w:overflowPunct w:val="0"/>
        <w:topLinePunct/>
        <w:bidi w:val="0"/>
        <w:adjustRightInd w:val="0"/>
        <w:snapToGrid w:val="0"/>
        <w:spacing w:line="360" w:lineRule="auto"/>
        <w:ind w:left="6"/>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注：</w:t>
      </w:r>
    </w:p>
    <w:p w14:paraId="1D14D71A">
      <w:pPr>
        <w:pageBreakBefore w:val="0"/>
        <w:widowControl/>
        <w:kinsoku/>
        <w:wordWrap w:val="0"/>
        <w:overflowPunct w:val="0"/>
        <w:topLinePunct/>
        <w:bidi w:val="0"/>
        <w:adjustRightInd w:val="0"/>
        <w:snapToGrid w:val="0"/>
        <w:spacing w:line="360" w:lineRule="auto"/>
        <w:ind w:left="22" w:firstLine="420" w:firstLineChars="200"/>
        <w:jc w:val="left"/>
        <w:textAlignment w:val="baseline"/>
        <w:rPr>
          <w:rFonts w:hint="eastAsia" w:ascii="仿宋" w:hAnsi="仿宋" w:eastAsia="仿宋" w:cs="仿宋"/>
          <w:snapToGrid w:val="0"/>
          <w:color w:val="auto"/>
          <w:kern w:val="0"/>
          <w:szCs w:val="21"/>
          <w:highlight w:val="none"/>
        </w:rPr>
      </w:pPr>
      <w:bookmarkStart w:id="12" w:name="_Toc28814"/>
      <w:r>
        <w:rPr>
          <w:rFonts w:hint="eastAsia" w:ascii="仿宋" w:hAnsi="仿宋" w:eastAsia="仿宋" w:cs="仿宋"/>
          <w:snapToGrid w:val="0"/>
          <w:color w:val="auto"/>
          <w:kern w:val="0"/>
          <w:szCs w:val="21"/>
          <w:highlight w:val="none"/>
        </w:rPr>
        <w:t>1.本部分内容仅提供格式参考。</w:t>
      </w:r>
      <w:bookmarkEnd w:id="12"/>
    </w:p>
    <w:p w14:paraId="1E9EDCE3">
      <w:pPr>
        <w:pageBreakBefore w:val="0"/>
        <w:widowControl/>
        <w:kinsoku/>
        <w:wordWrap w:val="0"/>
        <w:overflowPunct w:val="0"/>
        <w:topLinePunct/>
        <w:bidi w:val="0"/>
        <w:adjustRightInd w:val="0"/>
        <w:snapToGrid w:val="0"/>
        <w:spacing w:line="360" w:lineRule="auto"/>
        <w:ind w:left="6" w:right="203"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2.供应商应按照以下文件的要求格式、内容制作响应文件，并编制目录及页码，混乱的编排导致响应文件被误读或查找不到，后果由供应商承担。</w:t>
      </w:r>
    </w:p>
    <w:p w14:paraId="4C886DED">
      <w:pPr>
        <w:pageBreakBefore w:val="0"/>
        <w:widowControl/>
        <w:kinsoku/>
        <w:wordWrap w:val="0"/>
        <w:overflowPunct w:val="0"/>
        <w:topLinePunct/>
        <w:bidi w:val="0"/>
        <w:adjustRightInd w:val="0"/>
        <w:snapToGrid w:val="0"/>
        <w:spacing w:line="360" w:lineRule="auto"/>
        <w:ind w:left="22"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3.所附表格中要求回答的全部问题和信息都必须正面回答。</w:t>
      </w:r>
    </w:p>
    <w:p w14:paraId="7B29B942">
      <w:pPr>
        <w:pageBreakBefore w:val="0"/>
        <w:widowControl/>
        <w:kinsoku/>
        <w:wordWrap w:val="0"/>
        <w:overflowPunct w:val="0"/>
        <w:topLinePunct/>
        <w:bidi w:val="0"/>
        <w:adjustRightInd w:val="0"/>
        <w:snapToGrid w:val="0"/>
        <w:spacing w:line="360" w:lineRule="auto"/>
        <w:ind w:left="22"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4.供应商提交的材料不予退还。</w:t>
      </w:r>
    </w:p>
    <w:p w14:paraId="094FD9FB">
      <w:pPr>
        <w:pageBreakBefore w:val="0"/>
        <w:widowControl/>
        <w:kinsoku/>
        <w:wordWrap w:val="0"/>
        <w:overflowPunct w:val="0"/>
        <w:topLinePunct/>
        <w:bidi w:val="0"/>
        <w:adjustRightInd w:val="0"/>
        <w:snapToGrid w:val="0"/>
        <w:spacing w:line="360" w:lineRule="auto"/>
        <w:ind w:left="420" w:left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5.全部文件应按供应商须知以及前附表中规定的语言和份数提交。 </w:t>
      </w:r>
    </w:p>
    <w:p w14:paraId="0E02C446">
      <w:pPr>
        <w:pageBreakBefore w:val="0"/>
        <w:widowControl/>
        <w:kinsoku/>
        <w:wordWrap w:val="0"/>
        <w:overflowPunct w:val="0"/>
        <w:topLinePunct/>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6.响应文件应按照响应文件格式逐项填写，无相应内容可填的项应填写“无”“未测试”“没有相应指标”等明确的回答文字。</w:t>
      </w:r>
    </w:p>
    <w:p w14:paraId="3B9C06BA">
      <w:pPr>
        <w:pageBreakBefore w:val="0"/>
        <w:kinsoku/>
        <w:wordWrap w:val="0"/>
        <w:overflowPunct w:val="0"/>
        <w:topLinePunct/>
        <w:bidi w:val="0"/>
        <w:snapToGrid w:val="0"/>
        <w:spacing w:line="360" w:lineRule="auto"/>
        <w:ind w:left="22" w:firstLine="420" w:firstLineChars="200"/>
        <w:rPr>
          <w:rFonts w:hint="eastAsia" w:ascii="仿宋" w:hAnsi="仿宋" w:eastAsia="仿宋" w:cs="仿宋"/>
          <w:color w:val="auto"/>
          <w:szCs w:val="21"/>
          <w:highlight w:val="none"/>
        </w:rPr>
        <w:sectPr>
          <w:headerReference r:id="rId3" w:type="default"/>
          <w:footerReference r:id="rId4" w:type="default"/>
          <w:pgSz w:w="11906" w:h="16838"/>
          <w:pgMar w:top="1701" w:right="1134" w:bottom="1701" w:left="1134" w:header="850" w:footer="998" w:gutter="0"/>
          <w:pgNumType w:start="1"/>
          <w:cols w:space="0" w:num="1"/>
        </w:sectPr>
      </w:pPr>
    </w:p>
    <w:p w14:paraId="3439A428">
      <w:pPr>
        <w:pageBreakBefore w:val="0"/>
        <w:kinsoku/>
        <w:bidi w:val="0"/>
        <w:snapToGrid w:val="0"/>
        <w:spacing w:line="360" w:lineRule="auto"/>
        <w:jc w:val="center"/>
        <w:rPr>
          <w:rFonts w:hint="eastAsia" w:ascii="仿宋" w:hAnsi="仿宋" w:eastAsia="仿宋" w:cs="仿宋"/>
          <w:color w:val="auto"/>
          <w:kern w:val="0"/>
          <w:sz w:val="32"/>
          <w:szCs w:val="32"/>
          <w:highlight w:val="none"/>
        </w:rPr>
      </w:pPr>
    </w:p>
    <w:p w14:paraId="2060CC9F">
      <w:pPr>
        <w:pageBreakBefore w:val="0"/>
        <w:kinsoku/>
        <w:bidi w:val="0"/>
        <w:snapToGrid w:val="0"/>
        <w:spacing w:line="360"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封面</w:t>
      </w:r>
    </w:p>
    <w:p w14:paraId="3E0E3643">
      <w:pPr>
        <w:pageBreakBefore w:val="0"/>
        <w:kinsoku/>
        <w:bidi w:val="0"/>
        <w:snapToGrid w:val="0"/>
        <w:spacing w:line="360" w:lineRule="auto"/>
        <w:jc w:val="center"/>
        <w:rPr>
          <w:rFonts w:hint="eastAsia" w:ascii="仿宋" w:hAnsi="仿宋" w:eastAsia="仿宋" w:cs="仿宋"/>
          <w:b/>
          <w:sz w:val="44"/>
          <w:szCs w:val="44"/>
          <w:highlight w:val="none"/>
        </w:rPr>
      </w:pPr>
    </w:p>
    <w:p w14:paraId="6FAFB39C">
      <w:pPr>
        <w:pageBreakBefore w:val="0"/>
        <w:kinsoku/>
        <w:bidi w:val="0"/>
        <w:snapToGrid w:val="0"/>
        <w:spacing w:line="360" w:lineRule="auto"/>
        <w:jc w:val="center"/>
        <w:rPr>
          <w:rFonts w:hint="eastAsia" w:ascii="仿宋" w:hAnsi="仿宋" w:eastAsia="仿宋" w:cs="仿宋"/>
          <w:b/>
          <w:sz w:val="44"/>
          <w:szCs w:val="44"/>
          <w:highlight w:val="none"/>
        </w:rPr>
      </w:pPr>
    </w:p>
    <w:p w14:paraId="5B314665">
      <w:pPr>
        <w:pageBreakBefore w:val="0"/>
        <w:kinsoku/>
        <w:bidi w:val="0"/>
        <w:snapToGrid w:val="0"/>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询价响应文件</w:t>
      </w:r>
    </w:p>
    <w:p w14:paraId="2934F410">
      <w:pPr>
        <w:pStyle w:val="27"/>
        <w:pageBreakBefore w:val="0"/>
        <w:widowControl/>
        <w:kinsoku/>
        <w:bidi w:val="0"/>
        <w:snapToGrid w:val="0"/>
        <w:spacing w:before="0" w:after="0" w:line="360" w:lineRule="auto"/>
        <w:ind w:firstLine="0"/>
        <w:jc w:val="center"/>
        <w:rPr>
          <w:rFonts w:hint="eastAsia" w:ascii="仿宋" w:hAnsi="仿宋" w:eastAsia="仿宋" w:cs="仿宋"/>
          <w:b/>
          <w:bCs/>
          <w:sz w:val="32"/>
          <w:szCs w:val="32"/>
          <w:highlight w:val="none"/>
        </w:rPr>
      </w:pPr>
    </w:p>
    <w:p w14:paraId="78BC7BA1">
      <w:pPr>
        <w:pageBreakBefore w:val="0"/>
        <w:kinsoku/>
        <w:bidi w:val="0"/>
        <w:snapToGrid w:val="0"/>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（正</w:t>
      </w:r>
      <w:r>
        <w:rPr>
          <w:rFonts w:hint="eastAsia" w:ascii="仿宋" w:hAnsi="仿宋" w:eastAsia="仿宋" w:cs="仿宋"/>
          <w:b/>
          <w:sz w:val="36"/>
          <w:szCs w:val="36"/>
          <w:highlight w:val="none"/>
          <w:lang w:val="en-US" w:eastAsia="zh-CN"/>
        </w:rPr>
        <w:t>本</w:t>
      </w:r>
      <w:r>
        <w:rPr>
          <w:rFonts w:hint="eastAsia" w:ascii="仿宋" w:hAnsi="仿宋" w:eastAsia="仿宋" w:cs="仿宋"/>
          <w:b/>
          <w:sz w:val="36"/>
          <w:szCs w:val="36"/>
          <w:highlight w:val="none"/>
        </w:rPr>
        <w:t>或副本）</w:t>
      </w:r>
    </w:p>
    <w:p w14:paraId="7DBC2E79">
      <w:pPr>
        <w:pageBreakBefore w:val="0"/>
        <w:kinsoku/>
        <w:bidi w:val="0"/>
        <w:snapToGrid w:val="0"/>
        <w:spacing w:line="360" w:lineRule="auto"/>
        <w:ind w:firstLine="1084" w:firstLineChars="30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14:paraId="25A1D855">
      <w:pPr>
        <w:pageBreakBefore w:val="0"/>
        <w:kinsoku/>
        <w:bidi w:val="0"/>
        <w:snapToGrid w:val="0"/>
        <w:spacing w:line="360" w:lineRule="auto"/>
        <w:ind w:firstLine="1084" w:firstLineChars="30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p>
    <w:p w14:paraId="638BAD15">
      <w:pPr>
        <w:pStyle w:val="27"/>
        <w:pageBreakBefore w:val="0"/>
        <w:widowControl/>
        <w:kinsoku/>
        <w:bidi w:val="0"/>
        <w:snapToGrid w:val="0"/>
        <w:spacing w:before="0" w:after="0" w:line="360" w:lineRule="auto"/>
        <w:ind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项目名称：</w:t>
      </w:r>
      <w:r>
        <w:rPr>
          <w:rFonts w:hint="eastAsia" w:ascii="仿宋" w:hAnsi="仿宋" w:eastAsia="仿宋" w:cs="仿宋"/>
          <w:b/>
          <w:sz w:val="36"/>
          <w:szCs w:val="36"/>
          <w:highlight w:val="none"/>
          <w:lang w:eastAsia="zh-CN"/>
        </w:rPr>
        <w:t>伙房荤菜采购项目(2025年1-3月）（第二次）</w:t>
      </w:r>
    </w:p>
    <w:p w14:paraId="5104D5EE">
      <w:pPr>
        <w:pStyle w:val="27"/>
        <w:pageBreakBefore w:val="0"/>
        <w:widowControl/>
        <w:kinsoku/>
        <w:bidi w:val="0"/>
        <w:snapToGrid w:val="0"/>
        <w:spacing w:before="0" w:after="0" w:line="360" w:lineRule="auto"/>
        <w:ind w:left="0" w:leftChars="0" w:firstLine="0" w:firstLineChars="0"/>
        <w:jc w:val="center"/>
        <w:rPr>
          <w:rFonts w:hint="eastAsia" w:ascii="仿宋" w:hAnsi="仿宋" w:eastAsia="仿宋" w:cs="仿宋"/>
          <w:b/>
          <w:sz w:val="36"/>
          <w:szCs w:val="36"/>
          <w:highlight w:val="none"/>
          <w:lang w:eastAsia="zh-CN"/>
        </w:rPr>
      </w:pPr>
      <w:r>
        <w:rPr>
          <w:rFonts w:hint="eastAsia" w:ascii="仿宋" w:hAnsi="仿宋" w:eastAsia="仿宋" w:cs="仿宋"/>
          <w:b/>
          <w:bCs/>
          <w:sz w:val="32"/>
          <w:szCs w:val="32"/>
          <w:highlight w:val="none"/>
        </w:rPr>
        <w:t>项目编号：</w:t>
      </w:r>
      <w:r>
        <w:rPr>
          <w:rFonts w:hint="eastAsia" w:ascii="仿宋" w:hAnsi="仿宋" w:eastAsia="仿宋" w:cs="仿宋"/>
          <w:b/>
          <w:sz w:val="36"/>
          <w:szCs w:val="36"/>
          <w:highlight w:val="none"/>
          <w:lang w:eastAsia="zh-CN"/>
        </w:rPr>
        <w:t>ZJ-JY-2024099</w:t>
      </w:r>
    </w:p>
    <w:p w14:paraId="212E2003">
      <w:pPr>
        <w:pStyle w:val="27"/>
        <w:pageBreakBefore w:val="0"/>
        <w:widowControl/>
        <w:kinsoku/>
        <w:bidi w:val="0"/>
        <w:snapToGrid w:val="0"/>
        <w:spacing w:before="0" w:after="0" w:line="360" w:lineRule="auto"/>
        <w:ind w:left="0" w:leftChars="0" w:firstLine="0" w:firstLineChars="0"/>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代理机构内部编号：ZJ203224534635</w:t>
      </w:r>
    </w:p>
    <w:p w14:paraId="0D13ACB3">
      <w:pPr>
        <w:pageBreakBefore w:val="0"/>
        <w:kinsoku/>
        <w:bidi w:val="0"/>
        <w:snapToGrid w:val="0"/>
        <w:spacing w:line="360" w:lineRule="auto"/>
        <w:ind w:firstLine="1084" w:firstLineChars="300"/>
        <w:rPr>
          <w:rFonts w:hint="eastAsia" w:ascii="仿宋" w:hAnsi="仿宋" w:eastAsia="仿宋" w:cs="仿宋"/>
          <w:b/>
          <w:sz w:val="36"/>
          <w:szCs w:val="36"/>
          <w:highlight w:val="none"/>
        </w:rPr>
      </w:pPr>
    </w:p>
    <w:p w14:paraId="4222F106">
      <w:pPr>
        <w:pageBreakBefore w:val="0"/>
        <w:kinsoku/>
        <w:bidi w:val="0"/>
        <w:snapToGrid w:val="0"/>
        <w:spacing w:line="360" w:lineRule="auto"/>
        <w:ind w:firstLine="1084" w:firstLineChars="300"/>
        <w:rPr>
          <w:rFonts w:hint="eastAsia" w:ascii="仿宋" w:hAnsi="仿宋" w:eastAsia="仿宋" w:cs="仿宋"/>
          <w:b/>
          <w:sz w:val="36"/>
          <w:szCs w:val="36"/>
          <w:highlight w:val="none"/>
        </w:rPr>
      </w:pPr>
    </w:p>
    <w:p w14:paraId="79D7EA25">
      <w:pPr>
        <w:pageBreakBefore w:val="0"/>
        <w:kinsoku/>
        <w:bidi w:val="0"/>
        <w:snapToGrid w:val="0"/>
        <w:spacing w:line="360" w:lineRule="auto"/>
        <w:ind w:firstLine="1084" w:firstLineChars="300"/>
        <w:rPr>
          <w:rFonts w:hint="eastAsia" w:ascii="仿宋" w:hAnsi="仿宋" w:eastAsia="仿宋" w:cs="仿宋"/>
          <w:b/>
          <w:sz w:val="36"/>
          <w:szCs w:val="36"/>
          <w:highlight w:val="none"/>
        </w:rPr>
      </w:pPr>
    </w:p>
    <w:p w14:paraId="2346D101">
      <w:pPr>
        <w:pageBreakBefore w:val="0"/>
        <w:kinsoku/>
        <w:bidi w:val="0"/>
        <w:snapToGrid w:val="0"/>
        <w:spacing w:line="360" w:lineRule="auto"/>
        <w:ind w:firstLine="1084" w:firstLineChars="300"/>
        <w:rPr>
          <w:rFonts w:hint="eastAsia" w:ascii="仿宋" w:hAnsi="仿宋" w:eastAsia="仿宋" w:cs="仿宋"/>
          <w:b/>
          <w:sz w:val="36"/>
          <w:szCs w:val="36"/>
          <w:highlight w:val="none"/>
        </w:rPr>
      </w:pPr>
      <w:r>
        <w:rPr>
          <w:rFonts w:hint="eastAsia" w:ascii="仿宋" w:hAnsi="仿宋" w:eastAsia="仿宋" w:cs="仿宋"/>
          <w:b/>
          <w:sz w:val="36"/>
          <w:szCs w:val="36"/>
          <w:highlight w:val="none"/>
          <w:lang w:eastAsia="zh-CN"/>
        </w:rPr>
        <w:t>供应商</w:t>
      </w:r>
      <w:r>
        <w:rPr>
          <w:rFonts w:hint="eastAsia" w:ascii="仿宋" w:hAnsi="仿宋" w:eastAsia="仿宋" w:cs="仿宋"/>
          <w:b/>
          <w:sz w:val="36"/>
          <w:szCs w:val="36"/>
          <w:highlight w:val="none"/>
        </w:rPr>
        <w:t xml:space="preserve">名称：               </w:t>
      </w:r>
    </w:p>
    <w:p w14:paraId="442A90A4">
      <w:pPr>
        <w:pageBreakBefore w:val="0"/>
        <w:kinsoku/>
        <w:bidi w:val="0"/>
        <w:snapToGrid w:val="0"/>
        <w:spacing w:line="360" w:lineRule="auto"/>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日期：</w:t>
      </w:r>
    </w:p>
    <w:p w14:paraId="20C37A32">
      <w:pPr>
        <w:pStyle w:val="27"/>
        <w:pageBreakBefore w:val="0"/>
        <w:widowControl/>
        <w:kinsoku/>
        <w:bidi w:val="0"/>
        <w:snapToGrid w:val="0"/>
        <w:spacing w:before="0" w:after="0" w:line="360" w:lineRule="auto"/>
        <w:ind w:right="99" w:rightChars="47" w:firstLine="0"/>
        <w:jc w:val="center"/>
        <w:rPr>
          <w:rFonts w:hint="eastAsia" w:ascii="仿宋" w:hAnsi="仿宋" w:eastAsia="仿宋" w:cs="仿宋"/>
          <w:highlight w:val="none"/>
        </w:rPr>
      </w:pPr>
      <w:r>
        <w:rPr>
          <w:rFonts w:hint="eastAsia" w:ascii="仿宋" w:hAnsi="仿宋" w:eastAsia="仿宋" w:cs="仿宋"/>
          <w:highlight w:val="none"/>
        </w:rPr>
        <w:t xml:space="preserve"> </w:t>
      </w:r>
    </w:p>
    <w:p w14:paraId="2EF134FE">
      <w:pPr>
        <w:pStyle w:val="27"/>
        <w:pageBreakBefore w:val="0"/>
        <w:widowControl/>
        <w:kinsoku/>
        <w:bidi w:val="0"/>
        <w:snapToGrid w:val="0"/>
        <w:spacing w:before="0" w:after="0" w:line="360" w:lineRule="auto"/>
        <w:ind w:firstLine="0"/>
        <w:rPr>
          <w:rFonts w:hint="eastAsia" w:ascii="仿宋" w:hAnsi="仿宋" w:eastAsia="仿宋" w:cs="仿宋"/>
          <w:highlight w:val="none"/>
        </w:rPr>
      </w:pPr>
      <w:r>
        <w:rPr>
          <w:rFonts w:hint="eastAsia" w:ascii="仿宋" w:hAnsi="仿宋" w:eastAsia="仿宋" w:cs="仿宋"/>
          <w:highlight w:val="none"/>
        </w:rPr>
        <w:t xml:space="preserve"> </w:t>
      </w:r>
    </w:p>
    <w:p w14:paraId="55FFFCED">
      <w:pPr>
        <w:pStyle w:val="27"/>
        <w:pageBreakBefore w:val="0"/>
        <w:widowControl/>
        <w:kinsoku/>
        <w:bidi w:val="0"/>
        <w:snapToGrid w:val="0"/>
        <w:spacing w:before="0" w:after="0" w:line="360" w:lineRule="auto"/>
        <w:ind w:firstLine="0"/>
        <w:rPr>
          <w:rFonts w:hint="eastAsia" w:ascii="仿宋" w:hAnsi="仿宋" w:eastAsia="仿宋" w:cs="仿宋"/>
          <w:highlight w:val="none"/>
        </w:rPr>
      </w:pPr>
      <w:r>
        <w:rPr>
          <w:rFonts w:hint="eastAsia" w:ascii="仿宋" w:hAnsi="仿宋" w:eastAsia="仿宋" w:cs="仿宋"/>
          <w:highlight w:val="none"/>
        </w:rPr>
        <w:t xml:space="preserve"> </w:t>
      </w:r>
    </w:p>
    <w:p w14:paraId="5F4DD885">
      <w:pPr>
        <w:pStyle w:val="27"/>
        <w:pageBreakBefore w:val="0"/>
        <w:widowControl/>
        <w:kinsoku/>
        <w:bidi w:val="0"/>
        <w:snapToGrid w:val="0"/>
        <w:spacing w:before="0" w:after="0" w:line="360" w:lineRule="auto"/>
        <w:ind w:firstLine="0"/>
        <w:rPr>
          <w:rFonts w:hint="eastAsia" w:ascii="仿宋" w:hAnsi="仿宋" w:eastAsia="仿宋" w:cs="仿宋"/>
          <w:highlight w:val="none"/>
        </w:rPr>
      </w:pPr>
      <w:r>
        <w:rPr>
          <w:rFonts w:hint="eastAsia" w:ascii="仿宋" w:hAnsi="仿宋" w:eastAsia="仿宋" w:cs="仿宋"/>
          <w:highlight w:val="none"/>
        </w:rPr>
        <w:t xml:space="preserve">  </w:t>
      </w:r>
    </w:p>
    <w:p w14:paraId="42B40433">
      <w:pPr>
        <w:pageBreakBefore w:val="0"/>
        <w:kinsoku/>
        <w:bidi w:val="0"/>
        <w:snapToGrid w:val="0"/>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目录</w:t>
      </w:r>
    </w:p>
    <w:p w14:paraId="78E03A6C">
      <w:pPr>
        <w:pageBreakBefore w:val="0"/>
        <w:kinsoku/>
        <w:bidi w:val="0"/>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 xml:space="preserve"> </w:t>
      </w:r>
    </w:p>
    <w:p w14:paraId="177C643B">
      <w:pPr>
        <w:pageBreakBefore w:val="0"/>
        <w:kinsoku/>
        <w:bidi w:val="0"/>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[注：供应商根据附件顺序编制</w:t>
      </w:r>
      <w:r>
        <w:rPr>
          <w:rFonts w:hint="eastAsia" w:ascii="仿宋" w:hAnsi="仿宋" w:eastAsia="仿宋" w:cs="仿宋"/>
          <w:color w:val="auto"/>
          <w:kern w:val="0"/>
          <w:szCs w:val="21"/>
          <w:highlight w:val="none"/>
          <w:lang w:eastAsia="zh-CN"/>
        </w:rPr>
        <w:t>询价文件</w:t>
      </w:r>
      <w:r>
        <w:rPr>
          <w:rFonts w:hint="eastAsia" w:ascii="仿宋" w:hAnsi="仿宋" w:eastAsia="仿宋" w:cs="仿宋"/>
          <w:color w:val="auto"/>
          <w:kern w:val="0"/>
          <w:szCs w:val="21"/>
          <w:highlight w:val="none"/>
        </w:rPr>
        <w:t>并制作目录（须生成页码）]</w:t>
      </w:r>
    </w:p>
    <w:p w14:paraId="724A16D7">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0DFA5BC3">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7D537B55">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3D61E817">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4B192A46">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74C99909">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6672F03B">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05FCF42B">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6D69FAA4">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078C3CBB">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2D89AD07">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3372D0EE">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1A30044D">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4CB0FFAF">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0D172474">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7DA234B9">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61A4E403">
      <w:pPr>
        <w:pageBreakBefore w:val="0"/>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14:paraId="524D15BE">
      <w:pPr>
        <w:pageBreakBefore w:val="0"/>
        <w:kinsoku/>
        <w:bidi w:val="0"/>
        <w:snapToGrid w:val="0"/>
        <w:spacing w:line="360" w:lineRule="auto"/>
        <w:jc w:val="center"/>
        <w:rPr>
          <w:rFonts w:hint="eastAsia" w:ascii="仿宋" w:hAnsi="仿宋" w:eastAsia="仿宋" w:cs="仿宋"/>
          <w:b/>
          <w:sz w:val="32"/>
          <w:szCs w:val="32"/>
          <w:highlight w:val="none"/>
        </w:rPr>
      </w:pPr>
    </w:p>
    <w:p w14:paraId="75C3E085">
      <w:pPr>
        <w:pageBreakBefore w:val="0"/>
        <w:kinsoku/>
        <w:bidi w:val="0"/>
        <w:snapToGrid w:val="0"/>
        <w:spacing w:line="360" w:lineRule="auto"/>
        <w:jc w:val="center"/>
        <w:rPr>
          <w:rFonts w:hint="eastAsia" w:ascii="仿宋" w:hAnsi="仿宋" w:eastAsia="仿宋" w:cs="仿宋"/>
          <w:b/>
          <w:sz w:val="32"/>
          <w:szCs w:val="32"/>
          <w:highlight w:val="none"/>
        </w:rPr>
      </w:pPr>
    </w:p>
    <w:p w14:paraId="4D3EF15A">
      <w:pPr>
        <w:pStyle w:val="16"/>
        <w:pageBreakBefore w:val="0"/>
        <w:kinsoku/>
        <w:bidi w:val="0"/>
        <w:snapToGrid w:val="0"/>
        <w:spacing w:line="360" w:lineRule="auto"/>
        <w:ind w:firstLine="640"/>
        <w:rPr>
          <w:rFonts w:hint="eastAsia" w:ascii="仿宋" w:hAnsi="仿宋" w:eastAsia="仿宋" w:cs="仿宋"/>
          <w:highlight w:val="none"/>
        </w:rPr>
      </w:pPr>
    </w:p>
    <w:p w14:paraId="267EB514">
      <w:pPr>
        <w:pageBreakBefore w:val="0"/>
        <w:numPr>
          <w:ilvl w:val="0"/>
          <w:numId w:val="0"/>
        </w:numPr>
        <w:kinsoku/>
        <w:bidi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资格审查对照表</w:t>
      </w:r>
    </w:p>
    <w:tbl>
      <w:tblPr>
        <w:tblStyle w:val="1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6113"/>
        <w:gridCol w:w="1502"/>
        <w:gridCol w:w="972"/>
      </w:tblGrid>
      <w:tr w14:paraId="6B13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blHeader/>
          <w:jc w:val="center"/>
        </w:trPr>
        <w:tc>
          <w:tcPr>
            <w:tcW w:w="688" w:type="dxa"/>
            <w:vAlign w:val="center"/>
          </w:tcPr>
          <w:p w14:paraId="1DDBFEBB">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6113" w:type="dxa"/>
            <w:vAlign w:val="center"/>
          </w:tcPr>
          <w:p w14:paraId="23A5CB6A">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评审标准</w:t>
            </w:r>
          </w:p>
        </w:tc>
        <w:tc>
          <w:tcPr>
            <w:tcW w:w="1502" w:type="dxa"/>
            <w:vAlign w:val="center"/>
          </w:tcPr>
          <w:p w14:paraId="36909343">
            <w:pPr>
              <w:pageBreakBefore w:val="0"/>
              <w:kinsoku/>
              <w:bidi w:val="0"/>
              <w:snapToGrid w:val="0"/>
              <w:spacing w:line="240" w:lineRule="auto"/>
              <w:jc w:val="center"/>
              <w:rPr>
                <w:rFonts w:hint="eastAsia" w:ascii="仿宋" w:hAnsi="仿宋" w:eastAsia="仿宋" w:cs="仿宋"/>
                <w:b/>
                <w:bCs/>
                <w:color w:val="auto"/>
                <w:kern w:val="0"/>
                <w:sz w:val="21"/>
                <w:szCs w:val="21"/>
                <w:highlight w:val="none"/>
              </w:rPr>
            </w:pPr>
            <w:r>
              <w:rPr>
                <w:rFonts w:hint="eastAsia" w:ascii="仿宋" w:hAnsi="仿宋" w:eastAsia="仿宋" w:cs="仿宋"/>
                <w:sz w:val="21"/>
                <w:szCs w:val="21"/>
                <w:highlight w:val="none"/>
              </w:rPr>
              <w:t>是否响应（填</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是</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或</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p>
        </w:tc>
        <w:tc>
          <w:tcPr>
            <w:tcW w:w="972" w:type="dxa"/>
            <w:vAlign w:val="center"/>
          </w:tcPr>
          <w:p w14:paraId="1D2AAE22">
            <w:pPr>
              <w:pageBreakBefore w:val="0"/>
              <w:kinsoku/>
              <w:bidi w:val="0"/>
              <w:snapToGrid w:val="0"/>
              <w:spacing w:line="240" w:lineRule="auto"/>
              <w:jc w:val="center"/>
              <w:rPr>
                <w:rFonts w:hint="eastAsia" w:ascii="仿宋" w:hAnsi="仿宋" w:eastAsia="仿宋" w:cs="仿宋"/>
                <w:b/>
                <w:bCs/>
                <w:color w:val="auto"/>
                <w:kern w:val="0"/>
                <w:sz w:val="21"/>
                <w:szCs w:val="21"/>
                <w:highlight w:val="none"/>
              </w:rPr>
            </w:pPr>
            <w:r>
              <w:rPr>
                <w:rFonts w:hint="eastAsia" w:ascii="仿宋" w:hAnsi="仿宋" w:eastAsia="仿宋" w:cs="仿宋"/>
                <w:sz w:val="21"/>
                <w:szCs w:val="21"/>
                <w:highlight w:val="none"/>
                <w:lang w:val="en-US" w:eastAsia="zh-CN"/>
              </w:rPr>
              <w:t>材料所在</w:t>
            </w:r>
            <w:r>
              <w:rPr>
                <w:rFonts w:hint="eastAsia" w:ascii="仿宋" w:hAnsi="仿宋" w:eastAsia="仿宋" w:cs="仿宋"/>
                <w:sz w:val="21"/>
                <w:szCs w:val="21"/>
                <w:highlight w:val="none"/>
              </w:rPr>
              <w:t>页码</w:t>
            </w:r>
          </w:p>
        </w:tc>
      </w:tr>
      <w:tr w14:paraId="7BE4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blHeader/>
          <w:jc w:val="center"/>
        </w:trPr>
        <w:tc>
          <w:tcPr>
            <w:tcW w:w="688" w:type="dxa"/>
            <w:vAlign w:val="center"/>
          </w:tcPr>
          <w:p w14:paraId="4F7EA889">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113" w:type="dxa"/>
            <w:vAlign w:val="center"/>
          </w:tcPr>
          <w:p w14:paraId="122CCB09">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具有独立承担民事责任的能力（提供法人或者其他组织的营业执照）。</w:t>
            </w:r>
          </w:p>
        </w:tc>
        <w:tc>
          <w:tcPr>
            <w:tcW w:w="1502" w:type="dxa"/>
            <w:vAlign w:val="center"/>
          </w:tcPr>
          <w:p w14:paraId="49ADEF8E">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7699D86A">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77AD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688" w:type="dxa"/>
            <w:vAlign w:val="center"/>
          </w:tcPr>
          <w:p w14:paraId="4A748F2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6113" w:type="dxa"/>
            <w:vAlign w:val="center"/>
          </w:tcPr>
          <w:p w14:paraId="4AAC2D4B">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具有良好的商业信誉和健全的财务会计制度[提供距开标时间一年内任意一月份的财务状况报告（至少包括资产负债表和利润表）或其2023年度经审计的财务报告；复印件加盖公章]。</w:t>
            </w:r>
          </w:p>
        </w:tc>
        <w:tc>
          <w:tcPr>
            <w:tcW w:w="1502" w:type="dxa"/>
            <w:vAlign w:val="center"/>
          </w:tcPr>
          <w:p w14:paraId="26DFE223">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4FBC793E">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34FF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688" w:type="dxa"/>
            <w:vAlign w:val="center"/>
          </w:tcPr>
          <w:p w14:paraId="257E16B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6113" w:type="dxa"/>
            <w:vAlign w:val="center"/>
          </w:tcPr>
          <w:p w14:paraId="546606C0">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有依法缴纳税收的良好记录，提供距开标时间一年内任意一月份的纳税凭据复印件加盖公章（依法免税的应提供相应文件说明）。</w:t>
            </w:r>
          </w:p>
        </w:tc>
        <w:tc>
          <w:tcPr>
            <w:tcW w:w="1502" w:type="dxa"/>
            <w:vAlign w:val="center"/>
          </w:tcPr>
          <w:p w14:paraId="040B22A4">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466E52A1">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3658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688" w:type="dxa"/>
            <w:vAlign w:val="center"/>
          </w:tcPr>
          <w:p w14:paraId="565F488B">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6113" w:type="dxa"/>
            <w:vAlign w:val="center"/>
          </w:tcPr>
          <w:p w14:paraId="20F8B48C">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有依法缴纳社会保障资金的良好记录，提供距开标时间一年内任意一月份的依法缴纳社会保障资金的凭据复印件加盖公章。</w:t>
            </w:r>
          </w:p>
        </w:tc>
        <w:tc>
          <w:tcPr>
            <w:tcW w:w="1502" w:type="dxa"/>
            <w:vAlign w:val="center"/>
          </w:tcPr>
          <w:p w14:paraId="04E6E053">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2B82C911">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70CD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blHeader/>
          <w:jc w:val="center"/>
        </w:trPr>
        <w:tc>
          <w:tcPr>
            <w:tcW w:w="688" w:type="dxa"/>
            <w:vAlign w:val="center"/>
          </w:tcPr>
          <w:p w14:paraId="1FF4F667">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6113" w:type="dxa"/>
            <w:vAlign w:val="center"/>
          </w:tcPr>
          <w:p w14:paraId="10E22F61">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具有履行合同所必需的设备和专业技术能力（供应商根据履行采购项目合同需要，提供具有履行合同所必需的设备和专业技术能力的声明或证明材料）。</w:t>
            </w:r>
          </w:p>
        </w:tc>
        <w:tc>
          <w:tcPr>
            <w:tcW w:w="1502" w:type="dxa"/>
            <w:vAlign w:val="center"/>
          </w:tcPr>
          <w:p w14:paraId="265949D2">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3F60A6F1">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3455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688" w:type="dxa"/>
            <w:vAlign w:val="center"/>
          </w:tcPr>
          <w:p w14:paraId="26880041">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6113" w:type="dxa"/>
            <w:vAlign w:val="center"/>
          </w:tcPr>
          <w:p w14:paraId="311A0AC4">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参加采购活动近三年内，在经营活动中没有重大违法记录（提供承诺书，格式自拟，重大违法记录是指供应商因违法经营受到刑事处罚或责令停产停业、吊销许可证或者执照、较大数额等行政处罚）。</w:t>
            </w:r>
          </w:p>
        </w:tc>
        <w:tc>
          <w:tcPr>
            <w:tcW w:w="1502" w:type="dxa"/>
            <w:vAlign w:val="center"/>
          </w:tcPr>
          <w:p w14:paraId="6611E436">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5C632A6E">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0646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blHeader/>
          <w:jc w:val="center"/>
        </w:trPr>
        <w:tc>
          <w:tcPr>
            <w:tcW w:w="688" w:type="dxa"/>
            <w:vAlign w:val="center"/>
          </w:tcPr>
          <w:p w14:paraId="4090A53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6113" w:type="dxa"/>
            <w:vAlign w:val="center"/>
          </w:tcPr>
          <w:p w14:paraId="0269BC73">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根据财政部、工业和信息化部关于印发《政府采购促进中小企业发展管理办法》的通知、江苏省财政厅《关于做好政府采购支持企业发展有关事项的通知》、《江苏省财政厅关于进一步加大政府采购支持中小企业力度的通知》（苏财购【2022】45号）的相关规定，本项目专门面向中小微企业采购，只接受中小微企业、监狱企业、残疾人福利性单位参加询价。中小企业划分标准见《工业和信息化部、国家统计局、国家发展和改革委员会、财政部关于印发中小企业划型标准规定的通知》。</w:t>
            </w:r>
          </w:p>
          <w:p w14:paraId="0DE042F0">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本项目所属行业:批发类。中小企业划分标准按《关于印发中小企业划型标准规定的通知》（工信部联企业〔2011〕300号）执行。</w:t>
            </w:r>
          </w:p>
        </w:tc>
        <w:tc>
          <w:tcPr>
            <w:tcW w:w="1502" w:type="dxa"/>
            <w:vAlign w:val="center"/>
          </w:tcPr>
          <w:p w14:paraId="393227C9">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4DF4FBC0">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65DF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jc w:val="center"/>
        </w:trPr>
        <w:tc>
          <w:tcPr>
            <w:tcW w:w="688" w:type="dxa"/>
            <w:vAlign w:val="center"/>
          </w:tcPr>
          <w:p w14:paraId="06B87A5F">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6113" w:type="dxa"/>
            <w:vAlign w:val="center"/>
          </w:tcPr>
          <w:p w14:paraId="0CF75ECA">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lang w:val="en-US" w:eastAsia="zh-CN"/>
              </w:rPr>
              <w:t>具有有效期内的</w:t>
            </w:r>
            <w:r>
              <w:rPr>
                <w:rFonts w:hint="eastAsia" w:ascii="仿宋" w:hAnsi="仿宋" w:eastAsia="仿宋" w:cs="仿宋"/>
                <w:sz w:val="21"/>
                <w:szCs w:val="21"/>
                <w:highlight w:val="none"/>
                <w:lang w:eastAsia="zh-CN"/>
              </w:rPr>
              <w:t>《食品流通许可证》或《食品经营许可证》或《食品生产许可证》。（提供证书复印件）</w:t>
            </w:r>
          </w:p>
        </w:tc>
        <w:tc>
          <w:tcPr>
            <w:tcW w:w="1502" w:type="dxa"/>
            <w:vAlign w:val="center"/>
          </w:tcPr>
          <w:p w14:paraId="4223A87D">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07B1678D">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657A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688" w:type="dxa"/>
            <w:vAlign w:val="center"/>
          </w:tcPr>
          <w:p w14:paraId="034A07C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9</w:t>
            </w:r>
          </w:p>
        </w:tc>
        <w:tc>
          <w:tcPr>
            <w:tcW w:w="6113" w:type="dxa"/>
            <w:vAlign w:val="center"/>
          </w:tcPr>
          <w:p w14:paraId="15411928">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lang w:eastAsia="zh-CN"/>
              </w:rPr>
              <w:t>未被“信用中国”网站（www.creditchina.gov.cn）列入失信被执行人、重大税收违法案件当事人名单；未被“中国政府采购网”（www.ccgp.gov.cn）列入政府采购严重失信行为记录名单。</w:t>
            </w:r>
          </w:p>
        </w:tc>
        <w:tc>
          <w:tcPr>
            <w:tcW w:w="1502" w:type="dxa"/>
            <w:vAlign w:val="center"/>
          </w:tcPr>
          <w:p w14:paraId="61B5F63B">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val="en-US" w:eastAsia="zh-CN"/>
              </w:rPr>
            </w:pPr>
          </w:p>
        </w:tc>
        <w:tc>
          <w:tcPr>
            <w:tcW w:w="972" w:type="dxa"/>
            <w:vAlign w:val="center"/>
          </w:tcPr>
          <w:p w14:paraId="3BD9451B">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val="en-US" w:eastAsia="zh-CN"/>
              </w:rPr>
            </w:pPr>
          </w:p>
        </w:tc>
      </w:tr>
      <w:tr w14:paraId="5582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blHeader/>
          <w:jc w:val="center"/>
        </w:trPr>
        <w:tc>
          <w:tcPr>
            <w:tcW w:w="688" w:type="dxa"/>
            <w:vAlign w:val="center"/>
          </w:tcPr>
          <w:p w14:paraId="2F268EC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6113" w:type="dxa"/>
            <w:vAlign w:val="center"/>
          </w:tcPr>
          <w:p w14:paraId="4C4859F5">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单位负责人为同一人或者存在直接控股、管理关系的不同供应商，不得同时参加本项目同一包的投标。（提供承诺书或声明，正本中应为原件）</w:t>
            </w:r>
          </w:p>
        </w:tc>
        <w:tc>
          <w:tcPr>
            <w:tcW w:w="1502" w:type="dxa"/>
            <w:vAlign w:val="center"/>
          </w:tcPr>
          <w:p w14:paraId="38145038">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211DC0C1">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0067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blHeader/>
          <w:jc w:val="center"/>
        </w:trPr>
        <w:tc>
          <w:tcPr>
            <w:tcW w:w="688" w:type="dxa"/>
            <w:vAlign w:val="center"/>
          </w:tcPr>
          <w:p w14:paraId="09246E70">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6113" w:type="dxa"/>
            <w:vAlign w:val="center"/>
          </w:tcPr>
          <w:p w14:paraId="3BF9EF52">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三个月内因违约被本项目采购人函告的供应商，不得参加本次询价。</w:t>
            </w:r>
          </w:p>
        </w:tc>
        <w:tc>
          <w:tcPr>
            <w:tcW w:w="1502" w:type="dxa"/>
            <w:vAlign w:val="center"/>
          </w:tcPr>
          <w:p w14:paraId="636F4515">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206034F9">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21C9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blHeader/>
          <w:jc w:val="center"/>
        </w:trPr>
        <w:tc>
          <w:tcPr>
            <w:tcW w:w="688" w:type="dxa"/>
            <w:vAlign w:val="center"/>
          </w:tcPr>
          <w:p w14:paraId="4FE56F04">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6113" w:type="dxa"/>
            <w:vAlign w:val="center"/>
          </w:tcPr>
          <w:p w14:paraId="489A71E4">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本项目不接受联合体参与询价</w:t>
            </w:r>
            <w:r>
              <w:rPr>
                <w:rFonts w:hint="eastAsia" w:ascii="仿宋" w:hAnsi="仿宋" w:eastAsia="仿宋" w:cs="仿宋"/>
                <w:sz w:val="21"/>
                <w:szCs w:val="21"/>
                <w:highlight w:val="none"/>
                <w:lang w:val="en-US" w:eastAsia="zh-CN"/>
              </w:rPr>
              <w:t>。</w:t>
            </w:r>
          </w:p>
        </w:tc>
        <w:tc>
          <w:tcPr>
            <w:tcW w:w="1502" w:type="dxa"/>
            <w:vAlign w:val="center"/>
          </w:tcPr>
          <w:p w14:paraId="70892B86">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77EFE6CD">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r w14:paraId="1432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688" w:type="dxa"/>
            <w:vAlign w:val="center"/>
          </w:tcPr>
          <w:p w14:paraId="26C12C6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6113" w:type="dxa"/>
            <w:vAlign w:val="center"/>
          </w:tcPr>
          <w:p w14:paraId="3FAC0631">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本项目不接受供应商使用进口产品参与询价。</w:t>
            </w:r>
          </w:p>
        </w:tc>
        <w:tc>
          <w:tcPr>
            <w:tcW w:w="1502" w:type="dxa"/>
            <w:vAlign w:val="center"/>
          </w:tcPr>
          <w:p w14:paraId="1A96F37F">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c>
          <w:tcPr>
            <w:tcW w:w="972" w:type="dxa"/>
            <w:vAlign w:val="center"/>
          </w:tcPr>
          <w:p w14:paraId="338A012E">
            <w:pPr>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21"/>
                <w:szCs w:val="21"/>
                <w:highlight w:val="none"/>
                <w:lang w:eastAsia="zh-CN"/>
              </w:rPr>
            </w:pPr>
          </w:p>
        </w:tc>
      </w:tr>
    </w:tbl>
    <w:p w14:paraId="2B553A05">
      <w:pPr>
        <w:pStyle w:val="22"/>
        <w:widowControl w:val="0"/>
        <w:numPr>
          <w:ilvl w:val="0"/>
          <w:numId w:val="0"/>
        </w:numPr>
        <w:spacing w:before="120" w:after="120" w:line="300" w:lineRule="auto"/>
        <w:jc w:val="center"/>
        <w:rPr>
          <w:rFonts w:hint="eastAsia" w:ascii="仿宋" w:hAnsi="仿宋" w:eastAsia="仿宋" w:cs="仿宋"/>
          <w:highlight w:val="none"/>
        </w:rPr>
      </w:pPr>
    </w:p>
    <w:p w14:paraId="20FA0E3C">
      <w:pPr>
        <w:rPr>
          <w:rFonts w:hint="eastAsia" w:ascii="仿宋" w:hAnsi="仿宋" w:eastAsia="仿宋" w:cs="仿宋"/>
          <w:highlight w:val="none"/>
        </w:rPr>
      </w:pPr>
    </w:p>
    <w:p w14:paraId="5FD08D55">
      <w:pPr>
        <w:pStyle w:val="22"/>
        <w:rPr>
          <w:rFonts w:hint="eastAsia" w:ascii="仿宋" w:hAnsi="仿宋" w:eastAsia="仿宋" w:cs="仿宋"/>
          <w:highlight w:val="none"/>
        </w:rPr>
      </w:pPr>
    </w:p>
    <w:p w14:paraId="02E9E298">
      <w:pPr>
        <w:pageBreakBefore w:val="0"/>
        <w:kinsoku/>
        <w:bidi w:val="0"/>
        <w:snapToGrid w:val="0"/>
        <w:spacing w:line="360" w:lineRule="auto"/>
        <w:ind w:left="238"/>
        <w:jc w:val="center"/>
        <w:outlineLvl w:val="1"/>
        <w:rPr>
          <w:rFonts w:hint="eastAsia" w:ascii="仿宋" w:hAnsi="仿宋" w:eastAsia="仿宋" w:cs="仿宋"/>
          <w:b/>
          <w:color w:val="auto"/>
          <w:sz w:val="32"/>
          <w:szCs w:val="32"/>
          <w:highlight w:val="none"/>
        </w:rPr>
      </w:pPr>
      <w:bookmarkStart w:id="13" w:name="_Toc4593"/>
      <w:r>
        <w:rPr>
          <w:rFonts w:hint="eastAsia" w:ascii="仿宋" w:hAnsi="仿宋" w:eastAsia="仿宋" w:cs="仿宋"/>
          <w:b/>
          <w:color w:val="auto"/>
          <w:sz w:val="32"/>
          <w:szCs w:val="32"/>
          <w:highlight w:val="none"/>
        </w:rPr>
        <w:br w:type="column"/>
      </w:r>
      <w:r>
        <w:rPr>
          <w:rFonts w:hint="eastAsia" w:ascii="仿宋" w:hAnsi="仿宋" w:eastAsia="仿宋" w:cs="仿宋"/>
          <w:b/>
          <w:color w:val="auto"/>
          <w:sz w:val="32"/>
          <w:szCs w:val="32"/>
          <w:highlight w:val="none"/>
        </w:rPr>
        <w:t>符合性审查</w:t>
      </w:r>
      <w:r>
        <w:rPr>
          <w:rFonts w:hint="eastAsia" w:ascii="仿宋" w:hAnsi="仿宋" w:eastAsia="仿宋" w:cs="仿宋"/>
          <w:b/>
          <w:color w:val="auto"/>
          <w:sz w:val="32"/>
          <w:szCs w:val="32"/>
          <w:highlight w:val="none"/>
          <w:lang w:val="en-US" w:eastAsia="zh-CN"/>
        </w:rPr>
        <w:t>对照</w:t>
      </w:r>
      <w:r>
        <w:rPr>
          <w:rFonts w:hint="eastAsia" w:ascii="仿宋" w:hAnsi="仿宋" w:eastAsia="仿宋" w:cs="仿宋"/>
          <w:b/>
          <w:color w:val="auto"/>
          <w:sz w:val="32"/>
          <w:szCs w:val="32"/>
          <w:highlight w:val="none"/>
        </w:rPr>
        <w:t>表</w:t>
      </w:r>
      <w:bookmarkEnd w:id="13"/>
    </w:p>
    <w:tbl>
      <w:tblPr>
        <w:tblStyle w:val="17"/>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83"/>
        <w:gridCol w:w="6221"/>
        <w:gridCol w:w="946"/>
      </w:tblGrid>
      <w:tr w14:paraId="5770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53133EFA">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703" w:type="pct"/>
            <w:vAlign w:val="center"/>
          </w:tcPr>
          <w:p w14:paraId="5EBAE739">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评审因素</w:t>
            </w:r>
          </w:p>
        </w:tc>
        <w:tc>
          <w:tcPr>
            <w:tcW w:w="3407" w:type="pct"/>
            <w:vAlign w:val="center"/>
          </w:tcPr>
          <w:p w14:paraId="26251C8C">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评审标准</w:t>
            </w:r>
          </w:p>
        </w:tc>
        <w:tc>
          <w:tcPr>
            <w:tcW w:w="518" w:type="pct"/>
            <w:vAlign w:val="center"/>
          </w:tcPr>
          <w:p w14:paraId="088D9B38">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0"/>
                <w:sz w:val="21"/>
                <w:szCs w:val="21"/>
                <w:highlight w:val="none"/>
              </w:rPr>
            </w:pPr>
            <w:r>
              <w:rPr>
                <w:rFonts w:hint="eastAsia" w:ascii="仿宋" w:hAnsi="仿宋" w:eastAsia="仿宋" w:cs="仿宋"/>
                <w:sz w:val="21"/>
                <w:szCs w:val="21"/>
                <w:highlight w:val="none"/>
                <w:lang w:val="en-US" w:eastAsia="zh-CN"/>
              </w:rPr>
              <w:t>材料所在</w:t>
            </w:r>
            <w:r>
              <w:rPr>
                <w:rFonts w:hint="eastAsia" w:ascii="仿宋" w:hAnsi="仿宋" w:eastAsia="仿宋" w:cs="仿宋"/>
                <w:sz w:val="21"/>
                <w:szCs w:val="21"/>
                <w:highlight w:val="none"/>
              </w:rPr>
              <w:t>页码</w:t>
            </w:r>
          </w:p>
        </w:tc>
      </w:tr>
      <w:tr w14:paraId="75A3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42711B00">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p>
        </w:tc>
        <w:tc>
          <w:tcPr>
            <w:tcW w:w="703" w:type="pct"/>
            <w:vAlign w:val="center"/>
          </w:tcPr>
          <w:p w14:paraId="62A9750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响应文件签字、盖章</w:t>
            </w:r>
          </w:p>
        </w:tc>
        <w:tc>
          <w:tcPr>
            <w:tcW w:w="3407" w:type="pct"/>
            <w:vAlign w:val="center"/>
          </w:tcPr>
          <w:p w14:paraId="198F0A7C">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响应文件按照</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要求签署、盖章。由法定代表人签字的，应附法定代表人身份证明；由代理人签字的，应附授权委托书及身份证明。</w:t>
            </w:r>
          </w:p>
        </w:tc>
        <w:tc>
          <w:tcPr>
            <w:tcW w:w="518" w:type="pct"/>
            <w:vAlign w:val="center"/>
          </w:tcPr>
          <w:p w14:paraId="7027A520">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66F7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restart"/>
            <w:vAlign w:val="center"/>
          </w:tcPr>
          <w:p w14:paraId="581EBA6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p>
        </w:tc>
        <w:tc>
          <w:tcPr>
            <w:tcW w:w="703" w:type="pct"/>
            <w:vMerge w:val="restart"/>
            <w:vAlign w:val="center"/>
          </w:tcPr>
          <w:p w14:paraId="76FE700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响应报价</w:t>
            </w:r>
          </w:p>
        </w:tc>
        <w:tc>
          <w:tcPr>
            <w:tcW w:w="3407" w:type="pct"/>
            <w:vAlign w:val="center"/>
          </w:tcPr>
          <w:p w14:paraId="09C921AA">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报价没有超过</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中规定的预算金额或者最高限价</w:t>
            </w:r>
          </w:p>
        </w:tc>
        <w:tc>
          <w:tcPr>
            <w:tcW w:w="518" w:type="pct"/>
            <w:vAlign w:val="center"/>
          </w:tcPr>
          <w:p w14:paraId="48614589">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242E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vAlign w:val="center"/>
          </w:tcPr>
          <w:p w14:paraId="697F37E8">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703" w:type="pct"/>
            <w:vMerge w:val="continue"/>
            <w:vAlign w:val="center"/>
          </w:tcPr>
          <w:p w14:paraId="339010F1">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3407" w:type="pct"/>
            <w:vAlign w:val="center"/>
          </w:tcPr>
          <w:p w14:paraId="165E907A">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每一项产品/服务没有两个或多个报价，</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如有特别说明的除外</w:t>
            </w:r>
          </w:p>
        </w:tc>
        <w:tc>
          <w:tcPr>
            <w:tcW w:w="518" w:type="pct"/>
            <w:vAlign w:val="center"/>
          </w:tcPr>
          <w:p w14:paraId="1C02AB16">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6E44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vAlign w:val="center"/>
          </w:tcPr>
          <w:p w14:paraId="4B0313B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703" w:type="pct"/>
            <w:vMerge w:val="continue"/>
            <w:vAlign w:val="center"/>
          </w:tcPr>
          <w:p w14:paraId="097CBD0D">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p>
        </w:tc>
        <w:tc>
          <w:tcPr>
            <w:tcW w:w="3407" w:type="pct"/>
            <w:vAlign w:val="center"/>
          </w:tcPr>
          <w:p w14:paraId="6E7C8194">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接受</w:t>
            </w:r>
            <w:r>
              <w:rPr>
                <w:rFonts w:hint="eastAsia" w:ascii="仿宋" w:hAnsi="仿宋" w:eastAsia="仿宋" w:cs="仿宋"/>
                <w:color w:val="auto"/>
                <w:kern w:val="0"/>
                <w:sz w:val="21"/>
                <w:szCs w:val="21"/>
                <w:highlight w:val="none"/>
                <w:lang w:val="en-US" w:eastAsia="zh-CN"/>
              </w:rPr>
              <w:t>询价小组</w:t>
            </w:r>
            <w:r>
              <w:rPr>
                <w:rFonts w:hint="eastAsia" w:ascii="仿宋" w:hAnsi="仿宋" w:eastAsia="仿宋" w:cs="仿宋"/>
                <w:color w:val="auto"/>
                <w:kern w:val="0"/>
                <w:sz w:val="21"/>
                <w:szCs w:val="21"/>
                <w:highlight w:val="none"/>
              </w:rPr>
              <w:t>对响应文件报价出现前后不一致的修正</w:t>
            </w:r>
          </w:p>
        </w:tc>
        <w:tc>
          <w:tcPr>
            <w:tcW w:w="518" w:type="pct"/>
            <w:vAlign w:val="center"/>
          </w:tcPr>
          <w:p w14:paraId="26A65C6F">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463F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20E2A02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p>
        </w:tc>
        <w:tc>
          <w:tcPr>
            <w:tcW w:w="703" w:type="pct"/>
            <w:vAlign w:val="center"/>
          </w:tcPr>
          <w:p w14:paraId="07852065">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响应文件份数</w:t>
            </w:r>
          </w:p>
        </w:tc>
        <w:tc>
          <w:tcPr>
            <w:tcW w:w="3407" w:type="pct"/>
            <w:vAlign w:val="center"/>
          </w:tcPr>
          <w:p w14:paraId="09A51EC5">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响应文件正本一份，副本三份，电子版本一份</w:t>
            </w:r>
          </w:p>
        </w:tc>
        <w:tc>
          <w:tcPr>
            <w:tcW w:w="518" w:type="pct"/>
            <w:vAlign w:val="center"/>
          </w:tcPr>
          <w:p w14:paraId="364934E8">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6D20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10FC436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p>
        </w:tc>
        <w:tc>
          <w:tcPr>
            <w:tcW w:w="703" w:type="pct"/>
            <w:vAlign w:val="center"/>
          </w:tcPr>
          <w:p w14:paraId="6B19C61E">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实质性条款</w:t>
            </w:r>
          </w:p>
        </w:tc>
        <w:tc>
          <w:tcPr>
            <w:tcW w:w="3407" w:type="pct"/>
            <w:vAlign w:val="center"/>
          </w:tcPr>
          <w:p w14:paraId="68B79BF5">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实质性条款</w:t>
            </w:r>
            <w:r>
              <w:rPr>
                <w:rFonts w:hint="eastAsia" w:ascii="仿宋" w:hAnsi="仿宋" w:eastAsia="仿宋" w:cs="仿宋"/>
                <w:color w:val="auto"/>
                <w:kern w:val="0"/>
                <w:sz w:val="21"/>
                <w:szCs w:val="21"/>
                <w:highlight w:val="none"/>
                <w:lang w:val="en-US" w:eastAsia="zh-CN"/>
              </w:rPr>
              <w:t>（标</w:t>
            </w:r>
            <w:r>
              <w:rPr>
                <w:rFonts w:hint="eastAsia" w:ascii="仿宋" w:hAnsi="仿宋" w:eastAsia="仿宋" w:cs="仿宋"/>
                <w:b w:val="0"/>
                <w:bCs w:val="0"/>
                <w:color w:val="auto"/>
                <w:kern w:val="0"/>
                <w:szCs w:val="21"/>
                <w:highlight w:val="none"/>
              </w:rPr>
              <w:t>★</w:t>
            </w:r>
            <w:r>
              <w:rPr>
                <w:rFonts w:hint="eastAsia" w:ascii="仿宋" w:hAnsi="仿宋" w:eastAsia="仿宋" w:cs="仿宋"/>
                <w:b w:val="0"/>
                <w:bCs w:val="0"/>
                <w:color w:val="auto"/>
                <w:kern w:val="0"/>
                <w:szCs w:val="21"/>
                <w:highlight w:val="none"/>
                <w:lang w:val="en-US" w:eastAsia="zh-CN"/>
              </w:rPr>
              <w:t>号的加粗</w:t>
            </w:r>
            <w:r>
              <w:rPr>
                <w:rFonts w:hint="eastAsia" w:ascii="仿宋" w:hAnsi="仿宋" w:eastAsia="仿宋" w:cs="仿宋"/>
                <w:b w:val="0"/>
                <w:bCs w:val="0"/>
                <w:color w:val="auto"/>
                <w:kern w:val="0"/>
                <w:sz w:val="21"/>
                <w:szCs w:val="21"/>
                <w:highlight w:val="none"/>
                <w:lang w:val="en-US" w:eastAsia="zh-CN"/>
              </w:rPr>
              <w:t>斜体</w:t>
            </w:r>
            <w:r>
              <w:rPr>
                <w:rFonts w:hint="eastAsia" w:ascii="仿宋" w:hAnsi="仿宋" w:eastAsia="仿宋" w:cs="仿宋"/>
                <w:color w:val="auto"/>
                <w:kern w:val="0"/>
                <w:sz w:val="21"/>
                <w:szCs w:val="21"/>
                <w:highlight w:val="none"/>
                <w:lang w:val="en-US" w:eastAsia="zh-CN"/>
              </w:rPr>
              <w:t>下画线字，如有）没有</w:t>
            </w:r>
            <w:r>
              <w:rPr>
                <w:rFonts w:hint="eastAsia" w:ascii="仿宋" w:hAnsi="仿宋" w:eastAsia="仿宋" w:cs="仿宋"/>
                <w:color w:val="auto"/>
                <w:kern w:val="0"/>
                <w:sz w:val="21"/>
                <w:szCs w:val="21"/>
                <w:highlight w:val="none"/>
              </w:rPr>
              <w:t>负偏离并且有佐证材料予以支持</w:t>
            </w:r>
          </w:p>
        </w:tc>
        <w:tc>
          <w:tcPr>
            <w:tcW w:w="518" w:type="pct"/>
            <w:vAlign w:val="center"/>
          </w:tcPr>
          <w:p w14:paraId="189BC83E">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1531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7647D09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p>
        </w:tc>
        <w:tc>
          <w:tcPr>
            <w:tcW w:w="703" w:type="pct"/>
            <w:vAlign w:val="center"/>
          </w:tcPr>
          <w:p w14:paraId="03D790FC">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商务要求</w:t>
            </w:r>
          </w:p>
        </w:tc>
        <w:tc>
          <w:tcPr>
            <w:tcW w:w="3407" w:type="pct"/>
            <w:vAlign w:val="center"/>
          </w:tcPr>
          <w:p w14:paraId="4594B1F5">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中的商务要求条款，没有任何一项负偏离</w:t>
            </w:r>
          </w:p>
        </w:tc>
        <w:tc>
          <w:tcPr>
            <w:tcW w:w="518" w:type="pct"/>
            <w:vAlign w:val="center"/>
          </w:tcPr>
          <w:p w14:paraId="3E0AD096">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lang w:eastAsia="zh-CN"/>
              </w:rPr>
            </w:pPr>
          </w:p>
        </w:tc>
      </w:tr>
      <w:tr w14:paraId="2C3C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66DCF1D9">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c>
          <w:tcPr>
            <w:tcW w:w="703" w:type="pct"/>
            <w:vAlign w:val="center"/>
          </w:tcPr>
          <w:p w14:paraId="27EC9436">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rPr>
              <w:t>有效期</w:t>
            </w:r>
          </w:p>
        </w:tc>
        <w:tc>
          <w:tcPr>
            <w:tcW w:w="3407" w:type="pct"/>
            <w:vAlign w:val="center"/>
          </w:tcPr>
          <w:p w14:paraId="1DA1EB71">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满足</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要求</w:t>
            </w:r>
          </w:p>
        </w:tc>
        <w:tc>
          <w:tcPr>
            <w:tcW w:w="518" w:type="pct"/>
            <w:vAlign w:val="center"/>
          </w:tcPr>
          <w:p w14:paraId="2A3F1C6A">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2995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01D69A2A">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7</w:t>
            </w:r>
          </w:p>
        </w:tc>
        <w:tc>
          <w:tcPr>
            <w:tcW w:w="703" w:type="pct"/>
            <w:vAlign w:val="center"/>
          </w:tcPr>
          <w:p w14:paraId="24484153">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串通投标</w:t>
            </w:r>
          </w:p>
        </w:tc>
        <w:tc>
          <w:tcPr>
            <w:tcW w:w="3407" w:type="pct"/>
            <w:vAlign w:val="center"/>
          </w:tcPr>
          <w:p w14:paraId="14F201FC">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没有</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第</w:t>
            </w:r>
            <w:r>
              <w:rPr>
                <w:rFonts w:hint="eastAsia" w:ascii="仿宋" w:hAnsi="仿宋" w:eastAsia="仿宋" w:cs="仿宋"/>
                <w:color w:val="auto"/>
                <w:kern w:val="0"/>
                <w:sz w:val="21"/>
                <w:szCs w:val="21"/>
                <w:highlight w:val="none"/>
                <w:lang w:val="en-US" w:eastAsia="zh-CN"/>
              </w:rPr>
              <w:t>二章 询价须知“六</w:t>
            </w:r>
            <w:r>
              <w:rPr>
                <w:rFonts w:hint="eastAsia" w:ascii="仿宋" w:hAnsi="仿宋" w:eastAsia="仿宋" w:cs="仿宋"/>
                <w:color w:val="auto"/>
                <w:kern w:val="0"/>
                <w:sz w:val="21"/>
                <w:szCs w:val="21"/>
                <w:highlight w:val="none"/>
                <w:lang w:val="zh-CN" w:eastAsia="zh-CN"/>
              </w:rPr>
              <w:t>、诚实信用</w:t>
            </w:r>
            <w:r>
              <w:rPr>
                <w:rFonts w:hint="eastAsia" w:ascii="仿宋" w:hAnsi="仿宋" w:eastAsia="仿宋" w:cs="仿宋"/>
                <w:color w:val="auto"/>
                <w:kern w:val="0"/>
                <w:sz w:val="21"/>
                <w:szCs w:val="21"/>
                <w:highlight w:val="none"/>
                <w:lang w:val="en-US" w:eastAsia="zh-CN"/>
              </w:rPr>
              <w:t>”第1条</w:t>
            </w:r>
            <w:r>
              <w:rPr>
                <w:rFonts w:hint="eastAsia" w:ascii="仿宋" w:hAnsi="仿宋" w:eastAsia="仿宋" w:cs="仿宋"/>
                <w:color w:val="auto"/>
                <w:kern w:val="0"/>
                <w:sz w:val="21"/>
                <w:szCs w:val="21"/>
                <w:highlight w:val="none"/>
              </w:rPr>
              <w:t>的供应商串通投标情形</w:t>
            </w:r>
          </w:p>
        </w:tc>
        <w:tc>
          <w:tcPr>
            <w:tcW w:w="518" w:type="pct"/>
            <w:vAlign w:val="center"/>
          </w:tcPr>
          <w:p w14:paraId="41C80C38">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423C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54823702">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p>
        </w:tc>
        <w:tc>
          <w:tcPr>
            <w:tcW w:w="703" w:type="pct"/>
            <w:vAlign w:val="center"/>
          </w:tcPr>
          <w:p w14:paraId="769DB9A5">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附加条件</w:t>
            </w:r>
          </w:p>
        </w:tc>
        <w:tc>
          <w:tcPr>
            <w:tcW w:w="3407" w:type="pct"/>
            <w:vAlign w:val="center"/>
          </w:tcPr>
          <w:p w14:paraId="7EBBD269">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响应文件没有采购人不能接受的附加条件</w:t>
            </w:r>
          </w:p>
        </w:tc>
        <w:tc>
          <w:tcPr>
            <w:tcW w:w="518" w:type="pct"/>
            <w:vAlign w:val="center"/>
          </w:tcPr>
          <w:p w14:paraId="16FB7865">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r w14:paraId="5902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Align w:val="center"/>
          </w:tcPr>
          <w:p w14:paraId="432A29C8">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9</w:t>
            </w:r>
          </w:p>
        </w:tc>
        <w:tc>
          <w:tcPr>
            <w:tcW w:w="703" w:type="pct"/>
            <w:vAlign w:val="center"/>
          </w:tcPr>
          <w:p w14:paraId="1D23BF30">
            <w:pPr>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其他无效情形</w:t>
            </w:r>
          </w:p>
        </w:tc>
        <w:tc>
          <w:tcPr>
            <w:tcW w:w="3407" w:type="pct"/>
            <w:vAlign w:val="center"/>
          </w:tcPr>
          <w:p w14:paraId="10097DA4">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响应文件没有法律、法规和</w:t>
            </w:r>
            <w:r>
              <w:rPr>
                <w:rFonts w:hint="eastAsia" w:ascii="仿宋" w:hAnsi="仿宋" w:eastAsia="仿宋" w:cs="仿宋"/>
                <w:color w:val="auto"/>
                <w:kern w:val="0"/>
                <w:sz w:val="21"/>
                <w:szCs w:val="21"/>
                <w:highlight w:val="none"/>
                <w:lang w:eastAsia="zh-CN"/>
              </w:rPr>
              <w:t>询价文件</w:t>
            </w:r>
            <w:r>
              <w:rPr>
                <w:rFonts w:hint="eastAsia" w:ascii="仿宋" w:hAnsi="仿宋" w:eastAsia="仿宋" w:cs="仿宋"/>
                <w:color w:val="auto"/>
                <w:kern w:val="0"/>
                <w:sz w:val="21"/>
                <w:szCs w:val="21"/>
                <w:highlight w:val="none"/>
              </w:rPr>
              <w:t>规定的其他无效情形</w:t>
            </w:r>
          </w:p>
        </w:tc>
        <w:tc>
          <w:tcPr>
            <w:tcW w:w="518" w:type="pct"/>
            <w:vAlign w:val="center"/>
          </w:tcPr>
          <w:p w14:paraId="0DFA1D59">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1"/>
                <w:szCs w:val="21"/>
                <w:highlight w:val="none"/>
              </w:rPr>
            </w:pPr>
          </w:p>
        </w:tc>
      </w:tr>
    </w:tbl>
    <w:p w14:paraId="289F3B62">
      <w:pPr>
        <w:pStyle w:val="22"/>
        <w:rPr>
          <w:rFonts w:hint="eastAsia" w:ascii="仿宋" w:hAnsi="仿宋" w:eastAsia="仿宋" w:cs="仿宋"/>
          <w:b/>
          <w:color w:val="auto"/>
          <w:sz w:val="32"/>
          <w:szCs w:val="32"/>
          <w:highlight w:val="none"/>
        </w:rPr>
      </w:pPr>
    </w:p>
    <w:p w14:paraId="0B3EFEFB">
      <w:pPr>
        <w:rPr>
          <w:rFonts w:hint="eastAsia" w:ascii="仿宋" w:hAnsi="仿宋" w:eastAsia="仿宋" w:cs="仿宋"/>
          <w:b/>
          <w:color w:val="auto"/>
          <w:sz w:val="32"/>
          <w:szCs w:val="32"/>
          <w:highlight w:val="none"/>
        </w:rPr>
      </w:pPr>
    </w:p>
    <w:p w14:paraId="2669A870">
      <w:pPr>
        <w:pStyle w:val="22"/>
        <w:rPr>
          <w:rFonts w:hint="eastAsia" w:ascii="仿宋" w:hAnsi="仿宋" w:eastAsia="仿宋" w:cs="仿宋"/>
          <w:highlight w:val="none"/>
        </w:rPr>
      </w:pPr>
    </w:p>
    <w:p w14:paraId="4E800E53">
      <w:pPr>
        <w:pageBreakBefore w:val="0"/>
        <w:kinsoku/>
        <w:bidi w:val="0"/>
        <w:snapToGrid w:val="0"/>
        <w:spacing w:line="360" w:lineRule="auto"/>
        <w:rPr>
          <w:rFonts w:hint="eastAsia" w:ascii="仿宋" w:hAnsi="仿宋" w:eastAsia="仿宋" w:cs="仿宋"/>
          <w:b/>
          <w:bCs/>
          <w:color w:val="FF0000"/>
          <w:kern w:val="0"/>
          <w:sz w:val="36"/>
          <w:szCs w:val="36"/>
          <w:highlight w:val="none"/>
        </w:rPr>
      </w:pPr>
    </w:p>
    <w:p w14:paraId="59280D5B">
      <w:pPr>
        <w:pageBreakBefore w:val="0"/>
        <w:kinsoku/>
        <w:bidi w:val="0"/>
        <w:snapToGrid w:val="0"/>
        <w:spacing w:line="360" w:lineRule="auto"/>
        <w:rPr>
          <w:rFonts w:hint="eastAsia" w:ascii="仿宋" w:hAnsi="仿宋" w:eastAsia="仿宋" w:cs="仿宋"/>
          <w:b/>
          <w:bCs/>
          <w:color w:val="FF0000"/>
          <w:kern w:val="0"/>
          <w:sz w:val="36"/>
          <w:szCs w:val="36"/>
          <w:highlight w:val="none"/>
        </w:rPr>
      </w:pPr>
    </w:p>
    <w:p w14:paraId="2E202680">
      <w:pPr>
        <w:pageBreakBefore w:val="0"/>
        <w:kinsoku/>
        <w:bidi w:val="0"/>
        <w:snapToGrid w:val="0"/>
        <w:spacing w:line="360" w:lineRule="auto"/>
        <w:rPr>
          <w:rFonts w:hint="eastAsia" w:ascii="仿宋" w:hAnsi="仿宋" w:eastAsia="仿宋" w:cs="仿宋"/>
          <w:b/>
          <w:bCs/>
          <w:color w:val="FF0000"/>
          <w:kern w:val="0"/>
          <w:sz w:val="36"/>
          <w:szCs w:val="36"/>
          <w:highlight w:val="none"/>
        </w:rPr>
      </w:pPr>
    </w:p>
    <w:p w14:paraId="2EB602B9">
      <w:pPr>
        <w:pageBreakBefore w:val="0"/>
        <w:kinsoku/>
        <w:bidi w:val="0"/>
        <w:snapToGrid w:val="0"/>
        <w:spacing w:line="360" w:lineRule="auto"/>
        <w:rPr>
          <w:rFonts w:hint="eastAsia" w:ascii="仿宋" w:hAnsi="仿宋" w:eastAsia="仿宋" w:cs="仿宋"/>
          <w:b/>
          <w:sz w:val="30"/>
          <w:szCs w:val="30"/>
          <w:highlight w:val="none"/>
          <w:u w:val="single"/>
        </w:rPr>
      </w:pPr>
    </w:p>
    <w:p w14:paraId="6494C5C8">
      <w:pPr>
        <w:pageBreakBefore w:val="0"/>
        <w:kinsoku/>
        <w:bidi w:val="0"/>
        <w:snapToGrid w:val="0"/>
        <w:spacing w:line="360" w:lineRule="auto"/>
        <w:jc w:val="center"/>
        <w:rPr>
          <w:rFonts w:hint="eastAsia" w:ascii="仿宋" w:hAnsi="仿宋" w:eastAsia="仿宋" w:cs="仿宋"/>
          <w:b/>
          <w:sz w:val="44"/>
          <w:szCs w:val="44"/>
          <w:highlight w:val="none"/>
        </w:rPr>
      </w:pPr>
      <w:r>
        <w:rPr>
          <w:rFonts w:hint="eastAsia" w:ascii="仿宋" w:hAnsi="仿宋" w:eastAsia="仿宋" w:cs="仿宋"/>
          <w:b/>
          <w:sz w:val="32"/>
          <w:szCs w:val="32"/>
          <w:highlight w:val="none"/>
        </w:rPr>
        <w:br w:type="column"/>
      </w:r>
      <w:r>
        <w:rPr>
          <w:rFonts w:hint="eastAsia" w:ascii="仿宋" w:hAnsi="仿宋" w:eastAsia="仿宋" w:cs="仿宋"/>
          <w:b/>
          <w:sz w:val="32"/>
          <w:szCs w:val="32"/>
          <w:highlight w:val="none"/>
        </w:rPr>
        <w:t>询价响应函</w:t>
      </w:r>
    </w:p>
    <w:p w14:paraId="054ACA8A">
      <w:pPr>
        <w:pStyle w:val="26"/>
        <w:pageBreakBefore w:val="0"/>
        <w:widowControl/>
        <w:kinsoku/>
        <w:bidi w:val="0"/>
        <w:snapToGrid w:val="0"/>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u w:val="single"/>
        </w:rPr>
        <w:t>江苏省</w:t>
      </w:r>
      <w:r>
        <w:rPr>
          <w:rFonts w:hint="eastAsia" w:ascii="仿宋" w:hAnsi="仿宋" w:eastAsia="仿宋" w:cs="仿宋"/>
          <w:sz w:val="21"/>
          <w:szCs w:val="21"/>
          <w:highlight w:val="none"/>
          <w:u w:val="single"/>
          <w:lang w:val="en-US" w:eastAsia="zh-CN"/>
        </w:rPr>
        <w:t>设备成套股份有限公司</w:t>
      </w:r>
    </w:p>
    <w:p w14:paraId="60EAF72E">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根据贵方代理的</w:t>
      </w:r>
      <w:r>
        <w:rPr>
          <w:rFonts w:hint="eastAsia" w:ascii="仿宋" w:hAnsi="仿宋" w:eastAsia="仿宋" w:cs="仿宋"/>
          <w:sz w:val="21"/>
          <w:szCs w:val="21"/>
          <w:highlight w:val="none"/>
          <w:u w:val="single"/>
        </w:rPr>
        <w:t>江苏省镇江监狱</w:t>
      </w:r>
      <w:r>
        <w:rPr>
          <w:rFonts w:hint="eastAsia" w:ascii="仿宋" w:hAnsi="仿宋" w:eastAsia="仿宋" w:cs="仿宋"/>
          <w:sz w:val="21"/>
          <w:szCs w:val="21"/>
          <w:highlight w:val="none"/>
          <w:u w:val="single"/>
          <w:lang w:eastAsia="zh-CN"/>
        </w:rPr>
        <w:t>伙房荤菜采购项目(2025年1-3月）（第二次）</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u w:val="single"/>
          <w:lang w:val="en-US" w:eastAsia="zh-CN"/>
        </w:rPr>
        <w:t>项目编号：</w:t>
      </w:r>
      <w:r>
        <w:rPr>
          <w:rFonts w:hint="eastAsia" w:ascii="仿宋" w:hAnsi="仿宋" w:eastAsia="仿宋" w:cs="仿宋"/>
          <w:sz w:val="21"/>
          <w:szCs w:val="21"/>
          <w:highlight w:val="none"/>
          <w:u w:val="single"/>
          <w:lang w:eastAsia="zh-CN"/>
        </w:rPr>
        <w:t>ZJ-JY-2024099；</w:t>
      </w:r>
      <w:r>
        <w:rPr>
          <w:rFonts w:hint="eastAsia" w:ascii="仿宋" w:hAnsi="仿宋" w:eastAsia="仿宋" w:cs="仿宋"/>
          <w:sz w:val="21"/>
          <w:szCs w:val="21"/>
          <w:highlight w:val="none"/>
          <w:u w:val="single"/>
          <w:lang w:val="en-US" w:eastAsia="zh-CN"/>
        </w:rPr>
        <w:t>代理机构内部编号：ZJ203224534635</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highlight w:val="none"/>
        </w:rPr>
        <w:t>询价文件，正式授权下述签字人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(姓名和职务)代表我方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（供应商的名称），全权处理本次项目询价采购的有关事宜。</w:t>
      </w:r>
    </w:p>
    <w:p w14:paraId="24841640">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据此函，</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（签字人）兹宣布同意如下：</w:t>
      </w:r>
    </w:p>
    <w:p w14:paraId="6D3AC627">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1.按询价文件规定的各项要求，向买方提供所需货物、服务。</w:t>
      </w:r>
    </w:p>
    <w:p w14:paraId="4B8A1D33">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2.我们已详细审核全部询价文件及其有效补充文件，我们知道必须放弃提出含糊不清或误解问题的权利。</w:t>
      </w:r>
    </w:p>
    <w:p w14:paraId="25994769">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3.我们同意从规定的响应文件接收截止时间起遵循本响应文件，并在规定的询价有效期期满之前均具有约束力。</w:t>
      </w:r>
    </w:p>
    <w:p w14:paraId="63BCF752">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4.如果在响应文件接收截止时间后规定的询价有效期内撤回响应文件或成交后拒绝签订合同，我们的询价保证金可被贵方没收。</w:t>
      </w:r>
    </w:p>
    <w:p w14:paraId="76C27212">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5.同意向贵方提供贵方可能另外要求的与询价采购有关的任何证据或资料，并保证我方已提供和将要提供的文件是真实的、准确的。</w:t>
      </w:r>
    </w:p>
    <w:p w14:paraId="0BB2A5E9">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6.一旦我方成交，我方将根据询价文件的规定，严格履行合同的责任和义务，并保证在询价文件规定的时间完成项目，交付买方验收、使用。</w:t>
      </w:r>
    </w:p>
    <w:p w14:paraId="4E10A493">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7.一旦我方成交，</w:t>
      </w:r>
      <w:r>
        <w:rPr>
          <w:rFonts w:hint="eastAsia" w:ascii="仿宋" w:hAnsi="仿宋" w:eastAsia="仿宋" w:cs="仿宋"/>
          <w:i/>
          <w:sz w:val="21"/>
          <w:szCs w:val="21"/>
          <w:highlight w:val="none"/>
          <w:u w:val="single"/>
          <w:lang w:val="en-US" w:eastAsia="zh-CN" w:bidi="ar"/>
        </w:rPr>
        <w:t>承诺不</w:t>
      </w:r>
      <w:r>
        <w:rPr>
          <w:rFonts w:hint="eastAsia" w:ascii="仿宋" w:hAnsi="仿宋" w:eastAsia="仿宋" w:cs="仿宋"/>
          <w:i/>
          <w:sz w:val="21"/>
          <w:szCs w:val="21"/>
          <w:highlight w:val="none"/>
          <w:u w:val="single"/>
          <w:lang w:bidi="ar"/>
        </w:rPr>
        <w:t>将成交产品及其他相关服务进行转包。</w:t>
      </w:r>
    </w:p>
    <w:p w14:paraId="7B6137DD">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遵守询价文件中要求的收费项目和标准。</w:t>
      </w:r>
    </w:p>
    <w:p w14:paraId="77EF8174">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.与本询价采购有关的正式通讯地址为：</w:t>
      </w:r>
    </w:p>
    <w:p w14:paraId="481F6A63">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地 址：                         邮 编：</w:t>
      </w:r>
    </w:p>
    <w:p w14:paraId="08FEB64A">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电 话：                         传 真：</w:t>
      </w:r>
    </w:p>
    <w:p w14:paraId="29C9C08F">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供应商开户行：                  账 户： </w:t>
      </w:r>
    </w:p>
    <w:p w14:paraId="100FA27C">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供应商名称（公章）：  </w:t>
      </w:r>
    </w:p>
    <w:p w14:paraId="3FF243D4">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授权代表（亲笔签字）：          </w:t>
      </w:r>
    </w:p>
    <w:p w14:paraId="6F6AF29B">
      <w:pPr>
        <w:pStyle w:val="26"/>
        <w:pageBreakBefore w:val="0"/>
        <w:widowControl/>
        <w:kinsoku/>
        <w:bidi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日 期：</w:t>
      </w:r>
      <w:r>
        <w:rPr>
          <w:rFonts w:hint="eastAsia" w:ascii="仿宋" w:hAnsi="仿宋" w:eastAsia="仿宋" w:cs="仿宋"/>
          <w:sz w:val="21"/>
          <w:szCs w:val="21"/>
          <w:highlight w:val="none"/>
          <w:u w:val="none"/>
        </w:rPr>
        <w:t>2024年</w:t>
      </w:r>
      <w:r>
        <w:rPr>
          <w:rFonts w:hint="eastAsia" w:ascii="仿宋" w:hAnsi="仿宋" w:eastAsia="仿宋" w:cs="仿宋"/>
          <w:sz w:val="21"/>
          <w:szCs w:val="21"/>
          <w:highlight w:val="none"/>
          <w:u w:val="none"/>
          <w:lang w:val="en-US" w:eastAsia="zh-CN"/>
        </w:rPr>
        <w:t>12月26日</w:t>
      </w:r>
    </w:p>
    <w:p w14:paraId="76CCFE55">
      <w:pPr>
        <w:pageBreakBefore w:val="0"/>
        <w:kinsoku/>
        <w:bidi w:val="0"/>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 xml:space="preserve"> </w:t>
      </w:r>
    </w:p>
    <w:p w14:paraId="55BD02B4">
      <w:pPr>
        <w:pageBreakBefore w:val="0"/>
        <w:kinsoku/>
        <w:bidi w:val="0"/>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 xml:space="preserve"> </w:t>
      </w:r>
    </w:p>
    <w:p w14:paraId="457AEB86">
      <w:pPr>
        <w:pageBreakBefore w:val="0"/>
        <w:kinsoku/>
        <w:bidi w:val="0"/>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 xml:space="preserve"> </w:t>
      </w:r>
    </w:p>
    <w:p w14:paraId="0BE9FFA3">
      <w:pPr>
        <w:keepNext/>
        <w:keepLines/>
        <w:pageBreakBefore w:val="0"/>
        <w:widowControl w:val="0"/>
        <w:kinsoku/>
        <w:overflowPunct w:val="0"/>
        <w:topLinePunct/>
        <w:autoSpaceDE/>
        <w:autoSpaceDN/>
        <w:bidi w:val="0"/>
        <w:adjustRightInd/>
        <w:snapToGrid w:val="0"/>
        <w:spacing w:line="360" w:lineRule="auto"/>
        <w:jc w:val="center"/>
        <w:textAlignment w:val="auto"/>
        <w:outlineLvl w:val="1"/>
        <w:rPr>
          <w:rFonts w:hint="eastAsia" w:ascii="仿宋" w:hAnsi="仿宋" w:eastAsia="仿宋" w:cs="仿宋"/>
          <w:b/>
          <w:bCs/>
          <w:color w:val="auto"/>
          <w:sz w:val="24"/>
          <w:highlight w:val="none"/>
        </w:rPr>
      </w:pPr>
      <w:bookmarkStart w:id="14" w:name="_Toc16625"/>
      <w:bookmarkStart w:id="15" w:name="_Toc28484_WPSOffice_Level1"/>
      <w:bookmarkStart w:id="16" w:name="_Toc442"/>
      <w:r>
        <w:rPr>
          <w:rFonts w:hint="eastAsia" w:ascii="仿宋" w:hAnsi="仿宋" w:eastAsia="仿宋" w:cs="仿宋"/>
          <w:b/>
          <w:color w:val="auto"/>
          <w:sz w:val="32"/>
          <w:szCs w:val="32"/>
          <w:highlight w:val="none"/>
          <w:lang w:val="zh-CN"/>
        </w:rPr>
        <w:br w:type="column"/>
      </w:r>
      <w:r>
        <w:rPr>
          <w:rFonts w:hint="eastAsia" w:ascii="仿宋" w:hAnsi="仿宋" w:eastAsia="仿宋" w:cs="仿宋"/>
          <w:b/>
          <w:color w:val="auto"/>
          <w:sz w:val="32"/>
          <w:szCs w:val="32"/>
          <w:highlight w:val="none"/>
          <w:lang w:val="zh-CN"/>
        </w:rPr>
        <w:t>法定代表人身份证明</w:t>
      </w:r>
    </w:p>
    <w:p w14:paraId="08869D7E">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u w:val="single"/>
        </w:rPr>
      </w:pPr>
      <w:r>
        <w:rPr>
          <w:rFonts w:hint="eastAsia" w:ascii="仿宋" w:hAnsi="仿宋" w:eastAsia="仿宋" w:cs="仿宋"/>
          <w:color w:val="auto"/>
          <w:szCs w:val="22"/>
          <w:highlight w:val="none"/>
        </w:rPr>
        <w:t>供应商名称：</w:t>
      </w:r>
      <w:r>
        <w:rPr>
          <w:rFonts w:hint="eastAsia" w:ascii="仿宋" w:hAnsi="仿宋" w:eastAsia="仿宋" w:cs="仿宋"/>
          <w:color w:val="auto"/>
          <w:szCs w:val="22"/>
          <w:highlight w:val="none"/>
          <w:u w:val="single"/>
        </w:rPr>
        <w:tab/>
      </w:r>
      <w:r>
        <w:rPr>
          <w:rFonts w:hint="eastAsia" w:ascii="仿宋" w:hAnsi="仿宋" w:eastAsia="仿宋" w:cs="仿宋"/>
          <w:color w:val="auto"/>
          <w:szCs w:val="22"/>
          <w:highlight w:val="none"/>
          <w:u w:val="single"/>
        </w:rPr>
        <w:t xml:space="preserve">                        </w:t>
      </w:r>
    </w:p>
    <w:p w14:paraId="54E9CFDF">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姓名：</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u w:val="single"/>
        </w:rPr>
        <w:tab/>
      </w:r>
      <w:r>
        <w:rPr>
          <w:rFonts w:hint="eastAsia" w:ascii="仿宋" w:hAnsi="仿宋" w:eastAsia="仿宋" w:cs="仿宋"/>
          <w:color w:val="auto"/>
          <w:szCs w:val="22"/>
          <w:highlight w:val="none"/>
          <w:u w:val="single"/>
          <w:lang w:val="en-US" w:eastAsia="zh-CN"/>
        </w:rPr>
        <w:t xml:space="preserve">    </w:t>
      </w:r>
      <w:r>
        <w:rPr>
          <w:rFonts w:hint="eastAsia" w:ascii="仿宋" w:hAnsi="仿宋" w:eastAsia="仿宋" w:cs="仿宋"/>
          <w:color w:val="auto"/>
          <w:szCs w:val="22"/>
          <w:highlight w:val="none"/>
        </w:rPr>
        <w:t>性别：</w:t>
      </w:r>
      <w:r>
        <w:rPr>
          <w:rFonts w:hint="eastAsia" w:ascii="仿宋" w:hAnsi="仿宋" w:eastAsia="仿宋" w:cs="仿宋"/>
          <w:color w:val="auto"/>
          <w:szCs w:val="22"/>
          <w:highlight w:val="none"/>
          <w:u w:val="single"/>
        </w:rPr>
        <w:tab/>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u w:val="single"/>
          <w:lang w:val="en-US" w:eastAsia="zh-CN"/>
        </w:rPr>
        <w:t xml:space="preserve">  </w:t>
      </w:r>
      <w:r>
        <w:rPr>
          <w:rFonts w:hint="eastAsia" w:ascii="仿宋" w:hAnsi="仿宋" w:eastAsia="仿宋" w:cs="仿宋"/>
          <w:color w:val="auto"/>
          <w:szCs w:val="22"/>
          <w:highlight w:val="none"/>
        </w:rPr>
        <w:t>年龄：</w:t>
      </w:r>
      <w:r>
        <w:rPr>
          <w:rFonts w:hint="eastAsia" w:ascii="仿宋" w:hAnsi="仿宋" w:eastAsia="仿宋" w:cs="仿宋"/>
          <w:color w:val="auto"/>
          <w:szCs w:val="22"/>
          <w:highlight w:val="none"/>
          <w:u w:val="single"/>
        </w:rPr>
        <w:tab/>
      </w:r>
      <w:r>
        <w:rPr>
          <w:rFonts w:hint="eastAsia" w:ascii="仿宋" w:hAnsi="仿宋" w:eastAsia="仿宋" w:cs="仿宋"/>
          <w:color w:val="auto"/>
          <w:szCs w:val="22"/>
          <w:highlight w:val="none"/>
          <w:u w:val="single"/>
          <w:lang w:val="en-US" w:eastAsia="zh-CN"/>
        </w:rPr>
        <w:t xml:space="preserve">  </w:t>
      </w:r>
      <w:r>
        <w:rPr>
          <w:rFonts w:hint="eastAsia" w:ascii="仿宋" w:hAnsi="仿宋" w:eastAsia="仿宋" w:cs="仿宋"/>
          <w:color w:val="auto"/>
          <w:szCs w:val="22"/>
          <w:highlight w:val="none"/>
        </w:rPr>
        <w:t>职务：</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u w:val="single"/>
          <w:lang w:val="en-US" w:eastAsia="zh-CN"/>
        </w:rPr>
        <w:t xml:space="preserve">     </w:t>
      </w:r>
      <w:r>
        <w:rPr>
          <w:rFonts w:hint="eastAsia" w:ascii="仿宋" w:hAnsi="仿宋" w:eastAsia="仿宋" w:cs="仿宋"/>
          <w:color w:val="auto"/>
          <w:szCs w:val="22"/>
          <w:highlight w:val="none"/>
        </w:rPr>
        <w:t xml:space="preserve"> </w:t>
      </w:r>
      <w:r>
        <w:rPr>
          <w:rFonts w:hint="eastAsia" w:ascii="仿宋" w:hAnsi="仿宋" w:eastAsia="仿宋" w:cs="仿宋"/>
          <w:color w:val="auto"/>
          <w:szCs w:val="22"/>
          <w:highlight w:val="none"/>
        </w:rPr>
        <w:tab/>
      </w:r>
    </w:p>
    <w:p w14:paraId="6A9DE0FF">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系</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u w:val="single"/>
        </w:rPr>
        <w:tab/>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（供应商名称）的法定代表人（单位负责人）。</w:t>
      </w:r>
    </w:p>
    <w:p w14:paraId="31047FEE">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特此证明。</w:t>
      </w:r>
    </w:p>
    <w:p w14:paraId="0E1E11E1">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注：1.本《法定代表人身份证明》之后须附：（1）</w:t>
      </w:r>
      <w:r>
        <w:rPr>
          <w:rFonts w:hint="eastAsia" w:ascii="仿宋" w:hAnsi="仿宋" w:eastAsia="仿宋" w:cs="仿宋"/>
          <w:bCs/>
          <w:color w:val="auto"/>
          <w:highlight w:val="none"/>
        </w:rPr>
        <w:t>法人或者其他组织的营业执照等证明材料复印件；（2）</w:t>
      </w:r>
      <w:r>
        <w:rPr>
          <w:rFonts w:hint="eastAsia" w:ascii="仿宋" w:hAnsi="仿宋" w:eastAsia="仿宋" w:cs="仿宋"/>
          <w:color w:val="auto"/>
          <w:szCs w:val="22"/>
          <w:highlight w:val="none"/>
          <w:lang w:val="zh-CN"/>
        </w:rPr>
        <w:t>法定代表人</w:t>
      </w:r>
      <w:r>
        <w:rPr>
          <w:rFonts w:hint="eastAsia" w:ascii="仿宋" w:hAnsi="仿宋" w:eastAsia="仿宋" w:cs="仿宋"/>
          <w:color w:val="auto"/>
          <w:szCs w:val="22"/>
          <w:highlight w:val="none"/>
        </w:rPr>
        <w:t>身份证原件复印件。</w:t>
      </w:r>
    </w:p>
    <w:p w14:paraId="5DB7AFAB">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2.本身份证明需由供应商加盖单位公章。</w:t>
      </w:r>
    </w:p>
    <w:p w14:paraId="58F86695">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p>
    <w:p w14:paraId="072EA5B1">
      <w:pPr>
        <w:pageBreakBefore w:val="0"/>
        <w:widowControl w:val="0"/>
        <w:kinsoku/>
        <w:overflowPunct w:val="0"/>
        <w:topLinePunct/>
        <w:autoSpaceDE/>
        <w:autoSpaceDN/>
        <w:bidi w:val="0"/>
        <w:adjustRightInd/>
        <w:snapToGrid w:val="0"/>
        <w:spacing w:line="360" w:lineRule="auto"/>
        <w:ind w:firstLine="4830" w:firstLineChars="23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供应商：</w:t>
      </w:r>
      <w:r>
        <w:rPr>
          <w:rFonts w:hint="eastAsia" w:ascii="仿宋" w:hAnsi="仿宋" w:eastAsia="仿宋" w:cs="仿宋"/>
          <w:color w:val="auto"/>
          <w:szCs w:val="22"/>
          <w:highlight w:val="none"/>
          <w:u w:val="single"/>
        </w:rPr>
        <w:tab/>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（单位公章）</w:t>
      </w:r>
    </w:p>
    <w:p w14:paraId="425A021A">
      <w:pPr>
        <w:pageBreakBefore w:val="0"/>
        <w:widowControl w:val="0"/>
        <w:kinsoku/>
        <w:overflowPunct w:val="0"/>
        <w:topLinePunct/>
        <w:autoSpaceDE/>
        <w:autoSpaceDN/>
        <w:bidi w:val="0"/>
        <w:adjustRightInd/>
        <w:snapToGrid w:val="0"/>
        <w:spacing w:line="360" w:lineRule="auto"/>
        <w:ind w:firstLine="5670" w:firstLineChars="27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 xml:space="preserve"> </w:t>
      </w:r>
      <w:r>
        <w:rPr>
          <w:rFonts w:hint="eastAsia" w:ascii="仿宋" w:hAnsi="仿宋" w:eastAsia="仿宋" w:cs="仿宋"/>
          <w:color w:val="auto"/>
          <w:szCs w:val="22"/>
          <w:highlight w:val="none"/>
        </w:rPr>
        <w:tab/>
      </w:r>
      <w:r>
        <w:rPr>
          <w:rFonts w:hint="eastAsia" w:ascii="仿宋" w:hAnsi="仿宋" w:eastAsia="仿宋" w:cs="仿宋"/>
          <w:sz w:val="21"/>
          <w:szCs w:val="21"/>
          <w:highlight w:val="none"/>
          <w:u w:val="none"/>
        </w:rPr>
        <w:t>2024年</w:t>
      </w:r>
      <w:r>
        <w:rPr>
          <w:rFonts w:hint="eastAsia" w:ascii="仿宋" w:hAnsi="仿宋" w:eastAsia="仿宋" w:cs="仿宋"/>
          <w:sz w:val="21"/>
          <w:szCs w:val="21"/>
          <w:highlight w:val="none"/>
          <w:u w:val="none"/>
          <w:lang w:val="en-US" w:eastAsia="zh-CN"/>
        </w:rPr>
        <w:t>12月26日</w:t>
      </w:r>
    </w:p>
    <w:bookmarkEnd w:id="14"/>
    <w:bookmarkEnd w:id="15"/>
    <w:bookmarkEnd w:id="16"/>
    <w:p w14:paraId="0FBAC565">
      <w:pPr>
        <w:pageBreakBefore w:val="0"/>
        <w:kinsoku/>
        <w:overflowPunct w:val="0"/>
        <w:topLinePunct/>
        <w:autoSpaceDE/>
        <w:autoSpaceDN/>
        <w:bidi w:val="0"/>
        <w:snapToGrid w:val="0"/>
        <w:spacing w:line="360" w:lineRule="auto"/>
        <w:jc w:val="center"/>
        <w:outlineLvl w:val="1"/>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br w:type="column"/>
      </w:r>
      <w:r>
        <w:rPr>
          <w:rFonts w:hint="eastAsia" w:ascii="仿宋" w:hAnsi="仿宋" w:eastAsia="仿宋" w:cs="仿宋"/>
          <w:b/>
          <w:color w:val="auto"/>
          <w:sz w:val="32"/>
          <w:szCs w:val="32"/>
          <w:highlight w:val="none"/>
          <w:lang w:val="zh-CN"/>
        </w:rPr>
        <w:t>法定代表人授权委托书</w:t>
      </w:r>
    </w:p>
    <w:p w14:paraId="28DEF46E">
      <w:pPr>
        <w:pageBreakBefore w:val="0"/>
        <w:widowControl w:val="0"/>
        <w:kinsoku/>
        <w:overflowPunct w:val="0"/>
        <w:topLinePunct/>
        <w:autoSpaceDE/>
        <w:autoSpaceDN/>
        <w:bidi w:val="0"/>
        <w:adjustRightInd/>
        <w:snapToGrid w:val="0"/>
        <w:spacing w:line="360" w:lineRule="auto"/>
        <w:ind w:right="31" w:rightChars="15" w:firstLine="435"/>
        <w:textAlignment w:val="auto"/>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（供应商全称）的法定代表人，现授权委托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（部门、职务、姓名）为本单位的合法代理人（即授权代表），以本单位的名义参加</w:t>
      </w:r>
      <w:r>
        <w:rPr>
          <w:rFonts w:hint="eastAsia" w:ascii="仿宋" w:hAnsi="仿宋" w:eastAsia="仿宋" w:cs="仿宋"/>
          <w:color w:val="auto"/>
          <w:highlight w:val="none"/>
          <w:u w:val="single"/>
        </w:rPr>
        <w:t>江苏省设备成套股份有限公司</w:t>
      </w:r>
      <w:r>
        <w:rPr>
          <w:rFonts w:hint="eastAsia" w:ascii="仿宋" w:hAnsi="仿宋" w:eastAsia="仿宋" w:cs="仿宋"/>
          <w:color w:val="auto"/>
          <w:highlight w:val="none"/>
        </w:rPr>
        <w:t>组织的</w:t>
      </w:r>
      <w:r>
        <w:rPr>
          <w:rFonts w:hint="eastAsia" w:ascii="仿宋" w:hAnsi="仿宋" w:eastAsia="仿宋" w:cs="仿宋"/>
          <w:color w:val="auto"/>
          <w:highlight w:val="none"/>
          <w:u w:val="single"/>
        </w:rPr>
        <w:t xml:space="preserve">                          （项目名称及项目编号）</w:t>
      </w:r>
      <w:r>
        <w:rPr>
          <w:rFonts w:hint="eastAsia" w:ascii="仿宋" w:hAnsi="仿宋" w:eastAsia="仿宋" w:cs="仿宋"/>
          <w:color w:val="auto"/>
          <w:highlight w:val="none"/>
        </w:rPr>
        <w:t>的</w:t>
      </w:r>
      <w:r>
        <w:rPr>
          <w:rFonts w:hint="eastAsia" w:ascii="仿宋" w:hAnsi="仿宋" w:eastAsia="仿宋" w:cs="仿宋"/>
          <w:color w:val="auto"/>
          <w:highlight w:val="none"/>
          <w:lang w:val="en-US" w:eastAsia="zh-CN"/>
        </w:rPr>
        <w:t>竞争磋商</w:t>
      </w:r>
      <w:r>
        <w:rPr>
          <w:rFonts w:hint="eastAsia" w:ascii="仿宋" w:hAnsi="仿宋" w:eastAsia="仿宋" w:cs="仿宋"/>
          <w:color w:val="auto"/>
          <w:highlight w:val="none"/>
        </w:rPr>
        <w:t>，授权代表签署的一切文件和处理与之有关的一切事务，我均予以承认。</w:t>
      </w:r>
    </w:p>
    <w:p w14:paraId="5EA458CE">
      <w:pPr>
        <w:pageBreakBefore w:val="0"/>
        <w:widowControl w:val="0"/>
        <w:kinsoku/>
        <w:overflowPunct w:val="0"/>
        <w:topLinePunct/>
        <w:autoSpaceDE/>
        <w:autoSpaceDN/>
        <w:bidi w:val="0"/>
        <w:adjustRightInd/>
        <w:snapToGrid w:val="0"/>
        <w:spacing w:line="360" w:lineRule="auto"/>
        <w:ind w:firstLine="435"/>
        <w:textAlignment w:val="auto"/>
        <w:rPr>
          <w:rFonts w:hint="eastAsia" w:ascii="仿宋" w:hAnsi="仿宋" w:eastAsia="仿宋" w:cs="仿宋"/>
          <w:color w:val="auto"/>
          <w:highlight w:val="none"/>
        </w:rPr>
      </w:pPr>
      <w:r>
        <w:rPr>
          <w:rFonts w:hint="eastAsia" w:ascii="仿宋" w:hAnsi="仿宋" w:eastAsia="仿宋" w:cs="仿宋"/>
          <w:color w:val="auto"/>
          <w:highlight w:val="none"/>
        </w:rPr>
        <w:t>授权代表无权委托，特此委托。</w:t>
      </w:r>
    </w:p>
    <w:p w14:paraId="1C841D48">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授权代表（签字）：</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性      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3E913F6A">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单位（盖章）：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身份证号码：</w:t>
      </w:r>
      <w:r>
        <w:rPr>
          <w:rFonts w:hint="eastAsia" w:ascii="仿宋" w:hAnsi="仿宋" w:eastAsia="仿宋" w:cs="仿宋"/>
          <w:color w:val="auto"/>
          <w:highlight w:val="none"/>
          <w:u w:val="single"/>
        </w:rPr>
        <w:t xml:space="preserve">                         </w:t>
      </w:r>
    </w:p>
    <w:p w14:paraId="04A76654">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供应商（盖章）：</w:t>
      </w:r>
      <w:r>
        <w:rPr>
          <w:rFonts w:hint="eastAsia" w:ascii="仿宋" w:hAnsi="仿宋" w:eastAsia="仿宋" w:cs="仿宋"/>
          <w:color w:val="auto"/>
          <w:highlight w:val="none"/>
          <w:u w:val="single"/>
        </w:rPr>
        <w:t xml:space="preserve">                                  </w:t>
      </w:r>
    </w:p>
    <w:p w14:paraId="01A37D7A">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法定代表人（签字或盖章）：</w:t>
      </w:r>
      <w:r>
        <w:rPr>
          <w:rFonts w:hint="eastAsia" w:ascii="仿宋" w:hAnsi="仿宋" w:eastAsia="仿宋" w:cs="仿宋"/>
          <w:color w:val="auto"/>
          <w:highlight w:val="none"/>
          <w:u w:val="single"/>
        </w:rPr>
        <w:t xml:space="preserve">                        </w:t>
      </w:r>
    </w:p>
    <w:p w14:paraId="1FD0F33B">
      <w:pPr>
        <w:pageBreakBefore w:val="0"/>
        <w:widowControl w:val="0"/>
        <w:kinsoku/>
        <w:overflowPunct w:val="0"/>
        <w:topLinePunct/>
        <w:autoSpaceDE/>
        <w:autoSpaceDN/>
        <w:bidi w:val="0"/>
        <w:adjustRightInd/>
        <w:snapToGrid w:val="0"/>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日期：</w:t>
      </w:r>
      <w:r>
        <w:rPr>
          <w:rFonts w:hint="eastAsia" w:ascii="仿宋" w:hAnsi="仿宋" w:eastAsia="仿宋" w:cs="仿宋"/>
          <w:sz w:val="21"/>
          <w:szCs w:val="21"/>
          <w:highlight w:val="none"/>
          <w:u w:val="none"/>
        </w:rPr>
        <w:t>2024年</w:t>
      </w:r>
      <w:r>
        <w:rPr>
          <w:rFonts w:hint="eastAsia" w:ascii="仿宋" w:hAnsi="仿宋" w:eastAsia="仿宋" w:cs="仿宋"/>
          <w:sz w:val="21"/>
          <w:szCs w:val="21"/>
          <w:highlight w:val="none"/>
          <w:u w:val="none"/>
          <w:lang w:val="en-US" w:eastAsia="zh-CN"/>
        </w:rPr>
        <w:t>12月26日</w:t>
      </w:r>
    </w:p>
    <w:p w14:paraId="2847436D">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bookmarkStart w:id="17" w:name="_Toc24792"/>
      <w:r>
        <w:rPr>
          <w:rFonts w:hint="eastAsia" w:ascii="仿宋" w:hAnsi="仿宋" w:eastAsia="仿宋" w:cs="仿宋"/>
          <w:color w:val="auto"/>
          <w:szCs w:val="22"/>
          <w:highlight w:val="none"/>
        </w:rPr>
        <w:t>注：（1）本《法人代表授权书》之后须附授权委托人身份证复印件；</w:t>
      </w:r>
    </w:p>
    <w:p w14:paraId="23A1990A">
      <w:pPr>
        <w:pageBreakBefore w:val="0"/>
        <w:widowControl w:val="0"/>
        <w:kinsoku/>
        <w:overflowPunct w:val="0"/>
        <w:topLinePunct/>
        <w:autoSpaceDE/>
        <w:autoSpaceDN/>
        <w:bidi w:val="0"/>
        <w:adjustRightInd/>
        <w:snapToGrid w:val="0"/>
        <w:spacing w:line="360" w:lineRule="auto"/>
        <w:ind w:firstLine="422" w:firstLineChars="200"/>
        <w:textAlignment w:val="auto"/>
        <w:rPr>
          <w:rFonts w:hint="eastAsia" w:ascii="仿宋" w:hAnsi="仿宋" w:eastAsia="仿宋" w:cs="仿宋"/>
          <w:b/>
          <w:bCs/>
          <w:color w:val="auto"/>
          <w:szCs w:val="22"/>
          <w:highlight w:val="none"/>
        </w:rPr>
      </w:pPr>
      <w:r>
        <w:rPr>
          <w:rFonts w:hint="eastAsia" w:ascii="仿宋" w:hAnsi="仿宋" w:eastAsia="仿宋" w:cs="仿宋"/>
          <w:b/>
          <w:bCs/>
          <w:color w:val="auto"/>
          <w:szCs w:val="22"/>
          <w:highlight w:val="none"/>
        </w:rPr>
        <w:t>（2）如果是法定代表人直接参与磋商的可以不提供《法定代表人授权委托书》，但必须提供《</w:t>
      </w:r>
      <w:r>
        <w:rPr>
          <w:rFonts w:hint="eastAsia" w:ascii="仿宋" w:hAnsi="仿宋" w:eastAsia="仿宋" w:cs="仿宋"/>
          <w:b/>
          <w:bCs/>
          <w:color w:val="auto"/>
          <w:szCs w:val="22"/>
          <w:highlight w:val="none"/>
          <w:lang w:val="zh-CN"/>
        </w:rPr>
        <w:t>法定代表人身份证明》</w:t>
      </w:r>
      <w:r>
        <w:rPr>
          <w:rFonts w:hint="eastAsia" w:ascii="仿宋" w:hAnsi="仿宋" w:eastAsia="仿宋" w:cs="仿宋"/>
          <w:b/>
          <w:bCs/>
          <w:color w:val="auto"/>
          <w:szCs w:val="22"/>
          <w:highlight w:val="none"/>
        </w:rPr>
        <w:t>；</w:t>
      </w:r>
    </w:p>
    <w:p w14:paraId="5C00BC77">
      <w:pPr>
        <w:pageBreakBefore w:val="0"/>
        <w:widowControl w:val="0"/>
        <w:kinsoku/>
        <w:overflowPunct w:val="0"/>
        <w:topLinePunct/>
        <w:autoSpaceDE/>
        <w:autoSpaceDN/>
        <w:bidi w:val="0"/>
        <w:adjustRightInd/>
        <w:snapToGrid w:val="0"/>
        <w:spacing w:line="360" w:lineRule="auto"/>
        <w:ind w:firstLine="420" w:firstLineChars="200"/>
        <w:textAlignment w:val="auto"/>
        <w:rPr>
          <w:rFonts w:hint="eastAsia" w:ascii="仿宋" w:hAnsi="仿宋" w:eastAsia="仿宋" w:cs="仿宋"/>
          <w:color w:val="auto"/>
          <w:szCs w:val="22"/>
          <w:highlight w:val="none"/>
        </w:rPr>
      </w:pPr>
      <w:r>
        <w:rPr>
          <w:rFonts w:hint="eastAsia" w:ascii="仿宋" w:hAnsi="仿宋" w:eastAsia="仿宋" w:cs="仿宋"/>
          <w:color w:val="auto"/>
          <w:szCs w:val="22"/>
          <w:highlight w:val="none"/>
        </w:rPr>
        <w:t>（3）未按上述规定随附身份证复印件的，投标无效。</w:t>
      </w:r>
    </w:p>
    <w:bookmarkEnd w:id="17"/>
    <w:p w14:paraId="7C389021">
      <w:pPr>
        <w:pageBreakBefore w:val="0"/>
        <w:kinsoku/>
        <w:bidi w:val="0"/>
        <w:snapToGrid w:val="0"/>
        <w:spacing w:line="360" w:lineRule="auto"/>
        <w:jc w:val="center"/>
        <w:rPr>
          <w:rFonts w:hint="eastAsia" w:ascii="仿宋" w:hAnsi="仿宋" w:eastAsia="仿宋" w:cs="仿宋"/>
          <w:szCs w:val="21"/>
          <w:highlight w:val="none"/>
        </w:rPr>
      </w:pPr>
      <w:r>
        <w:rPr>
          <w:rFonts w:hint="eastAsia" w:ascii="仿宋" w:hAnsi="仿宋" w:eastAsia="仿宋" w:cs="仿宋"/>
          <w:b/>
          <w:color w:val="auto"/>
          <w:kern w:val="0"/>
          <w:sz w:val="32"/>
          <w:szCs w:val="32"/>
          <w:highlight w:val="none"/>
        </w:rPr>
        <w:br w:type="column"/>
      </w:r>
      <w:r>
        <w:rPr>
          <w:rFonts w:hint="eastAsia" w:ascii="仿宋" w:hAnsi="仿宋" w:eastAsia="仿宋" w:cs="仿宋"/>
          <w:b/>
          <w:sz w:val="36"/>
          <w:szCs w:val="36"/>
          <w:highlight w:val="none"/>
          <w:lang w:bidi="ar"/>
        </w:rPr>
        <w:t>报价函</w:t>
      </w:r>
    </w:p>
    <w:p w14:paraId="1EB02655">
      <w:pPr>
        <w:keepNext w:val="0"/>
        <w:keepLines w:val="0"/>
        <w:pageBreakBefore w:val="0"/>
        <w:kinsoku/>
        <w:wordWrap/>
        <w:overflowPunct/>
        <w:topLinePunct w:val="0"/>
        <w:autoSpaceDE/>
        <w:autoSpaceDN/>
        <w:bidi w:val="0"/>
        <w:adjustRightInd/>
        <w:snapToGrid w:val="0"/>
        <w:spacing w:line="360" w:lineRule="auto"/>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u w:val="single"/>
        </w:rPr>
        <w:t>江苏省设备成套股份有限公司</w:t>
      </w:r>
      <w:r>
        <w:rPr>
          <w:rFonts w:hint="eastAsia" w:ascii="仿宋" w:hAnsi="仿宋" w:eastAsia="仿宋" w:cs="仿宋"/>
          <w:b/>
          <w:color w:val="000000"/>
          <w:spacing w:val="-8"/>
          <w:sz w:val="21"/>
          <w:szCs w:val="21"/>
          <w:highlight w:val="none"/>
          <w:u w:val="single"/>
        </w:rPr>
        <w:t>：</w:t>
      </w:r>
    </w:p>
    <w:p w14:paraId="4B68D3CE">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根据已收到的</w:t>
      </w:r>
      <w:r>
        <w:rPr>
          <w:rFonts w:hint="eastAsia" w:ascii="仿宋" w:hAnsi="仿宋" w:eastAsia="仿宋" w:cs="仿宋"/>
          <w:b/>
          <w:sz w:val="21"/>
          <w:szCs w:val="21"/>
          <w:highlight w:val="none"/>
          <w:u w:val="single"/>
        </w:rPr>
        <w:t>江苏省镇江监狱</w:t>
      </w:r>
      <w:r>
        <w:rPr>
          <w:rFonts w:hint="eastAsia" w:ascii="仿宋" w:hAnsi="仿宋" w:eastAsia="仿宋" w:cs="仿宋"/>
          <w:b/>
          <w:sz w:val="21"/>
          <w:szCs w:val="21"/>
          <w:highlight w:val="none"/>
          <w:u w:val="single"/>
          <w:lang w:eastAsia="zh-CN"/>
        </w:rPr>
        <w:t>伙房荤菜采购项目(2025年1-3月）（第二次）</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u w:val="single"/>
          <w:lang w:val="en-US" w:eastAsia="zh-CN"/>
        </w:rPr>
        <w:t>项目编号：</w:t>
      </w:r>
      <w:r>
        <w:rPr>
          <w:rFonts w:hint="eastAsia" w:ascii="仿宋" w:hAnsi="仿宋" w:eastAsia="仿宋" w:cs="仿宋"/>
          <w:sz w:val="21"/>
          <w:szCs w:val="21"/>
          <w:highlight w:val="none"/>
          <w:u w:val="single"/>
          <w:lang w:eastAsia="zh-CN"/>
        </w:rPr>
        <w:t>ZJ-JY-2024099；</w:t>
      </w:r>
      <w:r>
        <w:rPr>
          <w:rFonts w:hint="eastAsia" w:ascii="仿宋" w:hAnsi="仿宋" w:eastAsia="仿宋" w:cs="仿宋"/>
          <w:sz w:val="21"/>
          <w:szCs w:val="21"/>
          <w:highlight w:val="none"/>
          <w:u w:val="single"/>
          <w:lang w:val="en-US" w:eastAsia="zh-CN"/>
        </w:rPr>
        <w:t>代理机构内部编号：ZJ203224534635</w:t>
      </w:r>
      <w:r>
        <w:rPr>
          <w:rFonts w:hint="eastAsia" w:ascii="仿宋" w:hAnsi="仿宋" w:eastAsia="仿宋" w:cs="仿宋"/>
          <w:sz w:val="21"/>
          <w:szCs w:val="21"/>
          <w:highlight w:val="none"/>
          <w:u w:val="single"/>
          <w:lang w:eastAsia="zh-CN"/>
        </w:rPr>
        <w:t>）</w:t>
      </w:r>
      <w:r>
        <w:rPr>
          <w:rFonts w:hint="eastAsia" w:ascii="仿宋" w:hAnsi="仿宋" w:eastAsia="仿宋" w:cs="仿宋"/>
          <w:color w:val="000000"/>
          <w:sz w:val="21"/>
          <w:szCs w:val="21"/>
          <w:highlight w:val="none"/>
        </w:rPr>
        <w:t>的询价文件，我单位愿按询价文件要求承接本次询价范围内的全部内容。报价如下：</w:t>
      </w:r>
    </w:p>
    <w:tbl>
      <w:tblPr>
        <w:tblStyle w:val="17"/>
        <w:tblW w:w="8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170"/>
        <w:gridCol w:w="5669"/>
      </w:tblGrid>
      <w:tr w14:paraId="22EA4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1" w:hRule="atLeast"/>
          <w:jc w:val="center"/>
        </w:trPr>
        <w:tc>
          <w:tcPr>
            <w:tcW w:w="3170" w:type="dxa"/>
            <w:tcBorders>
              <w:bottom w:val="single" w:color="000000" w:sz="4" w:space="0"/>
              <w:right w:val="single" w:color="000000" w:sz="4" w:space="0"/>
            </w:tcBorders>
            <w:vAlign w:val="center"/>
          </w:tcPr>
          <w:p w14:paraId="343AD7FB">
            <w:pPr>
              <w:keepNext w:val="0"/>
              <w:keepLines w:val="0"/>
              <w:pageBreakBefore w:val="0"/>
              <w:widowControl/>
              <w:kinsoku/>
              <w:wordWrap/>
              <w:overflowPunct/>
              <w:topLinePunct w:val="0"/>
              <w:autoSpaceDE/>
              <w:autoSpaceDN/>
              <w:bidi w:val="0"/>
              <w:adjustRightInd/>
              <w:snapToGrid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报价折扣比例</w:t>
            </w:r>
          </w:p>
        </w:tc>
        <w:tc>
          <w:tcPr>
            <w:tcW w:w="5669" w:type="dxa"/>
            <w:tcBorders>
              <w:left w:val="nil"/>
              <w:bottom w:val="single" w:color="000000" w:sz="4" w:space="0"/>
            </w:tcBorders>
            <w:vAlign w:val="center"/>
          </w:tcPr>
          <w:p w14:paraId="2BB5DDB1">
            <w:pPr>
              <w:keepNext w:val="0"/>
              <w:keepLines w:val="0"/>
              <w:pageBreakBefore w:val="0"/>
              <w:widowControl/>
              <w:kinsoku/>
              <w:wordWrap/>
              <w:overflowPunct/>
              <w:topLinePunct w:val="0"/>
              <w:autoSpaceDE/>
              <w:autoSpaceDN/>
              <w:bidi w:val="0"/>
              <w:adjustRightInd/>
              <w:snapToGrid w:val="0"/>
              <w:spacing w:line="360" w:lineRule="auto"/>
              <w:jc w:val="both"/>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所报</w:t>
            </w:r>
            <w:r>
              <w:rPr>
                <w:rFonts w:hint="eastAsia" w:ascii="仿宋" w:hAnsi="仿宋" w:eastAsia="仿宋" w:cs="仿宋"/>
                <w:color w:val="000000"/>
                <w:kern w:val="0"/>
                <w:sz w:val="21"/>
                <w:szCs w:val="21"/>
                <w:highlight w:val="none"/>
              </w:rPr>
              <w:t>折扣比例</w:t>
            </w:r>
            <w:r>
              <w:rPr>
                <w:rFonts w:hint="eastAsia" w:ascii="仿宋" w:hAnsi="仿宋" w:eastAsia="仿宋" w:cs="仿宋"/>
                <w:color w:val="000000"/>
                <w:sz w:val="21"/>
                <w:szCs w:val="21"/>
                <w:highlight w:val="none"/>
                <w:lang w:val="en-US" w:eastAsia="zh-CN"/>
              </w:rPr>
              <w:t>为</w:t>
            </w:r>
            <w:r>
              <w:rPr>
                <w:rFonts w:hint="eastAsia" w:ascii="仿宋" w:hAnsi="仿宋" w:eastAsia="仿宋" w:cs="仿宋"/>
                <w:sz w:val="21"/>
                <w:szCs w:val="21"/>
                <w:highlight w:val="none"/>
              </w:rPr>
              <w:t>基准</w:t>
            </w:r>
            <w:r>
              <w:rPr>
                <w:rFonts w:hint="eastAsia" w:ascii="仿宋" w:hAnsi="仿宋" w:eastAsia="仿宋" w:cs="仿宋"/>
                <w:sz w:val="21"/>
                <w:szCs w:val="21"/>
                <w:highlight w:val="none"/>
                <w:lang w:val="en-US" w:eastAsia="zh-CN"/>
              </w:rPr>
              <w:t>价的</w:t>
            </w:r>
            <w:r>
              <w:rPr>
                <w:rFonts w:hint="eastAsia" w:ascii="仿宋" w:hAnsi="仿宋" w:eastAsia="仿宋" w:cs="仿宋"/>
                <w:color w:val="000000"/>
                <w:sz w:val="21"/>
                <w:szCs w:val="21"/>
                <w:highlight w:val="none"/>
                <w:lang w:val="en-US" w:eastAsia="zh-CN"/>
              </w:rPr>
              <w:t>百分之（大写）</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lang w:val="en-US" w:eastAsia="zh-CN"/>
              </w:rPr>
              <w:t xml:space="preserve"> </w:t>
            </w:r>
          </w:p>
        </w:tc>
      </w:tr>
      <w:tr w14:paraId="54038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1" w:hRule="atLeast"/>
          <w:jc w:val="center"/>
        </w:trPr>
        <w:tc>
          <w:tcPr>
            <w:tcW w:w="3170" w:type="dxa"/>
            <w:tcBorders>
              <w:bottom w:val="single" w:color="000000" w:sz="4" w:space="0"/>
              <w:right w:val="single" w:color="000000" w:sz="4" w:space="0"/>
            </w:tcBorders>
            <w:vAlign w:val="center"/>
          </w:tcPr>
          <w:p w14:paraId="08DE307C">
            <w:pPr>
              <w:keepNext w:val="0"/>
              <w:keepLines w:val="0"/>
              <w:pageBreakBefore w:val="0"/>
              <w:widowControl/>
              <w:kinsoku/>
              <w:wordWrap/>
              <w:overflowPunct/>
              <w:topLinePunct w:val="0"/>
              <w:autoSpaceDE/>
              <w:autoSpaceDN/>
              <w:bidi w:val="0"/>
              <w:adjustRightInd/>
              <w:snapToGrid w:val="0"/>
              <w:spacing w:line="36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服务时间</w:t>
            </w:r>
          </w:p>
        </w:tc>
        <w:tc>
          <w:tcPr>
            <w:tcW w:w="5669" w:type="dxa"/>
            <w:tcBorders>
              <w:left w:val="nil"/>
              <w:bottom w:val="single" w:color="000000" w:sz="4" w:space="0"/>
            </w:tcBorders>
            <w:vAlign w:val="center"/>
          </w:tcPr>
          <w:p w14:paraId="34B8FD89">
            <w:pPr>
              <w:keepNext w:val="0"/>
              <w:keepLines w:val="0"/>
              <w:pageBreakBefore w:val="0"/>
              <w:widowControl/>
              <w:kinsoku/>
              <w:wordWrap/>
              <w:overflowPunct/>
              <w:topLinePunct w:val="0"/>
              <w:autoSpaceDE/>
              <w:autoSpaceDN/>
              <w:bidi w:val="0"/>
              <w:adjustRightInd/>
              <w:snapToGrid w:val="0"/>
              <w:spacing w:line="360" w:lineRule="auto"/>
              <w:jc w:val="both"/>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满足询价文件要求。</w:t>
            </w:r>
          </w:p>
        </w:tc>
      </w:tr>
      <w:tr w14:paraId="06B8F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3170" w:type="dxa"/>
            <w:tcBorders>
              <w:top w:val="single" w:color="000000" w:sz="4" w:space="0"/>
              <w:bottom w:val="single" w:color="000000" w:sz="4" w:space="0"/>
              <w:right w:val="single" w:color="000000" w:sz="4" w:space="0"/>
            </w:tcBorders>
            <w:vAlign w:val="center"/>
          </w:tcPr>
          <w:p w14:paraId="748F3119">
            <w:pPr>
              <w:keepNext w:val="0"/>
              <w:keepLines w:val="0"/>
              <w:pageBreakBefore w:val="0"/>
              <w:kinsoku/>
              <w:wordWrap/>
              <w:overflowPunct/>
              <w:topLinePunct w:val="0"/>
              <w:autoSpaceDE/>
              <w:autoSpaceDN/>
              <w:bidi w:val="0"/>
              <w:adjustRightInd/>
              <w:snapToGrid w:val="0"/>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是否满足质量、服务要求</w:t>
            </w:r>
          </w:p>
        </w:tc>
        <w:tc>
          <w:tcPr>
            <w:tcW w:w="5669" w:type="dxa"/>
            <w:tcBorders>
              <w:top w:val="single" w:color="000000" w:sz="4" w:space="0"/>
              <w:left w:val="nil"/>
              <w:bottom w:val="single" w:color="000000" w:sz="4" w:space="0"/>
            </w:tcBorders>
            <w:vAlign w:val="center"/>
          </w:tcPr>
          <w:p w14:paraId="7DFB11CE">
            <w:pPr>
              <w:keepNext w:val="0"/>
              <w:keepLines w:val="0"/>
              <w:pageBreakBefore w:val="0"/>
              <w:kinsoku/>
              <w:wordWrap/>
              <w:overflowPunct/>
              <w:topLinePunct w:val="0"/>
              <w:autoSpaceDE/>
              <w:autoSpaceDN/>
              <w:bidi w:val="0"/>
              <w:adjustRightInd/>
              <w:snapToGrid w:val="0"/>
              <w:spacing w:line="360" w:lineRule="auto"/>
              <w:jc w:val="center"/>
              <w:rPr>
                <w:rFonts w:hint="eastAsia" w:ascii="仿宋" w:hAnsi="仿宋" w:eastAsia="仿宋" w:cs="仿宋"/>
                <w:color w:val="000000"/>
                <w:sz w:val="21"/>
                <w:szCs w:val="21"/>
                <w:highlight w:val="none"/>
              </w:rPr>
            </w:pPr>
          </w:p>
        </w:tc>
      </w:tr>
      <w:tr w14:paraId="39CA1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3170" w:type="dxa"/>
            <w:tcBorders>
              <w:top w:val="single" w:color="000000" w:sz="4" w:space="0"/>
              <w:bottom w:val="single" w:color="000000" w:sz="4" w:space="0"/>
              <w:right w:val="single" w:color="000000" w:sz="4" w:space="0"/>
            </w:tcBorders>
            <w:vAlign w:val="center"/>
          </w:tcPr>
          <w:p w14:paraId="2F68DDED">
            <w:pPr>
              <w:keepNext w:val="0"/>
              <w:keepLines w:val="0"/>
              <w:pageBreakBefore w:val="0"/>
              <w:kinsoku/>
              <w:wordWrap/>
              <w:overflowPunct/>
              <w:topLinePunct w:val="0"/>
              <w:autoSpaceDE/>
              <w:autoSpaceDN/>
              <w:bidi w:val="0"/>
              <w:adjustRightInd/>
              <w:snapToGrid w:val="0"/>
              <w:spacing w:line="360" w:lineRule="auto"/>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其他承诺（如有）</w:t>
            </w:r>
          </w:p>
        </w:tc>
        <w:tc>
          <w:tcPr>
            <w:tcW w:w="5669" w:type="dxa"/>
            <w:tcBorders>
              <w:top w:val="single" w:color="000000" w:sz="4" w:space="0"/>
              <w:left w:val="nil"/>
              <w:bottom w:val="single" w:color="000000" w:sz="4" w:space="0"/>
            </w:tcBorders>
            <w:vAlign w:val="center"/>
          </w:tcPr>
          <w:p w14:paraId="449374B9">
            <w:pPr>
              <w:keepNext w:val="0"/>
              <w:keepLines w:val="0"/>
              <w:pageBreakBefore w:val="0"/>
              <w:kinsoku/>
              <w:wordWrap/>
              <w:overflowPunct/>
              <w:topLinePunct w:val="0"/>
              <w:autoSpaceDE/>
              <w:autoSpaceDN/>
              <w:bidi w:val="0"/>
              <w:adjustRightInd/>
              <w:snapToGrid w:val="0"/>
              <w:spacing w:line="360" w:lineRule="auto"/>
              <w:jc w:val="center"/>
              <w:rPr>
                <w:rFonts w:hint="eastAsia" w:ascii="仿宋" w:hAnsi="仿宋" w:eastAsia="仿宋" w:cs="仿宋"/>
                <w:color w:val="000000"/>
                <w:sz w:val="21"/>
                <w:szCs w:val="21"/>
                <w:highlight w:val="none"/>
              </w:rPr>
            </w:pPr>
          </w:p>
        </w:tc>
      </w:tr>
    </w:tbl>
    <w:p w14:paraId="2604059A">
      <w:pPr>
        <w:keepNext w:val="0"/>
        <w:keepLines w:val="0"/>
        <w:pageBreakBefore w:val="0"/>
        <w:numPr>
          <w:ilvl w:val="0"/>
          <w:numId w:val="0"/>
        </w:numPr>
        <w:kinsoku/>
        <w:wordWrap/>
        <w:overflowPunct/>
        <w:topLinePunct w:val="0"/>
        <w:autoSpaceDE/>
        <w:autoSpaceDN/>
        <w:bidi w:val="0"/>
        <w:adjustRightInd/>
        <w:snapToGrid w:val="0"/>
        <w:spacing w:line="360" w:lineRule="auto"/>
        <w:ind w:firstLine="422" w:firstLineChars="200"/>
        <w:jc w:val="left"/>
        <w:rPr>
          <w:rFonts w:hint="eastAsia" w:ascii="仿宋" w:hAnsi="仿宋" w:eastAsia="仿宋" w:cs="仿宋"/>
          <w:b/>
          <w:bCs/>
          <w:i/>
          <w:iCs/>
          <w:color w:val="000000"/>
          <w:sz w:val="21"/>
          <w:szCs w:val="21"/>
          <w:highlight w:val="none"/>
          <w:u w:val="single"/>
        </w:rPr>
      </w:pPr>
      <w:r>
        <w:rPr>
          <w:rFonts w:hint="eastAsia" w:ascii="仿宋" w:hAnsi="仿宋" w:eastAsia="仿宋" w:cs="仿宋"/>
          <w:b/>
          <w:bCs/>
          <w:i/>
          <w:iCs/>
          <w:color w:val="000000"/>
          <w:sz w:val="21"/>
          <w:szCs w:val="21"/>
          <w:highlight w:val="none"/>
          <w:u w:val="single"/>
          <w:lang w:val="en-US" w:eastAsia="zh-CN"/>
        </w:rPr>
        <w:t>1.</w:t>
      </w:r>
      <w:r>
        <w:rPr>
          <w:rFonts w:hint="eastAsia" w:ascii="仿宋" w:hAnsi="仿宋" w:eastAsia="仿宋" w:cs="仿宋"/>
          <w:b/>
          <w:bCs/>
          <w:i/>
          <w:iCs/>
          <w:color w:val="000000"/>
          <w:sz w:val="21"/>
          <w:szCs w:val="21"/>
          <w:highlight w:val="none"/>
          <w:u w:val="single"/>
        </w:rPr>
        <w:t>对需求清单中所列食材报出同一个比例。报价折扣比例数值不得大于100%，报价超过预算的为无效报价，按照无效响应处理。</w:t>
      </w:r>
    </w:p>
    <w:p w14:paraId="7FB1EEB3">
      <w:pPr>
        <w:pStyle w:val="22"/>
        <w:keepNext w:val="0"/>
        <w:keepLines w:val="0"/>
        <w:pageBreakBefore w:val="0"/>
        <w:numPr>
          <w:ilvl w:val="0"/>
          <w:numId w:val="0"/>
        </w:numPr>
        <w:kinsoku/>
        <w:wordWrap/>
        <w:overflowPunct/>
        <w:topLinePunct w:val="0"/>
        <w:autoSpaceDE/>
        <w:autoSpaceDN/>
        <w:bidi w:val="0"/>
        <w:adjustRightInd/>
        <w:snapToGrid w:val="0"/>
        <w:spacing w:before="0" w:after="0" w:line="360" w:lineRule="auto"/>
        <w:ind w:firstLine="422" w:firstLineChars="200"/>
        <w:jc w:val="both"/>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本次询价数量为预估数，如果数量发生变化，以本次报价按实际发生数量结算。</w:t>
      </w:r>
      <w:r>
        <w:rPr>
          <w:rFonts w:hint="eastAsia" w:ascii="仿宋" w:hAnsi="仿宋" w:eastAsia="仿宋" w:cs="仿宋"/>
          <w:sz w:val="21"/>
          <w:szCs w:val="21"/>
          <w:highlight w:val="none"/>
        </w:rPr>
        <w:t>结算价=Σ实际数量×基准价×</w:t>
      </w:r>
      <w:r>
        <w:rPr>
          <w:rFonts w:hint="eastAsia" w:ascii="仿宋" w:hAnsi="仿宋" w:eastAsia="仿宋" w:cs="仿宋"/>
          <w:sz w:val="21"/>
          <w:szCs w:val="21"/>
          <w:highlight w:val="none"/>
          <w:lang w:val="en-US" w:eastAsia="zh-CN"/>
        </w:rPr>
        <w:t>成交折扣比例</w:t>
      </w:r>
      <w:r>
        <w:rPr>
          <w:rFonts w:hint="eastAsia" w:ascii="仿宋" w:hAnsi="仿宋" w:eastAsia="仿宋" w:cs="仿宋"/>
          <w:sz w:val="21"/>
          <w:szCs w:val="21"/>
          <w:highlight w:val="none"/>
        </w:rPr>
        <w:t>，其中基准价为“送货当月凌家塘（http://www.ljt.cn/）公示的价格行情各品种中间价平均数”，即当月公示的所有中间价相加除以公示的天数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如果出现凌家塘没有公示的品种，则以南京农副产品物流中心（http://www.njnfwl.com/）公示的平均价进行计算。如采购计划中出现清单目录之外品种，基准价</w:t>
      </w:r>
      <w:r>
        <w:rPr>
          <w:rFonts w:hint="eastAsia" w:ascii="仿宋" w:hAnsi="仿宋" w:eastAsia="仿宋" w:cs="仿宋"/>
          <w:sz w:val="21"/>
          <w:szCs w:val="21"/>
          <w:highlight w:val="none"/>
          <w:lang w:val="en-US" w:eastAsia="zh-CN"/>
        </w:rPr>
        <w:t>仍按以上次序（</w:t>
      </w:r>
      <w:r>
        <w:rPr>
          <w:rFonts w:hint="eastAsia" w:ascii="仿宋" w:hAnsi="仿宋" w:eastAsia="仿宋" w:cs="仿宋"/>
          <w:sz w:val="21"/>
          <w:szCs w:val="21"/>
          <w:highlight w:val="none"/>
        </w:rPr>
        <w:t>凌家塘→南京农副产品物流中心</w:t>
      </w:r>
      <w:r>
        <w:rPr>
          <w:rFonts w:hint="eastAsia" w:ascii="仿宋" w:hAnsi="仿宋" w:eastAsia="仿宋" w:cs="仿宋"/>
          <w:sz w:val="21"/>
          <w:szCs w:val="21"/>
          <w:highlight w:val="none"/>
          <w:lang w:val="en-US" w:eastAsia="zh-CN"/>
        </w:rPr>
        <w:t>）计算（</w:t>
      </w:r>
      <w:r>
        <w:rPr>
          <w:rFonts w:hint="eastAsia" w:ascii="仿宋" w:hAnsi="仿宋" w:eastAsia="仿宋" w:cs="仿宋"/>
          <w:sz w:val="21"/>
          <w:szCs w:val="21"/>
          <w:highlight w:val="none"/>
        </w:rPr>
        <w:t>成交折扣</w:t>
      </w:r>
      <w:r>
        <w:rPr>
          <w:rFonts w:hint="eastAsia" w:ascii="仿宋" w:hAnsi="仿宋" w:eastAsia="仿宋" w:cs="仿宋"/>
          <w:sz w:val="21"/>
          <w:szCs w:val="21"/>
          <w:highlight w:val="none"/>
          <w:lang w:val="en-US" w:eastAsia="zh-CN"/>
        </w:rPr>
        <w:t>比例不变）</w:t>
      </w:r>
      <w:r>
        <w:rPr>
          <w:rFonts w:hint="eastAsia" w:ascii="仿宋" w:hAnsi="仿宋" w:eastAsia="仿宋" w:cs="仿宋"/>
          <w:sz w:val="21"/>
          <w:szCs w:val="21"/>
          <w:highlight w:val="none"/>
        </w:rPr>
        <w:t>。</w:t>
      </w:r>
    </w:p>
    <w:p w14:paraId="1E9F9127">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报价为含食材、运输、人工、损耗、税费等完成本项目发生的所有费用。供应商一旦成交后，如因市场变化、政策性调整等因素导致报价成本的变化，报价将不会得到调整。</w:t>
      </w:r>
    </w:p>
    <w:p w14:paraId="0D753D33">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000000"/>
          <w:sz w:val="21"/>
          <w:szCs w:val="21"/>
          <w:highlight w:val="none"/>
        </w:rPr>
      </w:pPr>
    </w:p>
    <w:p w14:paraId="0F67E2CD">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响应单位（盖章）：           </w:t>
      </w:r>
    </w:p>
    <w:p w14:paraId="5FEACC0A">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法定代表人或授权委托人（签字）：                   </w:t>
      </w:r>
    </w:p>
    <w:p w14:paraId="216073D5">
      <w:pPr>
        <w:keepNext w:val="0"/>
        <w:keepLines w:val="0"/>
        <w:pageBreakBefore w:val="0"/>
        <w:kinsoku/>
        <w:wordWrap/>
        <w:overflowPunct/>
        <w:topLinePunct w:val="0"/>
        <w:autoSpaceDE/>
        <w:autoSpaceDN/>
        <w:bidi w:val="0"/>
        <w:adjustRightInd/>
        <w:snapToGrid w:val="0"/>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sz w:val="21"/>
          <w:szCs w:val="21"/>
          <w:highlight w:val="none"/>
          <w:u w:val="none"/>
        </w:rPr>
        <w:t>2024年</w:t>
      </w:r>
      <w:r>
        <w:rPr>
          <w:rFonts w:hint="eastAsia" w:ascii="仿宋" w:hAnsi="仿宋" w:eastAsia="仿宋" w:cs="仿宋"/>
          <w:sz w:val="21"/>
          <w:szCs w:val="21"/>
          <w:highlight w:val="none"/>
          <w:u w:val="none"/>
          <w:lang w:val="en-US" w:eastAsia="zh-CN"/>
        </w:rPr>
        <w:t>12月26日</w:t>
      </w:r>
      <w:r>
        <w:rPr>
          <w:rFonts w:hint="eastAsia" w:ascii="仿宋" w:hAnsi="仿宋" w:eastAsia="仿宋" w:cs="仿宋"/>
          <w:color w:val="000000"/>
          <w:sz w:val="21"/>
          <w:szCs w:val="21"/>
          <w:highlight w:val="none"/>
        </w:rPr>
        <w:t xml:space="preserve"> </w:t>
      </w:r>
      <w:r>
        <w:rPr>
          <w:rFonts w:hint="eastAsia" w:ascii="仿宋" w:hAnsi="仿宋" w:eastAsia="仿宋" w:cs="仿宋"/>
          <w:b/>
          <w:color w:val="000000"/>
          <w:sz w:val="21"/>
          <w:szCs w:val="21"/>
          <w:highlight w:val="none"/>
        </w:rPr>
        <w:t xml:space="preserve"> </w:t>
      </w:r>
      <w:r>
        <w:rPr>
          <w:rFonts w:hint="eastAsia" w:ascii="仿宋" w:hAnsi="仿宋" w:eastAsia="仿宋" w:cs="仿宋"/>
          <w:sz w:val="21"/>
          <w:szCs w:val="21"/>
          <w:highlight w:val="none"/>
        </w:rPr>
        <w:t xml:space="preserve"> </w:t>
      </w:r>
    </w:p>
    <w:p w14:paraId="42A4CE8D">
      <w:pPr>
        <w:pageBreakBefore w:val="0"/>
        <w:kinsoku/>
        <w:bidi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5BAE9933">
      <w:pPr>
        <w:pageBreakBefore w:val="0"/>
        <w:kinsoku/>
        <w:bidi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74C3A650">
      <w:pPr>
        <w:pStyle w:val="16"/>
        <w:pageBreakBefore w:val="0"/>
        <w:kinsoku/>
        <w:bidi w:val="0"/>
        <w:snapToGrid w:val="0"/>
        <w:spacing w:line="360" w:lineRule="auto"/>
        <w:ind w:firstLine="640"/>
        <w:rPr>
          <w:rFonts w:hint="eastAsia" w:ascii="仿宋" w:hAnsi="仿宋" w:eastAsia="仿宋" w:cs="仿宋"/>
          <w:highlight w:val="none"/>
        </w:rPr>
      </w:pPr>
    </w:p>
    <w:p w14:paraId="0A3FFA3B">
      <w:pPr>
        <w:pStyle w:val="16"/>
        <w:pageBreakBefore w:val="0"/>
        <w:kinsoku/>
        <w:bidi w:val="0"/>
        <w:snapToGrid w:val="0"/>
        <w:spacing w:line="360" w:lineRule="auto"/>
        <w:ind w:firstLine="640"/>
        <w:rPr>
          <w:rFonts w:hint="eastAsia" w:ascii="仿宋" w:hAnsi="仿宋" w:eastAsia="仿宋" w:cs="仿宋"/>
          <w:highlight w:val="none"/>
        </w:rPr>
      </w:pPr>
    </w:p>
    <w:p w14:paraId="47CE064E">
      <w:pPr>
        <w:pStyle w:val="16"/>
        <w:pageBreakBefore w:val="0"/>
        <w:kinsoku/>
        <w:bidi w:val="0"/>
        <w:snapToGrid w:val="0"/>
        <w:spacing w:line="360" w:lineRule="auto"/>
        <w:ind w:firstLine="640"/>
        <w:rPr>
          <w:rFonts w:hint="eastAsia" w:ascii="仿宋" w:hAnsi="仿宋" w:eastAsia="仿宋" w:cs="仿宋"/>
          <w:highlight w:val="none"/>
        </w:rPr>
      </w:pPr>
    </w:p>
    <w:p w14:paraId="187D8651">
      <w:pPr>
        <w:pageBreakBefore w:val="0"/>
        <w:widowControl/>
        <w:kinsoku/>
        <w:wordWrap/>
        <w:overflowPunct w:val="0"/>
        <w:topLinePunct/>
        <w:autoSpaceDE/>
        <w:autoSpaceDN/>
        <w:bidi w:val="0"/>
        <w:adjustRightInd w:val="0"/>
        <w:snapToGrid w:val="0"/>
        <w:spacing w:line="360" w:lineRule="auto"/>
        <w:jc w:val="center"/>
        <w:textAlignment w:val="baseline"/>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br w:type="column"/>
      </w:r>
      <w:r>
        <w:rPr>
          <w:rFonts w:hint="eastAsia" w:ascii="仿宋" w:hAnsi="仿宋" w:eastAsia="仿宋" w:cs="仿宋"/>
          <w:b/>
          <w:snapToGrid w:val="0"/>
          <w:color w:val="auto"/>
          <w:kern w:val="0"/>
          <w:sz w:val="32"/>
          <w:szCs w:val="32"/>
          <w:highlight w:val="none"/>
        </w:rPr>
        <w:t>企业声明函</w:t>
      </w:r>
    </w:p>
    <w:p w14:paraId="03901777">
      <w:pPr>
        <w:pageBreakBefore w:val="0"/>
        <w:widowControl/>
        <w:kinsoku/>
        <w:wordWrap/>
        <w:overflowPunct w:val="0"/>
        <w:topLinePunct/>
        <w:autoSpaceDE/>
        <w:autoSpaceDN/>
        <w:bidi w:val="0"/>
        <w:adjustRightInd w:val="0"/>
        <w:snapToGrid w:val="0"/>
        <w:spacing w:line="360" w:lineRule="auto"/>
        <w:jc w:val="center"/>
        <w:textAlignment w:val="baseline"/>
        <w:rPr>
          <w:rFonts w:hint="eastAsia"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rPr>
        <w:t xml:space="preserve">中小企业声明函（货物） </w:t>
      </w:r>
    </w:p>
    <w:p w14:paraId="4AD610D2">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本公司郑重声明，根据《政府采购促进中小企业发展管理办法》（财库﹝2020﹞46 号）的规定，本公司参加</w:t>
      </w:r>
      <w:r>
        <w:rPr>
          <w:rFonts w:hint="eastAsia" w:ascii="仿宋" w:hAnsi="仿宋" w:eastAsia="仿宋" w:cs="仿宋"/>
          <w:snapToGrid w:val="0"/>
          <w:color w:val="auto"/>
          <w:kern w:val="0"/>
          <w:szCs w:val="21"/>
          <w:highlight w:val="none"/>
          <w:u w:val="single"/>
          <w:lang w:val="en-US" w:eastAsia="zh-CN"/>
        </w:rPr>
        <w:t>江苏省镇江监狱</w:t>
      </w:r>
      <w:r>
        <w:rPr>
          <w:rFonts w:hint="eastAsia" w:ascii="仿宋" w:hAnsi="仿宋" w:eastAsia="仿宋" w:cs="仿宋"/>
          <w:snapToGrid w:val="0"/>
          <w:color w:val="auto"/>
          <w:kern w:val="0"/>
          <w:szCs w:val="21"/>
          <w:highlight w:val="none"/>
        </w:rPr>
        <w:t>（单位名称）的</w:t>
      </w:r>
      <w:r>
        <w:rPr>
          <w:rFonts w:hint="eastAsia" w:ascii="仿宋" w:hAnsi="仿宋" w:eastAsia="仿宋" w:cs="仿宋"/>
          <w:snapToGrid w:val="0"/>
          <w:color w:val="auto"/>
          <w:kern w:val="0"/>
          <w:szCs w:val="21"/>
          <w:highlight w:val="none"/>
          <w:u w:val="single"/>
          <w:lang w:val="en-US" w:eastAsia="zh-CN"/>
        </w:rPr>
        <w:t>伙房荤菜采购项目(2025年1-3月）（第二次）</w:t>
      </w:r>
      <w:r>
        <w:rPr>
          <w:rFonts w:hint="eastAsia" w:ascii="仿宋" w:hAnsi="仿宋" w:eastAsia="仿宋" w:cs="仿宋"/>
          <w:snapToGrid w:val="0"/>
          <w:color w:val="auto"/>
          <w:kern w:val="0"/>
          <w:szCs w:val="21"/>
          <w:highlight w:val="none"/>
        </w:rPr>
        <w:t xml:space="preserve">（项目名称）采购活动，提供的货物全部由符合政策要求的中小企业制造。相关企业（含联合体中的中小企业、签订分包意向协议的中小企业）的具体情况如下： </w:t>
      </w:r>
    </w:p>
    <w:p w14:paraId="3A3ED4F4">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w:t>
      </w:r>
      <w:r>
        <w:rPr>
          <w:rFonts w:hint="eastAsia" w:ascii="仿宋" w:hAnsi="仿宋" w:eastAsia="仿宋" w:cs="仿宋"/>
          <w:snapToGrid w:val="0"/>
          <w:color w:val="auto"/>
          <w:kern w:val="0"/>
          <w:szCs w:val="21"/>
          <w:highlight w:val="none"/>
          <w:u w:val="single"/>
          <w:lang w:val="en-US" w:eastAsia="zh-CN"/>
        </w:rPr>
        <w:t>荤菜</w:t>
      </w:r>
      <w:r>
        <w:rPr>
          <w:rFonts w:hint="eastAsia" w:ascii="仿宋" w:hAnsi="仿宋" w:eastAsia="仿宋" w:cs="仿宋"/>
          <w:snapToGrid w:val="0"/>
          <w:color w:val="auto"/>
          <w:kern w:val="0"/>
          <w:szCs w:val="21"/>
          <w:highlight w:val="none"/>
        </w:rPr>
        <w:t>（标的名称），属于</w:t>
      </w:r>
      <w:r>
        <w:rPr>
          <w:rFonts w:hint="eastAsia" w:ascii="仿宋" w:hAnsi="仿宋" w:eastAsia="仿宋" w:cs="仿宋"/>
          <w:snapToGrid w:val="0"/>
          <w:color w:val="auto"/>
          <w:kern w:val="0"/>
          <w:szCs w:val="21"/>
          <w:highlight w:val="none"/>
          <w:u w:val="single"/>
          <w:lang w:val="en-US" w:eastAsia="zh-CN"/>
        </w:rPr>
        <w:t>批发类</w:t>
      </w:r>
      <w:r>
        <w:rPr>
          <w:rFonts w:hint="eastAsia" w:ascii="仿宋" w:hAnsi="仿宋" w:eastAsia="仿宋" w:cs="仿宋"/>
          <w:snapToGrid w:val="0"/>
          <w:color w:val="auto"/>
          <w:kern w:val="0"/>
          <w:szCs w:val="21"/>
          <w:highlight w:val="none"/>
        </w:rPr>
        <w:t>（采购文件中明确的所属行业） 行业；制造商为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（企业名称），从业人员</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 xml:space="preserve">人，营业收入为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万元，资产总额为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万元</w:t>
      </w:r>
      <w:r>
        <w:rPr>
          <w:rFonts w:hint="eastAsia" w:ascii="仿宋" w:hAnsi="仿宋" w:eastAsia="仿宋" w:cs="仿宋"/>
          <w:snapToGrid w:val="0"/>
          <w:color w:val="auto"/>
          <w:kern w:val="0"/>
          <w:szCs w:val="21"/>
          <w:highlight w:val="none"/>
          <w:vertAlign w:val="superscript"/>
        </w:rPr>
        <w:t>1</w:t>
      </w:r>
      <w:r>
        <w:rPr>
          <w:rFonts w:hint="eastAsia" w:ascii="仿宋" w:hAnsi="仿宋" w:eastAsia="仿宋" w:cs="仿宋"/>
          <w:snapToGrid w:val="0"/>
          <w:color w:val="auto"/>
          <w:kern w:val="0"/>
          <w:szCs w:val="21"/>
          <w:highlight w:val="none"/>
        </w:rPr>
        <w:t>，属于</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（中型企业、小型企业、微型企业</w:t>
      </w:r>
      <w:r>
        <w:rPr>
          <w:rFonts w:hint="eastAsia" w:ascii="仿宋" w:hAnsi="仿宋" w:eastAsia="仿宋" w:cs="仿宋"/>
          <w:snapToGrid w:val="0"/>
          <w:color w:val="auto"/>
          <w:kern w:val="0"/>
          <w:szCs w:val="21"/>
          <w:highlight w:val="none"/>
          <w:u w:val="single"/>
          <w:lang w:eastAsia="zh-CN"/>
        </w:rPr>
        <w:t>，</w:t>
      </w:r>
      <w:r>
        <w:rPr>
          <w:rFonts w:hint="eastAsia" w:ascii="仿宋" w:hAnsi="仿宋" w:eastAsia="仿宋" w:cs="仿宋"/>
          <w:b/>
          <w:bCs/>
          <w:snapToGrid w:val="0"/>
          <w:color w:val="FF0000"/>
          <w:kern w:val="0"/>
          <w:szCs w:val="21"/>
          <w:highlight w:val="none"/>
          <w:u w:val="single"/>
          <w:lang w:val="en-US" w:eastAsia="zh-CN"/>
        </w:rPr>
        <w:t>请选填！</w:t>
      </w:r>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 xml:space="preserve">； </w:t>
      </w:r>
    </w:p>
    <w:p w14:paraId="0653BCB0">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w:t>
      </w:r>
      <w:r>
        <w:rPr>
          <w:rFonts w:hint="eastAsia" w:ascii="仿宋" w:hAnsi="仿宋" w:eastAsia="仿宋" w:cs="仿宋"/>
          <w:snapToGrid w:val="0"/>
          <w:color w:val="000000"/>
          <w:kern w:val="0"/>
          <w:sz w:val="21"/>
          <w:szCs w:val="21"/>
          <w:highlight w:val="none"/>
          <w:u w:val="single"/>
          <w:lang w:val="en-US" w:eastAsia="zh-CN"/>
        </w:rPr>
        <w:t xml:space="preserve">         </w:t>
      </w:r>
      <w:r>
        <w:rPr>
          <w:rFonts w:hint="eastAsia" w:ascii="仿宋" w:hAnsi="仿宋" w:eastAsia="仿宋" w:cs="仿宋"/>
          <w:snapToGrid w:val="0"/>
          <w:color w:val="auto"/>
          <w:kern w:val="0"/>
          <w:szCs w:val="21"/>
          <w:highlight w:val="none"/>
        </w:rPr>
        <w:t>（标的名称），属于</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（采购文件中明确的所属行业） 行业；制造商为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（企业名称），从业人员</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人，营业收入为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万元，资产总额为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万元，属于</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（中型企业、小型企业、微型企业</w:t>
      </w:r>
      <w:r>
        <w:rPr>
          <w:rFonts w:hint="eastAsia" w:ascii="仿宋" w:hAnsi="仿宋" w:eastAsia="仿宋" w:cs="仿宋"/>
          <w:snapToGrid w:val="0"/>
          <w:color w:val="auto"/>
          <w:kern w:val="0"/>
          <w:szCs w:val="21"/>
          <w:highlight w:val="none"/>
          <w:u w:val="single"/>
          <w:lang w:eastAsia="zh-CN"/>
        </w:rPr>
        <w:t>，</w:t>
      </w:r>
      <w:r>
        <w:rPr>
          <w:rFonts w:hint="eastAsia" w:ascii="仿宋" w:hAnsi="仿宋" w:eastAsia="仿宋" w:cs="仿宋"/>
          <w:b/>
          <w:bCs/>
          <w:snapToGrid w:val="0"/>
          <w:color w:val="FF0000"/>
          <w:kern w:val="0"/>
          <w:szCs w:val="21"/>
          <w:highlight w:val="none"/>
          <w:u w:val="single"/>
          <w:lang w:val="en-US" w:eastAsia="zh-CN"/>
        </w:rPr>
        <w:t>请选填！</w:t>
      </w:r>
      <w:r>
        <w:rPr>
          <w:rFonts w:hint="eastAsia" w:ascii="仿宋" w:hAnsi="仿宋" w:eastAsia="仿宋" w:cs="仿宋"/>
          <w:snapToGrid w:val="0"/>
          <w:color w:val="auto"/>
          <w:kern w:val="0"/>
          <w:szCs w:val="21"/>
          <w:highlight w:val="none"/>
          <w:u w:val="single"/>
        </w:rPr>
        <w:t>）</w:t>
      </w:r>
      <w:r>
        <w:rPr>
          <w:rFonts w:hint="eastAsia" w:ascii="仿宋" w:hAnsi="仿宋" w:eastAsia="仿宋" w:cs="仿宋"/>
          <w:snapToGrid w:val="0"/>
          <w:color w:val="auto"/>
          <w:kern w:val="0"/>
          <w:szCs w:val="21"/>
          <w:highlight w:val="none"/>
        </w:rPr>
        <w:t xml:space="preserve">； </w:t>
      </w:r>
    </w:p>
    <w:p w14:paraId="45445417">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 </w:t>
      </w:r>
    </w:p>
    <w:p w14:paraId="1ED5D89F">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以上企业，不属于大企业的分支机构，不存在控股股东为大企业的情形，也不存在与大企业的负责人为同一人的情形。 </w:t>
      </w:r>
    </w:p>
    <w:p w14:paraId="3A715113">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本企业对上述声明内容的真实性负责。如有虚假，将依法承担相应责任。 </w:t>
      </w:r>
    </w:p>
    <w:p w14:paraId="6D8CBA5E">
      <w:pPr>
        <w:pageBreakBefore w:val="0"/>
        <w:widowControl/>
        <w:kinsoku/>
        <w:wordWrap/>
        <w:overflowPunct w:val="0"/>
        <w:topLinePunct/>
        <w:autoSpaceDE/>
        <w:autoSpaceDN/>
        <w:bidi w:val="0"/>
        <w:adjustRightInd w:val="0"/>
        <w:snapToGrid w:val="0"/>
        <w:spacing w:line="360" w:lineRule="auto"/>
        <w:ind w:firstLine="4464" w:firstLineChars="2126"/>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xml:space="preserve">企业名称（盖章）： </w:t>
      </w:r>
    </w:p>
    <w:p w14:paraId="6FA34621">
      <w:pPr>
        <w:pageBreakBefore w:val="0"/>
        <w:widowControl/>
        <w:kinsoku/>
        <w:wordWrap/>
        <w:overflowPunct w:val="0"/>
        <w:topLinePunct/>
        <w:autoSpaceDE/>
        <w:autoSpaceDN/>
        <w:bidi w:val="0"/>
        <w:adjustRightInd w:val="0"/>
        <w:snapToGrid w:val="0"/>
        <w:spacing w:line="360" w:lineRule="auto"/>
        <w:ind w:firstLine="4464" w:firstLineChars="2126"/>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日期：</w:t>
      </w:r>
    </w:p>
    <w:p w14:paraId="1A62CF3A">
      <w:pPr>
        <w:pageBreakBefore w:val="0"/>
        <w:kinsoku/>
        <w:wordWrap/>
        <w:overflowPunct w:val="0"/>
        <w:topLinePunct/>
        <w:autoSpaceDE/>
        <w:autoSpaceDN/>
        <w:bidi w:val="0"/>
        <w:adjustRightInd w:val="0"/>
        <w:snapToGrid w:val="0"/>
        <w:spacing w:line="360" w:lineRule="auto"/>
        <w:ind w:firstLine="420" w:firstLineChars="200"/>
        <w:textAlignment w:val="baseline"/>
        <w:rPr>
          <w:rFonts w:hint="eastAsia" w:ascii="仿宋" w:hAnsi="仿宋" w:eastAsia="仿宋" w:cs="仿宋"/>
          <w:snapToGrid w:val="0"/>
          <w:color w:val="auto"/>
          <w:sz w:val="21"/>
          <w:szCs w:val="21"/>
          <w:highlight w:val="none"/>
          <w:lang w:val="en-US" w:eastAsia="zh-CN" w:bidi="ar-SA"/>
        </w:rPr>
      </w:pPr>
    </w:p>
    <w:p w14:paraId="459C4ABC">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62336;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dEF01wAAAAgBAAAPAAAAAAAAAAEAIAAAACIAAABkcnMvZG93bnJldi54bWxQSwECFAAU&#10;AAAACACHTuJAmFCMr/IBAADoAwAADgAAAAAAAAABACAAAAAm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snapToGrid w:val="0"/>
          <w:color w:val="auto"/>
          <w:kern w:val="0"/>
          <w:szCs w:val="21"/>
          <w:highlight w:val="none"/>
        </w:rPr>
        <w:t xml:space="preserve"> </w:t>
      </w:r>
    </w:p>
    <w:p w14:paraId="39609B67">
      <w:pPr>
        <w:pageBreakBefore w:val="0"/>
        <w:widowControl/>
        <w:kinsoku/>
        <w:wordWrap/>
        <w:overflowPunct w:val="0"/>
        <w:topLinePunct/>
        <w:autoSpaceDE/>
        <w:autoSpaceDN/>
        <w:bidi w:val="0"/>
        <w:adjustRightInd w:val="0"/>
        <w:snapToGrid w:val="0"/>
        <w:spacing w:line="360" w:lineRule="auto"/>
        <w:ind w:firstLine="480"/>
        <w:jc w:val="left"/>
        <w:textAlignment w:val="baseline"/>
        <w:rPr>
          <w:rFonts w:hint="eastAsia" w:ascii="仿宋" w:hAnsi="仿宋" w:eastAsia="仿宋" w:cs="仿宋"/>
          <w:b/>
          <w:bCs/>
          <w:snapToGrid w:val="0"/>
          <w:color w:val="auto"/>
          <w:kern w:val="0"/>
          <w:szCs w:val="21"/>
          <w:highlight w:val="none"/>
        </w:rPr>
      </w:pPr>
      <w:r>
        <w:rPr>
          <w:rFonts w:hint="eastAsia" w:ascii="仿宋" w:hAnsi="仿宋" w:eastAsia="仿宋" w:cs="仿宋"/>
          <w:snapToGrid w:val="0"/>
          <w:color w:val="auto"/>
          <w:kern w:val="0"/>
          <w:szCs w:val="21"/>
          <w:highlight w:val="none"/>
          <w:vertAlign w:val="superscript"/>
        </w:rPr>
        <w:t>1</w:t>
      </w:r>
      <w:r>
        <w:rPr>
          <w:rFonts w:hint="eastAsia" w:ascii="仿宋" w:hAnsi="仿宋" w:eastAsia="仿宋" w:cs="仿宋"/>
          <w:snapToGrid w:val="0"/>
          <w:color w:val="auto"/>
          <w:kern w:val="0"/>
          <w:szCs w:val="21"/>
          <w:highlight w:val="none"/>
        </w:rPr>
        <w:t>从业人员、营业收入、资产总额填报上一年度数据，无上一年度数据的新成立企业可不填报。</w:t>
      </w:r>
    </w:p>
    <w:p w14:paraId="41F85443">
      <w:pPr>
        <w:pageBreakBefore w:val="0"/>
        <w:tabs>
          <w:tab w:val="left" w:pos="0"/>
        </w:tabs>
        <w:kinsoku/>
        <w:wordWrap/>
        <w:overflowPunct w:val="0"/>
        <w:topLinePunct/>
        <w:autoSpaceDE/>
        <w:autoSpaceDN/>
        <w:bidi w:val="0"/>
        <w:snapToGrid w:val="0"/>
        <w:spacing w:line="360" w:lineRule="auto"/>
        <w:rPr>
          <w:rFonts w:hint="eastAsia" w:ascii="仿宋" w:hAnsi="仿宋" w:eastAsia="仿宋" w:cs="仿宋"/>
          <w:color w:val="auto"/>
          <w:highlight w:val="none"/>
        </w:rPr>
        <w:sectPr>
          <w:headerReference r:id="rId5" w:type="default"/>
          <w:footerReference r:id="rId6" w:type="default"/>
          <w:pgSz w:w="11906" w:h="16838"/>
          <w:pgMar w:top="1440" w:right="1803" w:bottom="1440" w:left="1599" w:header="850" w:footer="992" w:gutter="0"/>
          <w:pgNumType w:fmt="decimal"/>
          <w:cols w:space="0" w:num="1"/>
          <w:titlePg/>
          <w:docGrid w:type="lines" w:linePitch="317" w:charSpace="0"/>
        </w:sectPr>
      </w:pPr>
    </w:p>
    <w:p w14:paraId="2E5AD584">
      <w:pPr>
        <w:pageBreakBefore w:val="0"/>
        <w:widowControl/>
        <w:kinsoku/>
        <w:wordWrap/>
        <w:overflowPunct w:val="0"/>
        <w:topLinePunct/>
        <w:autoSpaceDE/>
        <w:autoSpaceDN/>
        <w:bidi w:val="0"/>
        <w:adjustRightInd w:val="0"/>
        <w:snapToGrid w:val="0"/>
        <w:spacing w:line="360" w:lineRule="auto"/>
        <w:jc w:val="center"/>
        <w:textAlignment w:val="baseline"/>
        <w:rPr>
          <w:rFonts w:hint="eastAsia" w:ascii="仿宋" w:hAnsi="仿宋" w:eastAsia="仿宋" w:cs="仿宋"/>
          <w:b/>
          <w:bCs/>
          <w:snapToGrid w:val="0"/>
          <w:color w:val="auto"/>
          <w:kern w:val="0"/>
          <w:sz w:val="24"/>
          <w:szCs w:val="21"/>
          <w:highlight w:val="none"/>
        </w:rPr>
      </w:pPr>
      <w:bookmarkStart w:id="18" w:name="_bookmark56"/>
      <w:bookmarkEnd w:id="18"/>
      <w:r>
        <w:rPr>
          <w:rFonts w:hint="eastAsia" w:ascii="仿宋" w:hAnsi="仿宋" w:eastAsia="仿宋" w:cs="仿宋"/>
          <w:b/>
          <w:bCs/>
          <w:snapToGrid w:val="0"/>
          <w:color w:val="auto"/>
          <w:kern w:val="0"/>
          <w:sz w:val="24"/>
          <w:szCs w:val="21"/>
          <w:highlight w:val="none"/>
        </w:rPr>
        <w:t>残疾人福利性单位声明函</w:t>
      </w:r>
    </w:p>
    <w:p w14:paraId="7A4D731A">
      <w:pPr>
        <w:pageBreakBefore w:val="0"/>
        <w:widowControl/>
        <w:kinsoku/>
        <w:wordWrap/>
        <w:overflowPunct w:val="0"/>
        <w:topLinePunct/>
        <w:autoSpaceDE/>
        <w:autoSpaceDN/>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EC8E21">
      <w:pPr>
        <w:pageBreakBefore w:val="0"/>
        <w:widowControl/>
        <w:kinsoku/>
        <w:wordWrap/>
        <w:overflowPunct w:val="0"/>
        <w:topLinePunct/>
        <w:autoSpaceDE/>
        <w:autoSpaceDN/>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本单位对上述声明的真实性负责。如有虚假，将依法承担相应责任。</w:t>
      </w:r>
    </w:p>
    <w:p w14:paraId="10D6EC99">
      <w:pPr>
        <w:pageBreakBefore w:val="0"/>
        <w:widowControl/>
        <w:kinsoku/>
        <w:wordWrap/>
        <w:overflowPunct w:val="0"/>
        <w:topLinePunct/>
        <w:autoSpaceDE/>
        <w:autoSpaceDN/>
        <w:bidi w:val="0"/>
        <w:adjustRightInd w:val="0"/>
        <w:snapToGrid w:val="0"/>
        <w:spacing w:line="360" w:lineRule="auto"/>
        <w:ind w:firstLine="5040" w:firstLineChars="24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单位名称（盖章）：</w:t>
      </w:r>
    </w:p>
    <w:p w14:paraId="55946688">
      <w:pPr>
        <w:pageBreakBefore w:val="0"/>
        <w:widowControl/>
        <w:kinsoku/>
        <w:wordWrap/>
        <w:overflowPunct w:val="0"/>
        <w:topLinePunct/>
        <w:autoSpaceDE/>
        <w:autoSpaceDN/>
        <w:bidi w:val="0"/>
        <w:adjustRightInd w:val="0"/>
        <w:snapToGrid w:val="0"/>
        <w:spacing w:line="360" w:lineRule="auto"/>
        <w:ind w:firstLine="5040" w:firstLineChars="24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日  期：</w:t>
      </w:r>
    </w:p>
    <w:p w14:paraId="486678B2">
      <w:pPr>
        <w:pageBreakBefore w:val="0"/>
        <w:widowControl/>
        <w:kinsoku/>
        <w:wordWrap/>
        <w:overflowPunct w:val="0"/>
        <w:topLinePunct/>
        <w:autoSpaceDE/>
        <w:autoSpaceDN/>
        <w:bidi w:val="0"/>
        <w:adjustRightInd w:val="0"/>
        <w:snapToGrid w:val="0"/>
        <w:spacing w:line="360" w:lineRule="auto"/>
        <w:jc w:val="left"/>
        <w:textAlignment w:val="baseline"/>
        <w:rPr>
          <w:rFonts w:hint="eastAsia" w:ascii="仿宋" w:hAnsi="仿宋" w:eastAsia="仿宋" w:cs="仿宋"/>
          <w:b/>
          <w:bCs/>
          <w:snapToGrid w:val="0"/>
          <w:color w:val="auto"/>
          <w:kern w:val="0"/>
          <w:szCs w:val="21"/>
          <w:highlight w:val="none"/>
        </w:rPr>
      </w:pPr>
    </w:p>
    <w:p w14:paraId="2524F52C">
      <w:pPr>
        <w:pageBreakBefore w:val="0"/>
        <w:widowControl/>
        <w:kinsoku/>
        <w:wordWrap/>
        <w:overflowPunct w:val="0"/>
        <w:topLinePunct/>
        <w:autoSpaceDE/>
        <w:autoSpaceDN/>
        <w:bidi w:val="0"/>
        <w:adjustRightInd w:val="0"/>
        <w:snapToGrid w:val="0"/>
        <w:spacing w:line="360" w:lineRule="auto"/>
        <w:jc w:val="left"/>
        <w:textAlignment w:val="baseline"/>
        <w:rPr>
          <w:rFonts w:hint="eastAsia" w:ascii="仿宋" w:hAnsi="仿宋" w:eastAsia="仿宋" w:cs="仿宋"/>
          <w:b/>
          <w:bCs/>
          <w:snapToGrid w:val="0"/>
          <w:color w:val="auto"/>
          <w:kern w:val="0"/>
          <w:szCs w:val="21"/>
          <w:highlight w:val="none"/>
        </w:rPr>
      </w:pPr>
    </w:p>
    <w:p w14:paraId="1F640B3E">
      <w:pPr>
        <w:pageBreakBefore w:val="0"/>
        <w:widowControl/>
        <w:kinsoku/>
        <w:wordWrap/>
        <w:overflowPunct w:val="0"/>
        <w:topLinePunct/>
        <w:autoSpaceDE/>
        <w:autoSpaceDN/>
        <w:bidi w:val="0"/>
        <w:adjustRightInd w:val="0"/>
        <w:snapToGrid w:val="0"/>
        <w:spacing w:line="360" w:lineRule="auto"/>
        <w:jc w:val="center"/>
        <w:textAlignment w:val="baseline"/>
        <w:rPr>
          <w:rFonts w:hint="eastAsia" w:ascii="仿宋" w:hAnsi="仿宋" w:eastAsia="仿宋" w:cs="仿宋"/>
          <w:b/>
          <w:snapToGrid w:val="0"/>
          <w:color w:val="auto"/>
          <w:kern w:val="0"/>
          <w:sz w:val="32"/>
          <w:szCs w:val="32"/>
          <w:highlight w:val="none"/>
        </w:rPr>
      </w:pPr>
    </w:p>
    <w:p w14:paraId="5B252248">
      <w:pPr>
        <w:pageBreakBefore w:val="0"/>
        <w:widowControl/>
        <w:kinsoku/>
        <w:wordWrap/>
        <w:overflowPunct w:val="0"/>
        <w:topLinePunct/>
        <w:autoSpaceDE/>
        <w:autoSpaceDN/>
        <w:bidi w:val="0"/>
        <w:adjustRightInd w:val="0"/>
        <w:snapToGrid w:val="0"/>
        <w:spacing w:line="360" w:lineRule="auto"/>
        <w:jc w:val="center"/>
        <w:textAlignment w:val="baseline"/>
        <w:rPr>
          <w:rFonts w:hint="eastAsia" w:ascii="仿宋" w:hAnsi="仿宋" w:eastAsia="仿宋" w:cs="仿宋"/>
          <w:b/>
          <w:snapToGrid w:val="0"/>
          <w:color w:val="auto"/>
          <w:kern w:val="0"/>
          <w:sz w:val="32"/>
          <w:szCs w:val="32"/>
          <w:highlight w:val="none"/>
        </w:rPr>
      </w:pPr>
    </w:p>
    <w:p w14:paraId="60A23B4F">
      <w:pPr>
        <w:pageBreakBefore w:val="0"/>
        <w:widowControl/>
        <w:kinsoku/>
        <w:wordWrap/>
        <w:overflowPunct w:val="0"/>
        <w:topLinePunct/>
        <w:autoSpaceDE/>
        <w:autoSpaceDN/>
        <w:bidi w:val="0"/>
        <w:adjustRightInd w:val="0"/>
        <w:snapToGrid w:val="0"/>
        <w:spacing w:line="360" w:lineRule="auto"/>
        <w:jc w:val="center"/>
        <w:textAlignment w:val="baseline"/>
        <w:rPr>
          <w:rFonts w:hint="eastAsia" w:ascii="仿宋" w:hAnsi="仿宋" w:eastAsia="仿宋" w:cs="仿宋"/>
          <w:b/>
          <w:snapToGrid w:val="0"/>
          <w:color w:val="auto"/>
          <w:kern w:val="0"/>
          <w:sz w:val="32"/>
          <w:szCs w:val="32"/>
          <w:highlight w:val="none"/>
        </w:rPr>
      </w:pPr>
    </w:p>
    <w:p w14:paraId="4E212634">
      <w:pPr>
        <w:pageBreakBefore w:val="0"/>
        <w:widowControl/>
        <w:kinsoku/>
        <w:wordWrap/>
        <w:overflowPunct w:val="0"/>
        <w:topLinePunct/>
        <w:autoSpaceDE/>
        <w:autoSpaceDN/>
        <w:bidi w:val="0"/>
        <w:adjustRightInd w:val="0"/>
        <w:snapToGrid w:val="0"/>
        <w:spacing w:line="360" w:lineRule="auto"/>
        <w:jc w:val="center"/>
        <w:textAlignment w:val="baseline"/>
        <w:rPr>
          <w:rFonts w:hint="eastAsia"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rPr>
        <w:t>属于监狱企业的证明文件</w:t>
      </w:r>
    </w:p>
    <w:p w14:paraId="20689474">
      <w:pPr>
        <w:pageBreakBefore w:val="0"/>
        <w:widowControl/>
        <w:kinsoku/>
        <w:wordWrap/>
        <w:overflowPunct w:val="0"/>
        <w:topLinePunct/>
        <w:autoSpaceDE/>
        <w:autoSpaceDN/>
        <w:bidi w:val="0"/>
        <w:adjustRightInd w:val="0"/>
        <w:snapToGrid w:val="0"/>
        <w:spacing w:line="360" w:lineRule="auto"/>
        <w:ind w:firstLine="420" w:firstLineChars="200"/>
        <w:jc w:val="left"/>
        <w:textAlignment w:val="baseline"/>
        <w:rPr>
          <w:rFonts w:hint="eastAsia" w:ascii="仿宋" w:hAnsi="仿宋" w:eastAsia="仿宋" w:cs="仿宋"/>
          <w:bCs/>
          <w:snapToGrid w:val="0"/>
          <w:color w:val="auto"/>
          <w:kern w:val="0"/>
          <w:szCs w:val="21"/>
          <w:highlight w:val="none"/>
        </w:rPr>
      </w:pPr>
      <w:r>
        <w:rPr>
          <w:rFonts w:hint="eastAsia" w:ascii="仿宋" w:hAnsi="仿宋" w:eastAsia="仿宋" w:cs="仿宋"/>
          <w:bCs/>
          <w:snapToGrid w:val="0"/>
          <w:color w:val="auto"/>
          <w:kern w:val="0"/>
          <w:szCs w:val="21"/>
          <w:highlight w:val="none"/>
        </w:rPr>
        <w:t>（提供由省级以上监狱管理局、戒毒管理局（含新疆生产建设兵团）出具的属于监狱企业的证明文件）</w:t>
      </w:r>
    </w:p>
    <w:p w14:paraId="12B087BA">
      <w:pPr>
        <w:pageBreakBefore w:val="0"/>
        <w:widowControl/>
        <w:kinsoku/>
        <w:wordWrap/>
        <w:overflowPunct w:val="0"/>
        <w:topLinePunct/>
        <w:autoSpaceDE/>
        <w:autoSpaceDN/>
        <w:bidi w:val="0"/>
        <w:adjustRightInd w:val="0"/>
        <w:snapToGrid w:val="0"/>
        <w:spacing w:line="360" w:lineRule="auto"/>
        <w:jc w:val="left"/>
        <w:textAlignment w:val="baseline"/>
        <w:rPr>
          <w:rFonts w:hint="eastAsia" w:ascii="仿宋" w:hAnsi="仿宋" w:eastAsia="仿宋" w:cs="仿宋"/>
          <w:b/>
          <w:bCs/>
          <w:snapToGrid w:val="0"/>
          <w:color w:val="auto"/>
          <w:kern w:val="0"/>
          <w:szCs w:val="21"/>
          <w:highlight w:val="none"/>
        </w:rPr>
      </w:pPr>
    </w:p>
    <w:p w14:paraId="001C00B4">
      <w:pPr>
        <w:pageBreakBefore w:val="0"/>
        <w:kinsoku/>
        <w:wordWrap/>
        <w:overflowPunct w:val="0"/>
        <w:topLinePunct/>
        <w:autoSpaceDE/>
        <w:autoSpaceDN/>
        <w:bidi w:val="0"/>
        <w:adjustRightInd w:val="0"/>
        <w:snapToGrid w:val="0"/>
        <w:spacing w:line="360" w:lineRule="auto"/>
        <w:ind w:firstLine="482" w:firstLineChars="200"/>
        <w:textAlignment w:val="baseline"/>
        <w:rPr>
          <w:rFonts w:hint="eastAsia" w:ascii="仿宋" w:hAnsi="仿宋" w:eastAsia="仿宋" w:cs="仿宋"/>
          <w:b/>
          <w:bCs/>
          <w:snapToGrid w:val="0"/>
          <w:color w:val="auto"/>
          <w:sz w:val="24"/>
          <w:szCs w:val="21"/>
          <w:highlight w:val="none"/>
          <w:lang w:val="en-US" w:eastAsia="zh-CN" w:bidi="ar-SA"/>
        </w:rPr>
      </w:pPr>
    </w:p>
    <w:p w14:paraId="765DF219">
      <w:pPr>
        <w:pageBreakBefore w:val="0"/>
        <w:kinsoku/>
        <w:wordWrap/>
        <w:overflowPunct w:val="0"/>
        <w:topLinePunct/>
        <w:autoSpaceDE/>
        <w:autoSpaceDN/>
        <w:bidi w:val="0"/>
        <w:adjustRightInd w:val="0"/>
        <w:snapToGrid w:val="0"/>
        <w:spacing w:line="360" w:lineRule="auto"/>
        <w:ind w:firstLine="482" w:firstLineChars="200"/>
        <w:textAlignment w:val="baseline"/>
        <w:rPr>
          <w:rFonts w:hint="eastAsia" w:ascii="仿宋" w:hAnsi="仿宋" w:eastAsia="仿宋" w:cs="仿宋"/>
          <w:b/>
          <w:bCs/>
          <w:snapToGrid w:val="0"/>
          <w:color w:val="auto"/>
          <w:sz w:val="24"/>
          <w:szCs w:val="21"/>
          <w:highlight w:val="none"/>
          <w:lang w:val="en-US" w:eastAsia="zh-CN" w:bidi="ar-SA"/>
        </w:rPr>
      </w:pPr>
    </w:p>
    <w:p w14:paraId="2ED04565">
      <w:pPr>
        <w:pageBreakBefore w:val="0"/>
        <w:kinsoku/>
        <w:wordWrap/>
        <w:overflowPunct w:val="0"/>
        <w:topLinePunct/>
        <w:autoSpaceDE/>
        <w:autoSpaceDN/>
        <w:bidi w:val="0"/>
        <w:adjustRightInd w:val="0"/>
        <w:snapToGrid w:val="0"/>
        <w:spacing w:line="360" w:lineRule="auto"/>
        <w:ind w:firstLine="482" w:firstLineChars="200"/>
        <w:textAlignment w:val="baseline"/>
        <w:rPr>
          <w:rFonts w:hint="eastAsia" w:ascii="仿宋" w:hAnsi="仿宋" w:eastAsia="仿宋" w:cs="仿宋"/>
          <w:b/>
          <w:bCs/>
          <w:snapToGrid w:val="0"/>
          <w:color w:val="auto"/>
          <w:sz w:val="24"/>
          <w:szCs w:val="21"/>
          <w:highlight w:val="none"/>
          <w:lang w:val="en-US" w:eastAsia="zh-CN" w:bidi="ar-SA"/>
        </w:rPr>
      </w:pPr>
    </w:p>
    <w:p w14:paraId="5CF46A6C">
      <w:pPr>
        <w:pageBreakBefore w:val="0"/>
        <w:widowControl/>
        <w:kinsoku/>
        <w:wordWrap/>
        <w:overflowPunct w:val="0"/>
        <w:topLinePunct/>
        <w:autoSpaceDE/>
        <w:autoSpaceDN/>
        <w:bidi w:val="0"/>
        <w:adjustRightInd w:val="0"/>
        <w:snapToGrid w:val="0"/>
        <w:spacing w:line="360" w:lineRule="auto"/>
        <w:ind w:left="6"/>
        <w:jc w:val="center"/>
        <w:textAlignment w:val="baseline"/>
        <w:rPr>
          <w:rFonts w:hint="eastAsia" w:ascii="仿宋" w:hAnsi="仿宋" w:eastAsia="仿宋" w:cs="仿宋"/>
          <w:b/>
          <w:snapToGrid w:val="0"/>
          <w:color w:val="auto"/>
          <w:kern w:val="0"/>
          <w:sz w:val="32"/>
          <w:szCs w:val="32"/>
          <w:highlight w:val="none"/>
        </w:rPr>
      </w:pPr>
      <w:bookmarkStart w:id="19" w:name="_bookmark57"/>
      <w:bookmarkEnd w:id="19"/>
      <w:bookmarkStart w:id="20" w:name="_Toc18247"/>
      <w:bookmarkStart w:id="21" w:name="_Toc11171"/>
      <w:bookmarkStart w:id="22" w:name="_Toc22516_WPSOffice_Level1"/>
      <w:r>
        <w:rPr>
          <w:rFonts w:hint="eastAsia" w:ascii="仿宋" w:hAnsi="仿宋" w:eastAsia="仿宋" w:cs="仿宋"/>
          <w:b/>
          <w:bCs/>
          <w:snapToGrid w:val="0"/>
          <w:color w:val="auto"/>
          <w:kern w:val="0"/>
          <w:sz w:val="20"/>
          <w:szCs w:val="20"/>
          <w:highlight w:val="none"/>
        </w:rPr>
        <w:br w:type="column"/>
      </w:r>
      <w:bookmarkEnd w:id="20"/>
      <w:bookmarkEnd w:id="21"/>
      <w:bookmarkEnd w:id="22"/>
      <w:r>
        <w:rPr>
          <w:rFonts w:hint="eastAsia" w:ascii="仿宋" w:hAnsi="仿宋" w:eastAsia="仿宋" w:cs="仿宋"/>
          <w:b/>
          <w:snapToGrid w:val="0"/>
          <w:color w:val="auto"/>
          <w:kern w:val="0"/>
          <w:sz w:val="32"/>
          <w:szCs w:val="32"/>
          <w:highlight w:val="none"/>
        </w:rPr>
        <w:t>供应商基本情况表</w:t>
      </w:r>
    </w:p>
    <w:p w14:paraId="40495B2F">
      <w:pPr>
        <w:pageBreakBefore w:val="0"/>
        <w:widowControl/>
        <w:kinsoku/>
        <w:wordWrap/>
        <w:overflowPunct w:val="0"/>
        <w:topLinePunct/>
        <w:autoSpaceDE/>
        <w:autoSpaceDN/>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p>
    <w:tbl>
      <w:tblPr>
        <w:tblStyle w:val="32"/>
        <w:tblW w:w="93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5"/>
        <w:gridCol w:w="1783"/>
        <w:gridCol w:w="5538"/>
      </w:tblGrid>
      <w:tr w14:paraId="20FC0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jc w:val="center"/>
        </w:trPr>
        <w:tc>
          <w:tcPr>
            <w:tcW w:w="2005" w:type="dxa"/>
            <w:vAlign w:val="center"/>
          </w:tcPr>
          <w:p w14:paraId="2DCCCCAF">
            <w:pPr>
              <w:pageBreakBefore w:val="0"/>
              <w:widowControl/>
              <w:kinsoku/>
              <w:wordWrap/>
              <w:overflowPunct w:val="0"/>
              <w:topLinePunct/>
              <w:autoSpaceDE/>
              <w:autoSpaceDN/>
              <w:bidi w:val="0"/>
              <w:adjustRightInd w:val="0"/>
              <w:snapToGrid w:val="0"/>
              <w:spacing w:line="360" w:lineRule="auto"/>
              <w:ind w:left="125" w:right="3" w:firstLine="228"/>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供应商名称</w:t>
            </w:r>
          </w:p>
        </w:tc>
        <w:tc>
          <w:tcPr>
            <w:tcW w:w="7321" w:type="dxa"/>
            <w:gridSpan w:val="2"/>
            <w:vAlign w:val="center"/>
          </w:tcPr>
          <w:p w14:paraId="2A1EDA0C">
            <w:pPr>
              <w:pageBreakBefore w:val="0"/>
              <w:widowControl/>
              <w:kinsoku/>
              <w:wordWrap/>
              <w:overflowPunct w:val="0"/>
              <w:topLinePunct/>
              <w:autoSpaceDE/>
              <w:autoSpaceDN/>
              <w:bidi w:val="0"/>
              <w:adjustRightInd w:val="0"/>
              <w:snapToGrid w:val="0"/>
              <w:spacing w:line="360" w:lineRule="auto"/>
              <w:ind w:left="125" w:right="3" w:firstLine="228"/>
              <w:jc w:val="left"/>
              <w:textAlignment w:val="baseline"/>
              <w:rPr>
                <w:rFonts w:hint="eastAsia" w:ascii="仿宋" w:hAnsi="仿宋" w:eastAsia="仿宋" w:cs="仿宋"/>
                <w:snapToGrid w:val="0"/>
                <w:color w:val="auto"/>
                <w:kern w:val="0"/>
                <w:szCs w:val="21"/>
                <w:highlight w:val="none"/>
              </w:rPr>
            </w:pPr>
          </w:p>
        </w:tc>
      </w:tr>
      <w:tr w14:paraId="50FC9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jc w:val="center"/>
        </w:trPr>
        <w:tc>
          <w:tcPr>
            <w:tcW w:w="2005" w:type="dxa"/>
            <w:vAlign w:val="center"/>
          </w:tcPr>
          <w:p w14:paraId="07A4B311">
            <w:pPr>
              <w:pageBreakBefore w:val="0"/>
              <w:widowControl/>
              <w:kinsoku/>
              <w:wordWrap/>
              <w:overflowPunct w:val="0"/>
              <w:topLinePunct/>
              <w:autoSpaceDE/>
              <w:autoSpaceDN/>
              <w:bidi w:val="0"/>
              <w:adjustRightInd w:val="0"/>
              <w:snapToGrid w:val="0"/>
              <w:spacing w:line="360" w:lineRule="auto"/>
              <w:ind w:right="3"/>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社会机构统一信用代码</w:t>
            </w:r>
          </w:p>
        </w:tc>
        <w:tc>
          <w:tcPr>
            <w:tcW w:w="7321" w:type="dxa"/>
            <w:gridSpan w:val="2"/>
            <w:vAlign w:val="center"/>
          </w:tcPr>
          <w:p w14:paraId="0B3BB322">
            <w:pPr>
              <w:pageBreakBefore w:val="0"/>
              <w:widowControl/>
              <w:kinsoku/>
              <w:wordWrap/>
              <w:overflowPunct w:val="0"/>
              <w:topLinePunct/>
              <w:autoSpaceDE/>
              <w:autoSpaceDN/>
              <w:bidi w:val="0"/>
              <w:adjustRightInd w:val="0"/>
              <w:snapToGrid w:val="0"/>
              <w:spacing w:line="360" w:lineRule="auto"/>
              <w:ind w:left="125" w:right="3" w:firstLine="228"/>
              <w:jc w:val="left"/>
              <w:textAlignment w:val="baseline"/>
              <w:rPr>
                <w:rFonts w:hint="eastAsia" w:ascii="仿宋" w:hAnsi="仿宋" w:eastAsia="仿宋" w:cs="仿宋"/>
                <w:snapToGrid w:val="0"/>
                <w:color w:val="auto"/>
                <w:kern w:val="0"/>
                <w:szCs w:val="21"/>
                <w:highlight w:val="none"/>
              </w:rPr>
            </w:pPr>
          </w:p>
        </w:tc>
      </w:tr>
      <w:tr w14:paraId="4226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jc w:val="center"/>
        </w:trPr>
        <w:tc>
          <w:tcPr>
            <w:tcW w:w="2005" w:type="dxa"/>
            <w:vAlign w:val="center"/>
          </w:tcPr>
          <w:p w14:paraId="4ACD69DF">
            <w:pPr>
              <w:pageBreakBefore w:val="0"/>
              <w:widowControl/>
              <w:kinsoku/>
              <w:wordWrap/>
              <w:overflowPunct w:val="0"/>
              <w:topLinePunct/>
              <w:autoSpaceDE/>
              <w:autoSpaceDN/>
              <w:bidi w:val="0"/>
              <w:adjustRightInd w:val="0"/>
              <w:snapToGrid w:val="0"/>
              <w:spacing w:line="360" w:lineRule="auto"/>
              <w:ind w:left="125" w:right="3" w:firstLine="228"/>
              <w:jc w:val="both"/>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供应商规模</w:t>
            </w:r>
          </w:p>
        </w:tc>
        <w:tc>
          <w:tcPr>
            <w:tcW w:w="1783" w:type="dxa"/>
            <w:tcBorders>
              <w:right w:val="nil"/>
            </w:tcBorders>
            <w:vAlign w:val="center"/>
          </w:tcPr>
          <w:p w14:paraId="2933DF6F">
            <w:pPr>
              <w:pageBreakBefore w:val="0"/>
              <w:widowControl/>
              <w:kinsoku/>
              <w:wordWrap/>
              <w:overflowPunct w:val="0"/>
              <w:topLinePunct/>
              <w:autoSpaceDE/>
              <w:autoSpaceDN/>
              <w:bidi w:val="0"/>
              <w:adjustRightInd w:val="0"/>
              <w:snapToGrid w:val="0"/>
              <w:spacing w:line="360" w:lineRule="auto"/>
              <w:ind w:left="125" w:right="3" w:firstLine="228"/>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□大型</w:t>
            </w:r>
          </w:p>
        </w:tc>
        <w:tc>
          <w:tcPr>
            <w:tcW w:w="5538" w:type="dxa"/>
            <w:tcBorders>
              <w:left w:val="nil"/>
            </w:tcBorders>
            <w:vAlign w:val="center"/>
          </w:tcPr>
          <w:p w14:paraId="25240E03">
            <w:pPr>
              <w:pageBreakBefore w:val="0"/>
              <w:widowControl/>
              <w:kinsoku/>
              <w:wordWrap/>
              <w:overflowPunct w:val="0"/>
              <w:topLinePunct/>
              <w:autoSpaceDE/>
              <w:autoSpaceDN/>
              <w:bidi w:val="0"/>
              <w:adjustRightInd w:val="0"/>
              <w:snapToGrid w:val="0"/>
              <w:spacing w:line="360" w:lineRule="auto"/>
              <w:ind w:left="125" w:right="3" w:firstLine="228"/>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中型          □小微型</w:t>
            </w:r>
          </w:p>
        </w:tc>
      </w:tr>
      <w:tr w14:paraId="7D0DB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2005" w:type="dxa"/>
            <w:vAlign w:val="center"/>
          </w:tcPr>
          <w:p w14:paraId="4A9CDC24">
            <w:pPr>
              <w:pageBreakBefore w:val="0"/>
              <w:widowControl/>
              <w:kinsoku/>
              <w:wordWrap/>
              <w:overflowPunct w:val="0"/>
              <w:topLinePunct/>
              <w:autoSpaceDE/>
              <w:autoSpaceDN/>
              <w:bidi w:val="0"/>
              <w:adjustRightInd w:val="0"/>
              <w:snapToGrid w:val="0"/>
              <w:spacing w:line="360" w:lineRule="auto"/>
              <w:ind w:right="3"/>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供应商所在区域（细化到省份）</w:t>
            </w:r>
          </w:p>
        </w:tc>
        <w:tc>
          <w:tcPr>
            <w:tcW w:w="7321" w:type="dxa"/>
            <w:gridSpan w:val="2"/>
            <w:vAlign w:val="center"/>
          </w:tcPr>
          <w:p w14:paraId="0177AE24">
            <w:pPr>
              <w:pageBreakBefore w:val="0"/>
              <w:widowControl/>
              <w:kinsoku/>
              <w:wordWrap/>
              <w:overflowPunct w:val="0"/>
              <w:topLinePunct/>
              <w:autoSpaceDE/>
              <w:autoSpaceDN/>
              <w:bidi w:val="0"/>
              <w:adjustRightInd w:val="0"/>
              <w:snapToGrid w:val="0"/>
              <w:spacing w:line="360" w:lineRule="auto"/>
              <w:ind w:left="125" w:right="3" w:firstLine="228"/>
              <w:jc w:val="left"/>
              <w:textAlignment w:val="baseline"/>
              <w:rPr>
                <w:rFonts w:hint="eastAsia" w:ascii="仿宋" w:hAnsi="仿宋" w:eastAsia="仿宋" w:cs="仿宋"/>
                <w:snapToGrid w:val="0"/>
                <w:color w:val="auto"/>
                <w:kern w:val="0"/>
                <w:szCs w:val="21"/>
                <w:highlight w:val="none"/>
              </w:rPr>
            </w:pPr>
          </w:p>
        </w:tc>
      </w:tr>
      <w:tr w14:paraId="1664F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2005" w:type="dxa"/>
            <w:vAlign w:val="center"/>
          </w:tcPr>
          <w:p w14:paraId="47D7D4A1">
            <w:pPr>
              <w:pageBreakBefore w:val="0"/>
              <w:widowControl/>
              <w:kinsoku/>
              <w:wordWrap/>
              <w:overflowPunct w:val="0"/>
              <w:topLinePunct/>
              <w:autoSpaceDE/>
              <w:autoSpaceDN/>
              <w:bidi w:val="0"/>
              <w:adjustRightInd w:val="0"/>
              <w:snapToGrid w:val="0"/>
              <w:spacing w:line="360" w:lineRule="auto"/>
              <w:ind w:left="125" w:right="3" w:firstLine="228"/>
              <w:jc w:val="both"/>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是否特殊性质</w:t>
            </w:r>
          </w:p>
        </w:tc>
        <w:tc>
          <w:tcPr>
            <w:tcW w:w="7321" w:type="dxa"/>
            <w:gridSpan w:val="2"/>
            <w:vAlign w:val="center"/>
          </w:tcPr>
          <w:p w14:paraId="758EBDA0">
            <w:pPr>
              <w:pageBreakBefore w:val="0"/>
              <w:widowControl/>
              <w:kinsoku/>
              <w:wordWrap/>
              <w:overflowPunct w:val="0"/>
              <w:topLinePunct/>
              <w:autoSpaceDE/>
              <w:autoSpaceDN/>
              <w:bidi w:val="0"/>
              <w:adjustRightInd w:val="0"/>
              <w:snapToGrid w:val="0"/>
              <w:spacing w:line="360" w:lineRule="auto"/>
              <w:ind w:left="125" w:right="3" w:firstLine="228"/>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□监狱企业残疾人     □福利性单位     □其他</w:t>
            </w:r>
          </w:p>
        </w:tc>
      </w:tr>
    </w:tbl>
    <w:p w14:paraId="602F9515">
      <w:pPr>
        <w:pageBreakBefore w:val="0"/>
        <w:widowControl/>
        <w:kinsoku/>
        <w:wordWrap/>
        <w:overflowPunct w:val="0"/>
        <w:topLinePunct/>
        <w:autoSpaceDE/>
        <w:autoSpaceDN/>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注：</w:t>
      </w:r>
    </w:p>
    <w:p w14:paraId="18CAE2D5">
      <w:pPr>
        <w:pageBreakBefore w:val="0"/>
        <w:widowControl/>
        <w:kinsoku/>
        <w:wordWrap/>
        <w:overflowPunct w:val="0"/>
        <w:topLinePunct/>
        <w:autoSpaceDE/>
        <w:autoSpaceDN/>
        <w:bidi w:val="0"/>
        <w:adjustRightInd w:val="0"/>
        <w:snapToGrid w:val="0"/>
        <w:spacing w:line="360" w:lineRule="auto"/>
        <w:ind w:right="3"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1.供应商规模：供应商应对照工业和信息化部、国家统计局、国家发展改革委、财政部《关于印发中 小企业划型标准规定的通知》（工信部联企业〔2011〕300 号）中的规模划分勾选自身规模；</w:t>
      </w:r>
    </w:p>
    <w:p w14:paraId="70178A2A">
      <w:pPr>
        <w:pageBreakBefore w:val="0"/>
        <w:widowControl/>
        <w:kinsoku/>
        <w:wordWrap/>
        <w:overflowPunct w:val="0"/>
        <w:topLinePunct/>
        <w:autoSpaceDE/>
        <w:autoSpaceDN/>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bookmarkStart w:id="23" w:name="_Toc16100"/>
      <w:r>
        <w:rPr>
          <w:rFonts w:hint="eastAsia" w:ascii="仿宋" w:hAnsi="仿宋" w:eastAsia="仿宋" w:cs="仿宋"/>
          <w:snapToGrid w:val="0"/>
          <w:color w:val="auto"/>
          <w:kern w:val="0"/>
          <w:szCs w:val="21"/>
          <w:highlight w:val="none"/>
        </w:rPr>
        <w:t>2.供应商所在区域：指供应商注册地所在地区，具体细化到省份；</w:t>
      </w:r>
      <w:bookmarkEnd w:id="23"/>
    </w:p>
    <w:p w14:paraId="4820C7F5">
      <w:pPr>
        <w:pageBreakBefore w:val="0"/>
        <w:widowControl/>
        <w:kinsoku/>
        <w:wordWrap/>
        <w:overflowPunct w:val="0"/>
        <w:topLinePunct/>
        <w:autoSpaceDE/>
        <w:autoSpaceDN/>
        <w:bidi w:val="0"/>
        <w:adjustRightInd w:val="0"/>
        <w:snapToGrid w:val="0"/>
        <w:spacing w:line="360" w:lineRule="auto"/>
        <w:ind w:right="3"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3.是否特殊性质：供应商应对照《财政部司法部关于政府采购支持监狱企业发展有关问题的通知》 （财库〔2014〕68号）和《财政部民政部中国残疾人联合会关于促进残疾人就业政府采购政策的通知》（财库〔2017〕141号）的规定勾选自身性质。</w:t>
      </w:r>
    </w:p>
    <w:p w14:paraId="0FE04C31">
      <w:pPr>
        <w:pageBreakBefore w:val="0"/>
        <w:kinsoku/>
        <w:wordWrap/>
        <w:overflowPunct w:val="0"/>
        <w:topLinePunct/>
        <w:autoSpaceDE/>
        <w:autoSpaceDN/>
        <w:bidi w:val="0"/>
        <w:snapToGrid w:val="0"/>
        <w:spacing w:line="360" w:lineRule="auto"/>
        <w:ind w:right="3" w:firstLine="420" w:firstLineChars="200"/>
        <w:rPr>
          <w:rFonts w:hint="eastAsia" w:ascii="仿宋" w:hAnsi="仿宋" w:eastAsia="仿宋" w:cs="仿宋"/>
          <w:color w:val="auto"/>
          <w:highlight w:val="none"/>
        </w:rPr>
        <w:sectPr>
          <w:headerReference r:id="rId7" w:type="default"/>
          <w:footerReference r:id="rId8" w:type="default"/>
          <w:pgSz w:w="11906" w:h="16838"/>
          <w:pgMar w:top="1440" w:right="1803" w:bottom="1440" w:left="1599" w:header="850" w:footer="992" w:gutter="0"/>
          <w:pgNumType w:fmt="decimal"/>
          <w:cols w:space="0" w:num="1"/>
          <w:titlePg/>
          <w:docGrid w:type="lines" w:linePitch="317" w:charSpace="0"/>
        </w:sectPr>
      </w:pPr>
    </w:p>
    <w:p w14:paraId="0B493EE2">
      <w:pPr>
        <w:pageBreakBefore w:val="0"/>
        <w:widowControl/>
        <w:kinsoku/>
        <w:wordWrap/>
        <w:overflowPunct w:val="0"/>
        <w:topLinePunct/>
        <w:autoSpaceDE/>
        <w:autoSpaceDN/>
        <w:bidi w:val="0"/>
        <w:adjustRightInd w:val="0"/>
        <w:snapToGrid w:val="0"/>
        <w:spacing w:line="360" w:lineRule="auto"/>
        <w:ind w:left="6"/>
        <w:jc w:val="left"/>
        <w:textAlignment w:val="baseline"/>
        <w:rPr>
          <w:rFonts w:hint="eastAsia" w:ascii="仿宋" w:hAnsi="仿宋" w:eastAsia="仿宋" w:cs="仿宋"/>
          <w:b/>
          <w:bCs/>
          <w:snapToGrid w:val="0"/>
          <w:color w:val="auto"/>
          <w:kern w:val="0"/>
          <w:sz w:val="20"/>
          <w:szCs w:val="20"/>
          <w:highlight w:val="none"/>
        </w:rPr>
      </w:pPr>
      <w:bookmarkStart w:id="24" w:name="_bookmark58"/>
      <w:bookmarkEnd w:id="24"/>
      <w:bookmarkStart w:id="25" w:name="_Toc24037_WPSOffice_Level1"/>
      <w:bookmarkStart w:id="26" w:name="_Toc22372"/>
      <w:bookmarkStart w:id="27" w:name="_Toc2714"/>
      <w:r>
        <w:rPr>
          <w:rFonts w:hint="eastAsia" w:ascii="仿宋" w:hAnsi="仿宋" w:eastAsia="仿宋" w:cs="仿宋"/>
          <w:b/>
          <w:bCs/>
          <w:snapToGrid w:val="0"/>
          <w:color w:val="auto"/>
          <w:kern w:val="0"/>
          <w:sz w:val="20"/>
          <w:szCs w:val="20"/>
          <w:highlight w:val="none"/>
        </w:rPr>
        <w:t>附：供应商情况告知表</w:t>
      </w:r>
      <w:bookmarkEnd w:id="25"/>
      <w:bookmarkEnd w:id="26"/>
      <w:bookmarkEnd w:id="27"/>
    </w:p>
    <w:p w14:paraId="448E8C49">
      <w:pPr>
        <w:pageBreakBefore w:val="0"/>
        <w:widowControl/>
        <w:kinsoku/>
        <w:wordWrap/>
        <w:overflowPunct w:val="0"/>
        <w:topLinePunct/>
        <w:autoSpaceDE/>
        <w:autoSpaceDN/>
        <w:bidi w:val="0"/>
        <w:adjustRightInd w:val="0"/>
        <w:snapToGrid w:val="0"/>
        <w:spacing w:line="360" w:lineRule="auto"/>
        <w:ind w:left="563"/>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中小微企业划型标准如下：</w:t>
      </w:r>
    </w:p>
    <w:p w14:paraId="0D9C8121">
      <w:pPr>
        <w:pageBreakBefore w:val="0"/>
        <w:widowControl/>
        <w:kinsoku/>
        <w:wordWrap/>
        <w:overflowPunct w:val="0"/>
        <w:topLinePunct/>
        <w:autoSpaceDE/>
        <w:autoSpaceDN/>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p>
    <w:tbl>
      <w:tblPr>
        <w:tblStyle w:val="32"/>
        <w:tblW w:w="920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1"/>
        <w:gridCol w:w="1638"/>
        <w:gridCol w:w="1083"/>
        <w:gridCol w:w="1921"/>
        <w:gridCol w:w="1710"/>
        <w:gridCol w:w="1104"/>
      </w:tblGrid>
      <w:tr w14:paraId="2B8DE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Align w:val="center"/>
          </w:tcPr>
          <w:p w14:paraId="32988A9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行业名称</w:t>
            </w:r>
          </w:p>
        </w:tc>
        <w:tc>
          <w:tcPr>
            <w:tcW w:w="1638" w:type="dxa"/>
            <w:vAlign w:val="center"/>
          </w:tcPr>
          <w:p w14:paraId="36C7088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指标名称</w:t>
            </w:r>
          </w:p>
        </w:tc>
        <w:tc>
          <w:tcPr>
            <w:tcW w:w="1083" w:type="dxa"/>
            <w:vAlign w:val="center"/>
          </w:tcPr>
          <w:p w14:paraId="5CCE819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计量</w:t>
            </w:r>
          </w:p>
          <w:p w14:paraId="6C6555E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单位</w:t>
            </w:r>
          </w:p>
        </w:tc>
        <w:tc>
          <w:tcPr>
            <w:tcW w:w="1921" w:type="dxa"/>
            <w:vAlign w:val="center"/>
          </w:tcPr>
          <w:p w14:paraId="01B4033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中型</w:t>
            </w:r>
          </w:p>
        </w:tc>
        <w:tc>
          <w:tcPr>
            <w:tcW w:w="1710" w:type="dxa"/>
            <w:vAlign w:val="center"/>
          </w:tcPr>
          <w:p w14:paraId="74C69A5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小型</w:t>
            </w:r>
          </w:p>
        </w:tc>
        <w:tc>
          <w:tcPr>
            <w:tcW w:w="1104" w:type="dxa"/>
            <w:vAlign w:val="center"/>
          </w:tcPr>
          <w:p w14:paraId="10877F1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微型</w:t>
            </w:r>
          </w:p>
        </w:tc>
      </w:tr>
      <w:tr w14:paraId="7590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Align w:val="center"/>
          </w:tcPr>
          <w:p w14:paraId="563F7AA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农、林、牧、渔</w:t>
            </w:r>
          </w:p>
        </w:tc>
        <w:tc>
          <w:tcPr>
            <w:tcW w:w="1638" w:type="dxa"/>
            <w:vAlign w:val="center"/>
          </w:tcPr>
          <w:p w14:paraId="2AC6204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290AD23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64DB2F8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500≤Y＜20000</w:t>
            </w:r>
          </w:p>
        </w:tc>
        <w:tc>
          <w:tcPr>
            <w:tcW w:w="1710" w:type="dxa"/>
            <w:vAlign w:val="center"/>
          </w:tcPr>
          <w:p w14:paraId="55066BB0">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50≤Y＜500</w:t>
            </w:r>
          </w:p>
        </w:tc>
        <w:tc>
          <w:tcPr>
            <w:tcW w:w="1104" w:type="dxa"/>
            <w:vAlign w:val="center"/>
          </w:tcPr>
          <w:p w14:paraId="58DD668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Y＜50</w:t>
            </w:r>
          </w:p>
        </w:tc>
      </w:tr>
      <w:tr w14:paraId="0D054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31F288C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工业</w:t>
            </w:r>
          </w:p>
        </w:tc>
        <w:tc>
          <w:tcPr>
            <w:tcW w:w="1638" w:type="dxa"/>
            <w:vAlign w:val="center"/>
          </w:tcPr>
          <w:p w14:paraId="0519F05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0C7AE4A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79B8E84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300≤X＜1000</w:t>
            </w:r>
          </w:p>
        </w:tc>
        <w:tc>
          <w:tcPr>
            <w:tcW w:w="1710" w:type="dxa"/>
            <w:vAlign w:val="center"/>
          </w:tcPr>
          <w:p w14:paraId="72E0935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20≤X＜300</w:t>
            </w:r>
          </w:p>
        </w:tc>
        <w:tc>
          <w:tcPr>
            <w:tcW w:w="1104" w:type="dxa"/>
            <w:vAlign w:val="center"/>
          </w:tcPr>
          <w:p w14:paraId="5B77CC7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X＜20</w:t>
            </w:r>
          </w:p>
        </w:tc>
      </w:tr>
      <w:tr w14:paraId="53A7E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73A6BAF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3F30B4C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780E460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6567509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2000≤Y＜40000</w:t>
            </w:r>
          </w:p>
        </w:tc>
        <w:tc>
          <w:tcPr>
            <w:tcW w:w="1710" w:type="dxa"/>
            <w:vAlign w:val="center"/>
          </w:tcPr>
          <w:p w14:paraId="6C20352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300≤Y＜2000</w:t>
            </w:r>
          </w:p>
        </w:tc>
        <w:tc>
          <w:tcPr>
            <w:tcW w:w="1104" w:type="dxa"/>
            <w:vAlign w:val="center"/>
          </w:tcPr>
          <w:p w14:paraId="58CCE1E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Y＜300</w:t>
            </w:r>
          </w:p>
        </w:tc>
      </w:tr>
      <w:tr w14:paraId="49AC4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60B2E4E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建筑业</w:t>
            </w:r>
          </w:p>
        </w:tc>
        <w:tc>
          <w:tcPr>
            <w:tcW w:w="1638" w:type="dxa"/>
            <w:vAlign w:val="center"/>
          </w:tcPr>
          <w:p w14:paraId="12FAD8E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7FD408A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0DE5B91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6000≤Y＜80000</w:t>
            </w:r>
          </w:p>
        </w:tc>
        <w:tc>
          <w:tcPr>
            <w:tcW w:w="1710" w:type="dxa"/>
            <w:vAlign w:val="center"/>
          </w:tcPr>
          <w:p w14:paraId="268EDC4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300≤Y＜6000</w:t>
            </w:r>
          </w:p>
        </w:tc>
        <w:tc>
          <w:tcPr>
            <w:tcW w:w="1104" w:type="dxa"/>
            <w:vAlign w:val="center"/>
          </w:tcPr>
          <w:p w14:paraId="2E3AC06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Y＜300</w:t>
            </w:r>
          </w:p>
        </w:tc>
      </w:tr>
      <w:tr w14:paraId="2FA4A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4EC46D9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2C154F1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资产总额 （Z）</w:t>
            </w:r>
          </w:p>
        </w:tc>
        <w:tc>
          <w:tcPr>
            <w:tcW w:w="1083" w:type="dxa"/>
            <w:vAlign w:val="center"/>
          </w:tcPr>
          <w:p w14:paraId="1866E0D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60A330F1">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5000≤Z＜80000</w:t>
            </w:r>
          </w:p>
        </w:tc>
        <w:tc>
          <w:tcPr>
            <w:tcW w:w="1710" w:type="dxa"/>
            <w:vAlign w:val="center"/>
          </w:tcPr>
          <w:p w14:paraId="6F3D46E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300≤Z＜5000</w:t>
            </w:r>
          </w:p>
        </w:tc>
        <w:tc>
          <w:tcPr>
            <w:tcW w:w="1104" w:type="dxa"/>
            <w:vAlign w:val="center"/>
          </w:tcPr>
          <w:p w14:paraId="7A048DB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Z＜300</w:t>
            </w:r>
          </w:p>
        </w:tc>
      </w:tr>
      <w:tr w14:paraId="48B31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19B4C17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批发业</w:t>
            </w:r>
          </w:p>
        </w:tc>
        <w:tc>
          <w:tcPr>
            <w:tcW w:w="1638" w:type="dxa"/>
            <w:vAlign w:val="center"/>
          </w:tcPr>
          <w:p w14:paraId="5BB63C3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076019D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7C2EB02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20≤X＜200</w:t>
            </w:r>
          </w:p>
        </w:tc>
        <w:tc>
          <w:tcPr>
            <w:tcW w:w="1710" w:type="dxa"/>
            <w:vAlign w:val="center"/>
          </w:tcPr>
          <w:p w14:paraId="5D57E89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5≤X＜20</w:t>
            </w:r>
          </w:p>
        </w:tc>
        <w:tc>
          <w:tcPr>
            <w:tcW w:w="1104" w:type="dxa"/>
            <w:vAlign w:val="center"/>
          </w:tcPr>
          <w:p w14:paraId="73711F3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X＜5</w:t>
            </w:r>
          </w:p>
        </w:tc>
      </w:tr>
      <w:tr w14:paraId="2E1A2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28DE8CB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1504D78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2FBCABD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6D704B8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5000≤Y＜40000</w:t>
            </w:r>
          </w:p>
        </w:tc>
        <w:tc>
          <w:tcPr>
            <w:tcW w:w="1710" w:type="dxa"/>
            <w:vAlign w:val="center"/>
          </w:tcPr>
          <w:p w14:paraId="1761882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1000≤Y＜5000</w:t>
            </w:r>
          </w:p>
        </w:tc>
        <w:tc>
          <w:tcPr>
            <w:tcW w:w="1104" w:type="dxa"/>
            <w:vAlign w:val="center"/>
          </w:tcPr>
          <w:p w14:paraId="46030EE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Y＜1000</w:t>
            </w:r>
          </w:p>
        </w:tc>
      </w:tr>
      <w:tr w14:paraId="3757C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4A65752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零售业</w:t>
            </w:r>
          </w:p>
        </w:tc>
        <w:tc>
          <w:tcPr>
            <w:tcW w:w="1638" w:type="dxa"/>
            <w:vAlign w:val="center"/>
          </w:tcPr>
          <w:p w14:paraId="25F43E0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5E04133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636DDFE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50≤X＜300</w:t>
            </w:r>
          </w:p>
        </w:tc>
        <w:tc>
          <w:tcPr>
            <w:tcW w:w="1710" w:type="dxa"/>
            <w:vAlign w:val="center"/>
          </w:tcPr>
          <w:p w14:paraId="5EDE89A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10≤X＜50</w:t>
            </w:r>
          </w:p>
        </w:tc>
        <w:tc>
          <w:tcPr>
            <w:tcW w:w="1104" w:type="dxa"/>
            <w:vAlign w:val="center"/>
          </w:tcPr>
          <w:p w14:paraId="0EDDAE6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w:t>
            </w:r>
          </w:p>
        </w:tc>
      </w:tr>
      <w:tr w14:paraId="5D7CA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459710A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61C1A85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03B3C89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322FAFA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500≤Y＜20000</w:t>
            </w:r>
          </w:p>
        </w:tc>
        <w:tc>
          <w:tcPr>
            <w:tcW w:w="1710" w:type="dxa"/>
            <w:vAlign w:val="center"/>
          </w:tcPr>
          <w:p w14:paraId="3F61384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100≤Y＜500</w:t>
            </w:r>
          </w:p>
        </w:tc>
        <w:tc>
          <w:tcPr>
            <w:tcW w:w="1104" w:type="dxa"/>
            <w:vAlign w:val="center"/>
          </w:tcPr>
          <w:p w14:paraId="7DAF9F1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w:t>
            </w:r>
          </w:p>
        </w:tc>
      </w:tr>
      <w:tr w14:paraId="7F277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3A608FA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交通运输业</w:t>
            </w:r>
          </w:p>
        </w:tc>
        <w:tc>
          <w:tcPr>
            <w:tcW w:w="1638" w:type="dxa"/>
            <w:vAlign w:val="center"/>
          </w:tcPr>
          <w:p w14:paraId="6AD7508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4D7186B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05D0ED1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300≤X＜1000</w:t>
            </w:r>
          </w:p>
        </w:tc>
        <w:tc>
          <w:tcPr>
            <w:tcW w:w="1710" w:type="dxa"/>
            <w:vAlign w:val="center"/>
          </w:tcPr>
          <w:p w14:paraId="7DC0B4B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20≤X＜300</w:t>
            </w:r>
          </w:p>
        </w:tc>
        <w:tc>
          <w:tcPr>
            <w:tcW w:w="1104" w:type="dxa"/>
            <w:vAlign w:val="center"/>
          </w:tcPr>
          <w:p w14:paraId="52A7A64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X＜20</w:t>
            </w:r>
          </w:p>
        </w:tc>
      </w:tr>
      <w:tr w14:paraId="5B952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6D90CDC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0D1B25E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0A6F48B0">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4C5ACAE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3000≤Y＜30000</w:t>
            </w:r>
          </w:p>
        </w:tc>
        <w:tc>
          <w:tcPr>
            <w:tcW w:w="1710" w:type="dxa"/>
            <w:vAlign w:val="center"/>
          </w:tcPr>
          <w:p w14:paraId="4AF30B70">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200≤Y＜3000</w:t>
            </w:r>
          </w:p>
        </w:tc>
        <w:tc>
          <w:tcPr>
            <w:tcW w:w="1104" w:type="dxa"/>
            <w:vAlign w:val="center"/>
          </w:tcPr>
          <w:p w14:paraId="154325D0">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Y＜200</w:t>
            </w:r>
          </w:p>
        </w:tc>
      </w:tr>
      <w:tr w14:paraId="3BD74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7F34E58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仓储业</w:t>
            </w:r>
          </w:p>
        </w:tc>
        <w:tc>
          <w:tcPr>
            <w:tcW w:w="1638" w:type="dxa"/>
            <w:vAlign w:val="center"/>
          </w:tcPr>
          <w:p w14:paraId="3C6E38D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35ED9D2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26D7A45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100≤X＜200</w:t>
            </w:r>
          </w:p>
        </w:tc>
        <w:tc>
          <w:tcPr>
            <w:tcW w:w="1710" w:type="dxa"/>
            <w:vAlign w:val="center"/>
          </w:tcPr>
          <w:p w14:paraId="6BAC50F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20≤X＜100</w:t>
            </w:r>
          </w:p>
        </w:tc>
        <w:tc>
          <w:tcPr>
            <w:tcW w:w="1104" w:type="dxa"/>
            <w:vAlign w:val="center"/>
          </w:tcPr>
          <w:p w14:paraId="732A5C2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X＜20</w:t>
            </w:r>
          </w:p>
        </w:tc>
      </w:tr>
      <w:tr w14:paraId="2F801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3EFA9CC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25AD51C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3FA9F42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3D32C2E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1000≤Y＜30000</w:t>
            </w:r>
          </w:p>
        </w:tc>
        <w:tc>
          <w:tcPr>
            <w:tcW w:w="1710" w:type="dxa"/>
            <w:vAlign w:val="center"/>
          </w:tcPr>
          <w:p w14:paraId="442FC53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100≤Y＜1000</w:t>
            </w:r>
          </w:p>
        </w:tc>
        <w:tc>
          <w:tcPr>
            <w:tcW w:w="1104" w:type="dxa"/>
            <w:vAlign w:val="center"/>
          </w:tcPr>
          <w:p w14:paraId="21D23D9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w:t>
            </w:r>
          </w:p>
        </w:tc>
      </w:tr>
      <w:tr w14:paraId="26645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2342C88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邮政业</w:t>
            </w:r>
          </w:p>
        </w:tc>
        <w:tc>
          <w:tcPr>
            <w:tcW w:w="1638" w:type="dxa"/>
            <w:vAlign w:val="center"/>
          </w:tcPr>
          <w:p w14:paraId="0B9FA5A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3DC0F3C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02486FD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300≤X＜1000</w:t>
            </w:r>
          </w:p>
        </w:tc>
        <w:tc>
          <w:tcPr>
            <w:tcW w:w="1710" w:type="dxa"/>
            <w:vAlign w:val="center"/>
          </w:tcPr>
          <w:p w14:paraId="41007CD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20≤X＜300</w:t>
            </w:r>
          </w:p>
        </w:tc>
        <w:tc>
          <w:tcPr>
            <w:tcW w:w="1104" w:type="dxa"/>
            <w:vAlign w:val="center"/>
          </w:tcPr>
          <w:p w14:paraId="33319B9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X＜20</w:t>
            </w:r>
          </w:p>
        </w:tc>
      </w:tr>
      <w:tr w14:paraId="7F2B4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594DF77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21D187C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2FDBDF0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11618F8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2000≤Y＜30000</w:t>
            </w:r>
          </w:p>
        </w:tc>
        <w:tc>
          <w:tcPr>
            <w:tcW w:w="1710" w:type="dxa"/>
            <w:vAlign w:val="center"/>
          </w:tcPr>
          <w:p w14:paraId="44C43CB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100≤Y＜2000</w:t>
            </w:r>
          </w:p>
        </w:tc>
        <w:tc>
          <w:tcPr>
            <w:tcW w:w="1104" w:type="dxa"/>
            <w:vAlign w:val="center"/>
          </w:tcPr>
          <w:p w14:paraId="34B7D191">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w:t>
            </w:r>
          </w:p>
        </w:tc>
      </w:tr>
      <w:tr w14:paraId="486E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1F2AA5C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住宿业</w:t>
            </w:r>
          </w:p>
        </w:tc>
        <w:tc>
          <w:tcPr>
            <w:tcW w:w="1638" w:type="dxa"/>
            <w:vAlign w:val="center"/>
          </w:tcPr>
          <w:p w14:paraId="3206D99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04BFB06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4881A310">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100≤X＜300</w:t>
            </w:r>
          </w:p>
        </w:tc>
        <w:tc>
          <w:tcPr>
            <w:tcW w:w="1710" w:type="dxa"/>
            <w:vAlign w:val="center"/>
          </w:tcPr>
          <w:p w14:paraId="60B56E81">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10≤X＜100</w:t>
            </w:r>
          </w:p>
        </w:tc>
        <w:tc>
          <w:tcPr>
            <w:tcW w:w="1104" w:type="dxa"/>
            <w:vAlign w:val="center"/>
          </w:tcPr>
          <w:p w14:paraId="41E81BD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w:t>
            </w:r>
          </w:p>
        </w:tc>
      </w:tr>
      <w:tr w14:paraId="3CF2C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620AA0F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2E5E65D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7909417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1A19D59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2000≤Y＜10000</w:t>
            </w:r>
          </w:p>
        </w:tc>
        <w:tc>
          <w:tcPr>
            <w:tcW w:w="1710" w:type="dxa"/>
            <w:vAlign w:val="center"/>
          </w:tcPr>
          <w:p w14:paraId="23FDD1D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100≤Y＜2000</w:t>
            </w:r>
          </w:p>
        </w:tc>
        <w:tc>
          <w:tcPr>
            <w:tcW w:w="1104" w:type="dxa"/>
            <w:vAlign w:val="center"/>
          </w:tcPr>
          <w:p w14:paraId="3E2996B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w:t>
            </w:r>
          </w:p>
        </w:tc>
      </w:tr>
      <w:tr w14:paraId="10AB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2C4AEF80">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餐饮业</w:t>
            </w:r>
          </w:p>
        </w:tc>
        <w:tc>
          <w:tcPr>
            <w:tcW w:w="1638" w:type="dxa"/>
            <w:vAlign w:val="center"/>
          </w:tcPr>
          <w:p w14:paraId="41B51FC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1365294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604C56A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100≤X＜300</w:t>
            </w:r>
          </w:p>
        </w:tc>
        <w:tc>
          <w:tcPr>
            <w:tcW w:w="1710" w:type="dxa"/>
            <w:vAlign w:val="center"/>
          </w:tcPr>
          <w:p w14:paraId="209DEE5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10≤X＜100</w:t>
            </w:r>
          </w:p>
        </w:tc>
        <w:tc>
          <w:tcPr>
            <w:tcW w:w="1104" w:type="dxa"/>
            <w:vAlign w:val="center"/>
          </w:tcPr>
          <w:p w14:paraId="0796755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w:t>
            </w:r>
          </w:p>
        </w:tc>
      </w:tr>
      <w:tr w14:paraId="2ED47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7654DB7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1DF027A0">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507B198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1EFBB6E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2000≤Y＜10000</w:t>
            </w:r>
          </w:p>
        </w:tc>
        <w:tc>
          <w:tcPr>
            <w:tcW w:w="1710" w:type="dxa"/>
            <w:vAlign w:val="center"/>
          </w:tcPr>
          <w:p w14:paraId="0EF86FF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100≤Y＜2000</w:t>
            </w:r>
          </w:p>
        </w:tc>
        <w:tc>
          <w:tcPr>
            <w:tcW w:w="1104" w:type="dxa"/>
            <w:vAlign w:val="center"/>
          </w:tcPr>
          <w:p w14:paraId="2BE357C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w:t>
            </w:r>
          </w:p>
        </w:tc>
      </w:tr>
      <w:tr w14:paraId="692BB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0F4BE35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信息传输业</w:t>
            </w:r>
          </w:p>
        </w:tc>
        <w:tc>
          <w:tcPr>
            <w:tcW w:w="1638" w:type="dxa"/>
            <w:vAlign w:val="center"/>
          </w:tcPr>
          <w:p w14:paraId="18E0292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01E8500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7ACC9E6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100≤X＜2000</w:t>
            </w:r>
          </w:p>
        </w:tc>
        <w:tc>
          <w:tcPr>
            <w:tcW w:w="1710" w:type="dxa"/>
            <w:vAlign w:val="center"/>
          </w:tcPr>
          <w:p w14:paraId="4C8A47D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10≤X＜100</w:t>
            </w:r>
          </w:p>
        </w:tc>
        <w:tc>
          <w:tcPr>
            <w:tcW w:w="1104" w:type="dxa"/>
            <w:vAlign w:val="center"/>
          </w:tcPr>
          <w:p w14:paraId="1F71B6D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w:t>
            </w:r>
          </w:p>
        </w:tc>
      </w:tr>
      <w:tr w14:paraId="501EA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597A8DC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7EA3998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2E8857A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2549CEA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1000≤Y＜100000</w:t>
            </w:r>
          </w:p>
        </w:tc>
        <w:tc>
          <w:tcPr>
            <w:tcW w:w="1710" w:type="dxa"/>
            <w:vAlign w:val="center"/>
          </w:tcPr>
          <w:p w14:paraId="096EDAA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100≤Y＜1000</w:t>
            </w:r>
          </w:p>
        </w:tc>
        <w:tc>
          <w:tcPr>
            <w:tcW w:w="1104" w:type="dxa"/>
            <w:vAlign w:val="center"/>
          </w:tcPr>
          <w:p w14:paraId="1249FBC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w:t>
            </w:r>
          </w:p>
        </w:tc>
      </w:tr>
      <w:tr w14:paraId="4390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4FCDFB8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软件和信息技术服务业</w:t>
            </w:r>
          </w:p>
        </w:tc>
        <w:tc>
          <w:tcPr>
            <w:tcW w:w="1638" w:type="dxa"/>
            <w:vAlign w:val="center"/>
          </w:tcPr>
          <w:p w14:paraId="04741B21">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2105E5B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68F044C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100≤X＜300</w:t>
            </w:r>
          </w:p>
        </w:tc>
        <w:tc>
          <w:tcPr>
            <w:tcW w:w="1710" w:type="dxa"/>
            <w:vAlign w:val="center"/>
          </w:tcPr>
          <w:p w14:paraId="76D12AB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10≤X＜100</w:t>
            </w:r>
          </w:p>
        </w:tc>
        <w:tc>
          <w:tcPr>
            <w:tcW w:w="1104" w:type="dxa"/>
            <w:vAlign w:val="center"/>
          </w:tcPr>
          <w:p w14:paraId="745A867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w:t>
            </w:r>
          </w:p>
        </w:tc>
      </w:tr>
      <w:tr w14:paraId="2DC85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42ADA20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074DC4A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34851D0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48342A9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1000≤Y＜10000</w:t>
            </w:r>
          </w:p>
        </w:tc>
        <w:tc>
          <w:tcPr>
            <w:tcW w:w="1710" w:type="dxa"/>
            <w:vAlign w:val="center"/>
          </w:tcPr>
          <w:p w14:paraId="2A9EB4A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50≤Y＜1000</w:t>
            </w:r>
          </w:p>
        </w:tc>
        <w:tc>
          <w:tcPr>
            <w:tcW w:w="1104" w:type="dxa"/>
            <w:vAlign w:val="center"/>
          </w:tcPr>
          <w:p w14:paraId="281F183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Y＜50</w:t>
            </w:r>
          </w:p>
        </w:tc>
      </w:tr>
      <w:tr w14:paraId="17B0B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47FE1511">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房地产开发经营</w:t>
            </w:r>
          </w:p>
        </w:tc>
        <w:tc>
          <w:tcPr>
            <w:tcW w:w="1638" w:type="dxa"/>
            <w:vAlign w:val="center"/>
          </w:tcPr>
          <w:p w14:paraId="06FAF9A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65449E8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529333F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1000≤Y＜200000</w:t>
            </w:r>
          </w:p>
        </w:tc>
        <w:tc>
          <w:tcPr>
            <w:tcW w:w="1710" w:type="dxa"/>
            <w:vAlign w:val="center"/>
          </w:tcPr>
          <w:p w14:paraId="2B02DC0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100≤X＜1000</w:t>
            </w:r>
          </w:p>
        </w:tc>
        <w:tc>
          <w:tcPr>
            <w:tcW w:w="1104" w:type="dxa"/>
            <w:vAlign w:val="center"/>
          </w:tcPr>
          <w:p w14:paraId="147809B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X＜100</w:t>
            </w:r>
          </w:p>
        </w:tc>
      </w:tr>
      <w:tr w14:paraId="1FD1D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6F698DB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664C76D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资产总额 （Z）</w:t>
            </w:r>
          </w:p>
        </w:tc>
        <w:tc>
          <w:tcPr>
            <w:tcW w:w="1083" w:type="dxa"/>
            <w:vAlign w:val="center"/>
          </w:tcPr>
          <w:p w14:paraId="7B3DCBD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405AA88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5000≤Z＜10000</w:t>
            </w:r>
          </w:p>
        </w:tc>
        <w:tc>
          <w:tcPr>
            <w:tcW w:w="1710" w:type="dxa"/>
            <w:vAlign w:val="center"/>
          </w:tcPr>
          <w:p w14:paraId="58375B8A">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2000≤Y＜5000</w:t>
            </w:r>
          </w:p>
        </w:tc>
        <w:tc>
          <w:tcPr>
            <w:tcW w:w="1104" w:type="dxa"/>
            <w:vAlign w:val="center"/>
          </w:tcPr>
          <w:p w14:paraId="178CDA25">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Y＜2000</w:t>
            </w:r>
          </w:p>
        </w:tc>
      </w:tr>
      <w:tr w14:paraId="4AFB2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573C63F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物业管理</w:t>
            </w:r>
          </w:p>
        </w:tc>
        <w:tc>
          <w:tcPr>
            <w:tcW w:w="1638" w:type="dxa"/>
            <w:vAlign w:val="center"/>
          </w:tcPr>
          <w:p w14:paraId="6E98F28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04CE729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1D34C18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300≤X＜1000</w:t>
            </w:r>
          </w:p>
        </w:tc>
        <w:tc>
          <w:tcPr>
            <w:tcW w:w="1710" w:type="dxa"/>
            <w:vAlign w:val="center"/>
          </w:tcPr>
          <w:p w14:paraId="7E1742C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100≤X＜300</w:t>
            </w:r>
          </w:p>
        </w:tc>
        <w:tc>
          <w:tcPr>
            <w:tcW w:w="1104" w:type="dxa"/>
            <w:vAlign w:val="center"/>
          </w:tcPr>
          <w:p w14:paraId="38BE39A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X＜100</w:t>
            </w:r>
          </w:p>
        </w:tc>
      </w:tr>
      <w:tr w14:paraId="7368F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69EF361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6DB078C7">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营业收入 （Y）</w:t>
            </w:r>
          </w:p>
        </w:tc>
        <w:tc>
          <w:tcPr>
            <w:tcW w:w="1083" w:type="dxa"/>
            <w:vAlign w:val="center"/>
          </w:tcPr>
          <w:p w14:paraId="52DE537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0A4C559C">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1000≤Y＜5000</w:t>
            </w:r>
          </w:p>
        </w:tc>
        <w:tc>
          <w:tcPr>
            <w:tcW w:w="1710" w:type="dxa"/>
            <w:vAlign w:val="center"/>
          </w:tcPr>
          <w:p w14:paraId="05CF5B64">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500≤Y＜1000</w:t>
            </w:r>
          </w:p>
        </w:tc>
        <w:tc>
          <w:tcPr>
            <w:tcW w:w="1104" w:type="dxa"/>
            <w:vAlign w:val="center"/>
          </w:tcPr>
          <w:p w14:paraId="6D7DCC4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Y＜500</w:t>
            </w:r>
          </w:p>
        </w:tc>
      </w:tr>
      <w:tr w14:paraId="49704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restart"/>
            <w:tcBorders>
              <w:bottom w:val="nil"/>
            </w:tcBorders>
            <w:vAlign w:val="center"/>
          </w:tcPr>
          <w:p w14:paraId="2BACB01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租赁和商务服务业</w:t>
            </w:r>
          </w:p>
        </w:tc>
        <w:tc>
          <w:tcPr>
            <w:tcW w:w="1638" w:type="dxa"/>
            <w:vAlign w:val="center"/>
          </w:tcPr>
          <w:p w14:paraId="1E58C00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2DE65D76">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2FA5300E">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100≤X＜300</w:t>
            </w:r>
          </w:p>
        </w:tc>
        <w:tc>
          <w:tcPr>
            <w:tcW w:w="1710" w:type="dxa"/>
            <w:vAlign w:val="center"/>
          </w:tcPr>
          <w:p w14:paraId="2B83A22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10≤X＜100</w:t>
            </w:r>
          </w:p>
        </w:tc>
        <w:tc>
          <w:tcPr>
            <w:tcW w:w="1104" w:type="dxa"/>
            <w:vAlign w:val="center"/>
          </w:tcPr>
          <w:p w14:paraId="6A985BD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w:t>
            </w:r>
          </w:p>
        </w:tc>
      </w:tr>
      <w:tr w14:paraId="1F763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Merge w:val="continue"/>
            <w:tcBorders>
              <w:top w:val="nil"/>
            </w:tcBorders>
            <w:vAlign w:val="center"/>
          </w:tcPr>
          <w:p w14:paraId="02D78278">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p>
        </w:tc>
        <w:tc>
          <w:tcPr>
            <w:tcW w:w="1638" w:type="dxa"/>
            <w:vAlign w:val="center"/>
          </w:tcPr>
          <w:p w14:paraId="19345321">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资产总额 （Z）</w:t>
            </w:r>
          </w:p>
        </w:tc>
        <w:tc>
          <w:tcPr>
            <w:tcW w:w="1083" w:type="dxa"/>
            <w:vAlign w:val="center"/>
          </w:tcPr>
          <w:p w14:paraId="1752ADC9">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万元</w:t>
            </w:r>
          </w:p>
        </w:tc>
        <w:tc>
          <w:tcPr>
            <w:tcW w:w="1921" w:type="dxa"/>
            <w:vAlign w:val="center"/>
          </w:tcPr>
          <w:p w14:paraId="147DDF1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8000≤Z＜120000</w:t>
            </w:r>
          </w:p>
        </w:tc>
        <w:tc>
          <w:tcPr>
            <w:tcW w:w="1710" w:type="dxa"/>
            <w:vAlign w:val="center"/>
          </w:tcPr>
          <w:p w14:paraId="1054980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100≤Z＜8000</w:t>
            </w:r>
          </w:p>
        </w:tc>
        <w:tc>
          <w:tcPr>
            <w:tcW w:w="1104" w:type="dxa"/>
            <w:vAlign w:val="center"/>
          </w:tcPr>
          <w:p w14:paraId="412E5BF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Y＜100</w:t>
            </w:r>
          </w:p>
        </w:tc>
      </w:tr>
      <w:tr w14:paraId="6D5DF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751" w:type="dxa"/>
            <w:vAlign w:val="center"/>
          </w:tcPr>
          <w:p w14:paraId="1F3F7302">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其他未列明行业</w:t>
            </w:r>
          </w:p>
        </w:tc>
        <w:tc>
          <w:tcPr>
            <w:tcW w:w="1638" w:type="dxa"/>
            <w:vAlign w:val="center"/>
          </w:tcPr>
          <w:p w14:paraId="6E8E5D83">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从业人员 （X）</w:t>
            </w:r>
          </w:p>
        </w:tc>
        <w:tc>
          <w:tcPr>
            <w:tcW w:w="1083" w:type="dxa"/>
            <w:vAlign w:val="center"/>
          </w:tcPr>
          <w:p w14:paraId="4D5F5C2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人</w:t>
            </w:r>
          </w:p>
        </w:tc>
        <w:tc>
          <w:tcPr>
            <w:tcW w:w="1921" w:type="dxa"/>
            <w:vAlign w:val="center"/>
          </w:tcPr>
          <w:p w14:paraId="7CFF437B">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100≤X＜300</w:t>
            </w:r>
          </w:p>
        </w:tc>
        <w:tc>
          <w:tcPr>
            <w:tcW w:w="1710" w:type="dxa"/>
            <w:vAlign w:val="center"/>
          </w:tcPr>
          <w:p w14:paraId="0AB8794F">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10≤X＜100</w:t>
            </w:r>
          </w:p>
        </w:tc>
        <w:tc>
          <w:tcPr>
            <w:tcW w:w="1104" w:type="dxa"/>
            <w:vAlign w:val="center"/>
          </w:tcPr>
          <w:p w14:paraId="082B27FD">
            <w:pPr>
              <w:pageBreakBefore w:val="0"/>
              <w:widowControl/>
              <w:kinsoku/>
              <w:wordWrap/>
              <w:overflowPunct w:val="0"/>
              <w:topLinePunct/>
              <w:autoSpaceDE/>
              <w:autoSpaceDN/>
              <w:bidi w:val="0"/>
              <w:adjustRightInd w:val="0"/>
              <w:snapToGrid w:val="0"/>
              <w:spacing w:line="360" w:lineRule="auto"/>
              <w:ind w:left="147"/>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X＜10</w:t>
            </w:r>
          </w:p>
        </w:tc>
      </w:tr>
    </w:tbl>
    <w:p w14:paraId="415FF10B">
      <w:pPr>
        <w:pageBreakBefore w:val="0"/>
        <w:widowControl/>
        <w:kinsoku/>
        <w:wordWrap/>
        <w:overflowPunct w:val="0"/>
        <w:topLinePunct/>
        <w:autoSpaceDE/>
        <w:autoSpaceDN/>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p>
    <w:p w14:paraId="2A1A445C">
      <w:pPr>
        <w:pageBreakBefore w:val="0"/>
        <w:widowControl/>
        <w:kinsoku/>
        <w:wordWrap/>
        <w:overflowPunct w:val="0"/>
        <w:topLinePunct/>
        <w:autoSpaceDE/>
        <w:autoSpaceDN/>
        <w:bidi w:val="0"/>
        <w:adjustRightInd w:val="0"/>
        <w:snapToGrid w:val="0"/>
        <w:spacing w:line="360" w:lineRule="auto"/>
        <w:ind w:left="11"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说明：上述标准参照《关于印发中小企业划型标准规定的通知》（工信部联企业〔2011〕300 号），大型、中型和</w:t>
      </w:r>
      <w:bookmarkStart w:id="28" w:name="_Toc27977"/>
      <w:r>
        <w:rPr>
          <w:rFonts w:hint="eastAsia" w:ascii="仿宋" w:hAnsi="仿宋" w:eastAsia="仿宋" w:cs="仿宋"/>
          <w:snapToGrid w:val="0"/>
          <w:color w:val="auto"/>
          <w:kern w:val="0"/>
          <w:szCs w:val="21"/>
          <w:highlight w:val="none"/>
        </w:rPr>
        <w:t>小型企业须同时满足所列指标的下限，否则下划一档；微型企业只须满足所列指标中的一项即可。</w:t>
      </w:r>
      <w:bookmarkEnd w:id="28"/>
    </w:p>
    <w:p w14:paraId="78BDF4A5">
      <w:pPr>
        <w:pageBreakBefore w:val="0"/>
        <w:kinsoku/>
        <w:wordWrap/>
        <w:overflowPunct w:val="0"/>
        <w:topLinePunct/>
        <w:autoSpaceDE/>
        <w:autoSpaceDN/>
        <w:bidi w:val="0"/>
        <w:snapToGrid w:val="0"/>
        <w:spacing w:line="360" w:lineRule="auto"/>
        <w:rPr>
          <w:rFonts w:hint="eastAsia" w:ascii="仿宋" w:hAnsi="仿宋" w:eastAsia="仿宋" w:cs="仿宋"/>
          <w:color w:val="auto"/>
          <w:highlight w:val="none"/>
        </w:rPr>
        <w:sectPr>
          <w:headerReference r:id="rId9" w:type="default"/>
          <w:footerReference r:id="rId10" w:type="default"/>
          <w:pgSz w:w="11906" w:h="16838"/>
          <w:pgMar w:top="1440" w:right="1803" w:bottom="1440" w:left="1599" w:header="850" w:footer="992" w:gutter="0"/>
          <w:pgNumType w:fmt="decimal"/>
          <w:cols w:space="0" w:num="1"/>
          <w:titlePg/>
          <w:docGrid w:type="lines" w:linePitch="317" w:charSpace="0"/>
        </w:sectPr>
      </w:pPr>
    </w:p>
    <w:p w14:paraId="10602B12">
      <w:pPr>
        <w:pageBreakBefore w:val="0"/>
        <w:widowControl/>
        <w:kinsoku/>
        <w:wordWrap w:val="0"/>
        <w:overflowPunct w:val="0"/>
        <w:topLinePunct/>
        <w:bidi w:val="0"/>
        <w:adjustRightInd w:val="0"/>
        <w:snapToGrid w:val="0"/>
        <w:spacing w:line="360" w:lineRule="auto"/>
        <w:ind w:left="6"/>
        <w:jc w:val="center"/>
        <w:textAlignment w:val="baseline"/>
        <w:outlineLvl w:val="1"/>
        <w:rPr>
          <w:rFonts w:hint="eastAsia" w:ascii="仿宋" w:hAnsi="仿宋" w:eastAsia="仿宋" w:cs="仿宋"/>
          <w:b/>
          <w:color w:val="auto"/>
          <w:kern w:val="0"/>
          <w:sz w:val="32"/>
          <w:szCs w:val="32"/>
          <w:highlight w:val="none"/>
        </w:rPr>
      </w:pPr>
      <w:bookmarkStart w:id="29" w:name="_Toc8069"/>
      <w:r>
        <w:rPr>
          <w:rFonts w:hint="eastAsia" w:ascii="仿宋" w:hAnsi="仿宋" w:eastAsia="仿宋" w:cs="仿宋"/>
          <w:b/>
          <w:color w:val="auto"/>
          <w:kern w:val="0"/>
          <w:sz w:val="32"/>
          <w:szCs w:val="32"/>
          <w:highlight w:val="none"/>
        </w:rPr>
        <w:t>资格证明文件</w:t>
      </w:r>
      <w:bookmarkEnd w:id="29"/>
    </w:p>
    <w:p w14:paraId="44341265">
      <w:pPr>
        <w:pageBreakBefore w:val="0"/>
        <w:shd w:val="clear" w:color="auto" w:fill="FFFFFF"/>
        <w:kinsoku/>
        <w:wordWrap/>
        <w:bidi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具有独立承担民事责任的能力（提供法人或者其他组织的营业执照）。</w:t>
      </w:r>
    </w:p>
    <w:p w14:paraId="61286DE2">
      <w:pPr>
        <w:pageBreakBefore w:val="0"/>
        <w:shd w:val="clear" w:color="auto" w:fill="FFFFFF"/>
        <w:kinsoku/>
        <w:wordWrap/>
        <w:bidi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br w:type="column"/>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具有良好的商业信誉和健全的财务会计制度[提供距开标时间一年内任意一月份的财务状况报告（至少包括资产负债表和利润表）或其2023年度经审计的财务报告；复印件加盖公章]。</w:t>
      </w:r>
    </w:p>
    <w:p w14:paraId="11068AE0">
      <w:pPr>
        <w:pageBreakBefore w:val="0"/>
        <w:shd w:val="clear" w:color="auto" w:fill="FFFFFF"/>
        <w:kinsoku/>
        <w:wordWrap/>
        <w:bidi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br w:type="column"/>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有依法缴纳税收的良好记录，提供距开标时间一年内任意一月份的纳税凭据复印件加盖公章（依法免税的应提供相应文件说明）。 </w:t>
      </w:r>
    </w:p>
    <w:p w14:paraId="111F0469">
      <w:pPr>
        <w:pageBreakBefore w:val="0"/>
        <w:shd w:val="clear" w:color="auto" w:fill="FFFFFF"/>
        <w:kinsoku/>
        <w:wordWrap/>
        <w:bidi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br w:type="column"/>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有依法缴纳社会保障资金的良好记录，提供距开标时间一年内任意一月份的依法缴纳社会保障资金的凭据复印件加盖公章。</w:t>
      </w:r>
    </w:p>
    <w:p w14:paraId="6DCFD517">
      <w:pPr>
        <w:pageBreakBefore w:val="0"/>
        <w:shd w:val="clear" w:color="auto" w:fill="FFFFFF"/>
        <w:kinsoku/>
        <w:wordWrap/>
        <w:bidi w:val="0"/>
        <w:snapToGrid w:val="0"/>
        <w:spacing w:line="360" w:lineRule="auto"/>
        <w:ind w:firstLine="420" w:firstLineChars="20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eastAsia="zh-CN"/>
        </w:rPr>
        <w:br w:type="column"/>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w:t>
      </w:r>
      <w:r>
        <w:rPr>
          <w:rFonts w:hint="eastAsia" w:ascii="仿宋" w:hAnsi="仿宋" w:eastAsia="仿宋" w:cs="仿宋"/>
          <w:bCs/>
          <w:color w:val="auto"/>
          <w:sz w:val="21"/>
          <w:szCs w:val="21"/>
          <w:highlight w:val="none"/>
        </w:rPr>
        <w:t>具有履行合同所必需的设备和专业技术能力（供应商根据履行采购项目合同需要，提供具有履行合同所必需的设备和专业技术能力的声明或证明材料）</w:t>
      </w:r>
      <w:r>
        <w:rPr>
          <w:rFonts w:hint="eastAsia" w:ascii="仿宋" w:hAnsi="仿宋" w:eastAsia="仿宋" w:cs="仿宋"/>
          <w:bCs/>
          <w:color w:val="auto"/>
          <w:sz w:val="21"/>
          <w:szCs w:val="21"/>
          <w:highlight w:val="none"/>
          <w:lang w:eastAsia="zh-CN"/>
        </w:rPr>
        <w:t>。</w:t>
      </w:r>
    </w:p>
    <w:p w14:paraId="387FACA6">
      <w:pPr>
        <w:pageBreakBefore w:val="0"/>
        <w:kinsoku/>
        <w:overflowPunct w:val="0"/>
        <w:topLinePunct/>
        <w:autoSpaceDE/>
        <w:autoSpaceDN/>
        <w:bidi w:val="0"/>
        <w:snapToGrid w:val="0"/>
        <w:spacing w:line="360" w:lineRule="auto"/>
        <w:ind w:left="7"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参考格式如下：</w:t>
      </w:r>
      <w:r>
        <w:rPr>
          <w:rFonts w:hint="eastAsia" w:ascii="仿宋" w:hAnsi="仿宋" w:eastAsia="仿宋" w:cs="仿宋"/>
          <w:bCs/>
          <w:color w:val="auto"/>
          <w:highlight w:val="none"/>
        </w:rPr>
        <w:br w:type="textWrapping"/>
      </w:r>
    </w:p>
    <w:p w14:paraId="048EA084">
      <w:pPr>
        <w:pageBreakBefore w:val="0"/>
        <w:kinsoku/>
        <w:overflowPunct w:val="0"/>
        <w:topLinePunct/>
        <w:autoSpaceDE/>
        <w:autoSpaceDN/>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具备履行合同所必需的设备和专业技术能力的书面声明</w:t>
      </w:r>
    </w:p>
    <w:p w14:paraId="333FB26C">
      <w:pPr>
        <w:pageBreakBefore w:val="0"/>
        <w:kinsoku/>
        <w:bidi w:val="0"/>
        <w:snapToGrid w:val="0"/>
        <w:spacing w:line="360" w:lineRule="auto"/>
        <w:ind w:firstLine="492"/>
        <w:rPr>
          <w:rFonts w:hint="eastAsia" w:ascii="仿宋" w:hAnsi="仿宋" w:eastAsia="仿宋" w:cs="仿宋"/>
          <w:bCs/>
          <w:sz w:val="24"/>
          <w:highlight w:val="none"/>
        </w:rPr>
      </w:pPr>
      <w:r>
        <w:rPr>
          <w:rFonts w:hint="eastAsia" w:ascii="仿宋" w:hAnsi="仿宋" w:eastAsia="仿宋" w:cs="仿宋"/>
          <w:bCs/>
          <w:sz w:val="24"/>
          <w:highlight w:val="none"/>
        </w:rPr>
        <w:t>我</w:t>
      </w:r>
      <w:r>
        <w:rPr>
          <w:rFonts w:hint="eastAsia" w:ascii="仿宋" w:hAnsi="仿宋" w:eastAsia="仿宋" w:cs="仿宋"/>
          <w:bCs/>
          <w:sz w:val="24"/>
          <w:highlight w:val="none"/>
          <w:lang w:val="en-US" w:eastAsia="zh-CN"/>
        </w:rPr>
        <w:t>单位</w:t>
      </w:r>
      <w:r>
        <w:rPr>
          <w:rFonts w:hint="eastAsia" w:ascii="仿宋" w:hAnsi="仿宋" w:eastAsia="仿宋" w:cs="仿宋"/>
          <w:bCs/>
          <w:sz w:val="24"/>
          <w:highlight w:val="none"/>
        </w:rPr>
        <w:t>郑重声明：我</w:t>
      </w:r>
      <w:r>
        <w:rPr>
          <w:rFonts w:hint="eastAsia" w:ascii="仿宋" w:hAnsi="仿宋" w:eastAsia="仿宋" w:cs="仿宋"/>
          <w:bCs/>
          <w:sz w:val="24"/>
          <w:highlight w:val="none"/>
          <w:lang w:val="en-US" w:eastAsia="zh-CN"/>
        </w:rPr>
        <w:t>单位</w:t>
      </w:r>
      <w:r>
        <w:rPr>
          <w:rFonts w:hint="eastAsia" w:ascii="仿宋" w:hAnsi="仿宋" w:eastAsia="仿宋" w:cs="仿宋"/>
          <w:bCs/>
          <w:sz w:val="24"/>
          <w:highlight w:val="none"/>
        </w:rPr>
        <w:t>具备履行本项采购合同所必需的设备和专业技术能力，为履行本项采购合同我公司具备如下主要设备和主要专业技术能力：</w:t>
      </w:r>
    </w:p>
    <w:p w14:paraId="1BE63FD2">
      <w:pPr>
        <w:pageBreakBefore w:val="0"/>
        <w:kinsoku/>
        <w:bidi w:val="0"/>
        <w:snapToGrid w:val="0"/>
        <w:spacing w:line="360" w:lineRule="auto"/>
        <w:ind w:firstLine="492"/>
        <w:rPr>
          <w:rFonts w:hint="eastAsia" w:ascii="仿宋" w:hAnsi="仿宋" w:eastAsia="仿宋" w:cs="仿宋"/>
          <w:bCs/>
          <w:sz w:val="24"/>
          <w:highlight w:val="none"/>
        </w:rPr>
      </w:pPr>
      <w:r>
        <w:rPr>
          <w:rFonts w:hint="eastAsia" w:ascii="仿宋" w:hAnsi="仿宋" w:eastAsia="仿宋" w:cs="仿宋"/>
          <w:bCs/>
          <w:sz w:val="24"/>
          <w:highlight w:val="none"/>
        </w:rPr>
        <w:t>主要设备有：</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w:t>
      </w:r>
    </w:p>
    <w:p w14:paraId="04F87646">
      <w:pPr>
        <w:pageBreakBefore w:val="0"/>
        <w:kinsoku/>
        <w:bidi w:val="0"/>
        <w:snapToGrid w:val="0"/>
        <w:spacing w:line="360" w:lineRule="auto"/>
        <w:ind w:firstLine="492"/>
        <w:rPr>
          <w:rFonts w:hint="eastAsia" w:ascii="仿宋" w:hAnsi="仿宋" w:eastAsia="仿宋" w:cs="仿宋"/>
          <w:bCs/>
          <w:sz w:val="24"/>
          <w:highlight w:val="none"/>
        </w:rPr>
      </w:pPr>
      <w:r>
        <w:rPr>
          <w:rFonts w:hint="eastAsia" w:ascii="仿宋" w:hAnsi="仿宋" w:eastAsia="仿宋" w:cs="仿宋"/>
          <w:bCs/>
          <w:sz w:val="24"/>
          <w:highlight w:val="none"/>
        </w:rPr>
        <w:t>主要专业技术能力有：</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rPr>
        <w:t>。</w:t>
      </w:r>
    </w:p>
    <w:p w14:paraId="4B7D2851">
      <w:pPr>
        <w:pageBreakBefore w:val="0"/>
        <w:kinsoku/>
        <w:overflowPunct w:val="0"/>
        <w:topLinePunct/>
        <w:autoSpaceDE/>
        <w:autoSpaceDN/>
        <w:bidi w:val="0"/>
        <w:snapToGrid w:val="0"/>
        <w:spacing w:line="360" w:lineRule="auto"/>
        <w:jc w:val="right"/>
        <w:rPr>
          <w:rFonts w:hint="eastAsia" w:ascii="仿宋" w:hAnsi="仿宋" w:eastAsia="仿宋" w:cs="仿宋"/>
          <w:bCs/>
          <w:color w:val="auto"/>
          <w:highlight w:val="none"/>
        </w:rPr>
      </w:pPr>
      <w:r>
        <w:rPr>
          <w:rFonts w:hint="eastAsia" w:ascii="仿宋" w:hAnsi="仿宋" w:eastAsia="仿宋" w:cs="仿宋"/>
          <w:color w:val="auto"/>
          <w:highlight w:val="none"/>
        </w:rPr>
        <w:t>声明人：</w:t>
      </w:r>
      <w:r>
        <w:rPr>
          <w:rFonts w:hint="eastAsia" w:ascii="仿宋" w:hAnsi="仿宋" w:eastAsia="仿宋" w:cs="仿宋"/>
          <w:bCs/>
          <w:color w:val="auto"/>
          <w:highlight w:val="none"/>
        </w:rPr>
        <w:t>（公章）</w:t>
      </w:r>
    </w:p>
    <w:p w14:paraId="03C2E936">
      <w:pPr>
        <w:pageBreakBefore w:val="0"/>
        <w:kinsoku/>
        <w:overflowPunct w:val="0"/>
        <w:topLinePunct/>
        <w:autoSpaceDE/>
        <w:autoSpaceDN/>
        <w:bidi w:val="0"/>
        <w:snapToGrid w:val="0"/>
        <w:spacing w:line="360" w:lineRule="auto"/>
        <w:jc w:val="right"/>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日期：</w:t>
      </w:r>
      <w:r>
        <w:rPr>
          <w:rFonts w:hint="eastAsia" w:ascii="仿宋" w:hAnsi="仿宋" w:eastAsia="仿宋" w:cs="仿宋"/>
          <w:sz w:val="21"/>
          <w:szCs w:val="21"/>
          <w:highlight w:val="none"/>
          <w:u w:val="none"/>
        </w:rPr>
        <w:t>2024年</w:t>
      </w:r>
      <w:r>
        <w:rPr>
          <w:rFonts w:hint="eastAsia" w:ascii="仿宋" w:hAnsi="仿宋" w:eastAsia="仿宋" w:cs="仿宋"/>
          <w:sz w:val="21"/>
          <w:szCs w:val="21"/>
          <w:highlight w:val="none"/>
          <w:u w:val="none"/>
          <w:lang w:val="en-US" w:eastAsia="zh-CN"/>
        </w:rPr>
        <w:t>12月26日</w:t>
      </w:r>
    </w:p>
    <w:p w14:paraId="38108031">
      <w:pPr>
        <w:pageBreakBefore w:val="0"/>
        <w:kinsoku/>
        <w:overflowPunct w:val="0"/>
        <w:topLinePunct/>
        <w:autoSpaceDE/>
        <w:autoSpaceDN/>
        <w:bidi w:val="0"/>
        <w:snapToGrid w:val="0"/>
        <w:spacing w:line="360" w:lineRule="auto"/>
        <w:ind w:firstLine="413" w:firstLineChars="196"/>
        <w:rPr>
          <w:rFonts w:hint="eastAsia" w:ascii="仿宋" w:hAnsi="仿宋" w:eastAsia="仿宋" w:cs="仿宋"/>
          <w:b/>
          <w:color w:val="auto"/>
          <w:highlight w:val="none"/>
        </w:rPr>
      </w:pPr>
    </w:p>
    <w:p w14:paraId="70D1BBDF">
      <w:pPr>
        <w:pageBreakBefore w:val="0"/>
        <w:shd w:val="clear" w:color="auto" w:fill="FFFFFF"/>
        <w:kinsoku/>
        <w:wordWrap/>
        <w:bidi w:val="0"/>
        <w:snapToGrid w:val="0"/>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br w:type="column"/>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参加采购活动近三年内，在经营活动中没有重大违法记录（提供承诺书，格式自拟，重大违法记录是指供应商因违法经营受到刑事处罚或责令停产停业、吊销许可证或者执照、较大数额等行政处罚）。</w:t>
      </w:r>
    </w:p>
    <w:p w14:paraId="0397C224">
      <w:pPr>
        <w:pageBreakBefore w:val="0"/>
        <w:widowControl/>
        <w:kinsoku/>
        <w:wordWrap w:val="0"/>
        <w:overflowPunct w:val="0"/>
        <w:topLinePunct/>
        <w:bidi w:val="0"/>
        <w:adjustRightInd w:val="0"/>
        <w:snapToGrid w:val="0"/>
        <w:spacing w:line="360" w:lineRule="auto"/>
        <w:ind w:left="8"/>
        <w:jc w:val="left"/>
        <w:textAlignment w:val="baseline"/>
        <w:rPr>
          <w:rFonts w:hint="eastAsia" w:ascii="仿宋" w:hAnsi="仿宋" w:eastAsia="仿宋" w:cs="仿宋"/>
          <w:snapToGrid w:val="0"/>
          <w:color w:val="auto"/>
          <w:kern w:val="0"/>
          <w:sz w:val="20"/>
          <w:highlight w:val="none"/>
        </w:rPr>
      </w:pPr>
      <w:r>
        <w:rPr>
          <w:rFonts w:hint="eastAsia" w:ascii="仿宋" w:hAnsi="仿宋" w:eastAsia="仿宋" w:cs="仿宋"/>
          <w:snapToGrid w:val="0"/>
          <w:color w:val="auto"/>
          <w:kern w:val="0"/>
          <w:sz w:val="20"/>
          <w:highlight w:val="none"/>
        </w:rPr>
        <w:t>参考格式：</w:t>
      </w:r>
    </w:p>
    <w:p w14:paraId="40D43CA5">
      <w:pPr>
        <w:pageBreakBefore w:val="0"/>
        <w:kinsoku/>
        <w:wordWrap w:val="0"/>
        <w:overflowPunct w:val="0"/>
        <w:topLinePunct/>
        <w:bidi w:val="0"/>
        <w:adjustRightInd w:val="0"/>
        <w:snapToGrid w:val="0"/>
        <w:spacing w:line="360" w:lineRule="auto"/>
        <w:jc w:val="center"/>
        <w:textAlignment w:val="baseline"/>
        <w:rPr>
          <w:rFonts w:hint="eastAsia" w:ascii="仿宋" w:hAnsi="仿宋" w:eastAsia="仿宋" w:cs="仿宋"/>
          <w:b/>
          <w:snapToGrid w:val="0"/>
          <w:color w:val="auto"/>
          <w:sz w:val="32"/>
          <w:szCs w:val="32"/>
          <w:highlight w:val="none"/>
        </w:rPr>
      </w:pPr>
      <w:r>
        <w:rPr>
          <w:rFonts w:hint="eastAsia" w:ascii="仿宋" w:hAnsi="仿宋" w:eastAsia="仿宋" w:cs="仿宋"/>
          <w:b/>
          <w:bCs/>
          <w:color w:val="auto"/>
          <w:sz w:val="28"/>
          <w:szCs w:val="28"/>
          <w:highlight w:val="none"/>
        </w:rPr>
        <w:t>无重大违法记录声明</w:t>
      </w:r>
    </w:p>
    <w:p w14:paraId="1ADF819B">
      <w:pPr>
        <w:pageBreakBefore w:val="0"/>
        <w:widowControl/>
        <w:kinsoku/>
        <w:wordWrap w:val="0"/>
        <w:overflowPunct w:val="0"/>
        <w:topLinePunct/>
        <w:bidi w:val="0"/>
        <w:adjustRightInd w:val="0"/>
        <w:snapToGrid w:val="0"/>
        <w:spacing w:line="360" w:lineRule="auto"/>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color w:val="auto"/>
          <w:szCs w:val="21"/>
          <w:highlight w:val="none"/>
        </w:rPr>
        <w:t>（原件）</w:t>
      </w:r>
    </w:p>
    <w:p w14:paraId="1412CAE2">
      <w:pPr>
        <w:pageBreakBefore w:val="0"/>
        <w:widowControl/>
        <w:kinsoku/>
        <w:bidi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致：</w:t>
      </w:r>
      <w:r>
        <w:rPr>
          <w:rFonts w:hint="eastAsia" w:ascii="仿宋" w:hAnsi="仿宋" w:eastAsia="仿宋" w:cs="仿宋"/>
          <w:color w:val="auto"/>
          <w:szCs w:val="21"/>
          <w:highlight w:val="none"/>
        </w:rPr>
        <w:t>江苏省设备成套股份有限公司</w:t>
      </w:r>
    </w:p>
    <w:p w14:paraId="5089C08C">
      <w:pPr>
        <w:pageBreakBefore w:val="0"/>
        <w:widowControl/>
        <w:kinsoku/>
        <w:wordWrap w:val="0"/>
        <w:overflowPunct w:val="0"/>
        <w:topLinePunct/>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p>
    <w:p w14:paraId="26F5F89C">
      <w:pPr>
        <w:pageBreakBefore w:val="0"/>
        <w:widowControl/>
        <w:kinsoku/>
        <w:wordWrap w:val="0"/>
        <w:overflowPunct w:val="0"/>
        <w:topLinePunct/>
        <w:bidi w:val="0"/>
        <w:adjustRightInd w:val="0"/>
        <w:snapToGrid w:val="0"/>
        <w:spacing w:line="360" w:lineRule="auto"/>
        <w:ind w:left="428"/>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我单位</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（供应商名称）郑重声明：</w:t>
      </w:r>
    </w:p>
    <w:p w14:paraId="44017746">
      <w:pPr>
        <w:pageBreakBefore w:val="0"/>
        <w:widowControl/>
        <w:kinsoku/>
        <w:wordWrap w:val="0"/>
        <w:overflowPunct w:val="0"/>
        <w:topLinePunct/>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参加采购活动前3年内在经营活动中</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（在下划线上如实填写：</w:t>
      </w:r>
      <w:r>
        <w:rPr>
          <w:rFonts w:hint="eastAsia" w:ascii="仿宋" w:hAnsi="仿宋" w:eastAsia="仿宋" w:cs="仿宋"/>
          <w:snapToGrid w:val="0"/>
          <w:color w:val="auto"/>
          <w:kern w:val="0"/>
          <w:szCs w:val="21"/>
          <w:highlight w:val="none"/>
          <w:u w:val="single"/>
        </w:rPr>
        <w:t>有</w:t>
      </w:r>
      <w:r>
        <w:rPr>
          <w:rFonts w:hint="eastAsia" w:ascii="仿宋" w:hAnsi="仿宋" w:eastAsia="仿宋" w:cs="仿宋"/>
          <w:snapToGrid w:val="0"/>
          <w:color w:val="auto"/>
          <w:kern w:val="0"/>
          <w:szCs w:val="21"/>
          <w:highlight w:val="none"/>
        </w:rPr>
        <w:t>或</w:t>
      </w:r>
      <w:r>
        <w:rPr>
          <w:rFonts w:hint="eastAsia" w:ascii="仿宋" w:hAnsi="仿宋" w:eastAsia="仿宋" w:cs="仿宋"/>
          <w:snapToGrid w:val="0"/>
          <w:color w:val="auto"/>
          <w:kern w:val="0"/>
          <w:szCs w:val="21"/>
          <w:highlight w:val="none"/>
          <w:u w:val="single"/>
        </w:rPr>
        <w:t>没有</w:t>
      </w:r>
      <w:r>
        <w:rPr>
          <w:rFonts w:hint="eastAsia" w:ascii="仿宋" w:hAnsi="仿宋" w:eastAsia="仿宋" w:cs="仿宋"/>
          <w:snapToGrid w:val="0"/>
          <w:color w:val="auto"/>
          <w:kern w:val="0"/>
          <w:szCs w:val="21"/>
          <w:highlight w:val="none"/>
        </w:rPr>
        <w:t>）重大违法记录。</w:t>
      </w:r>
    </w:p>
    <w:p w14:paraId="086BB3EE">
      <w:pPr>
        <w:pageBreakBefore w:val="0"/>
        <w:widowControl/>
        <w:kinsoku/>
        <w:wordWrap w:val="0"/>
        <w:overflowPunct w:val="0"/>
        <w:topLinePunct/>
        <w:bidi w:val="0"/>
        <w:adjustRightInd w:val="0"/>
        <w:snapToGrid w:val="0"/>
        <w:spacing w:line="360" w:lineRule="auto"/>
        <w:ind w:left="13" w:right="73" w:firstLine="423"/>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（说明：重大违法记录，是指供应商因违法经营受到刑事处罚或者责令停产停业、吊销许可证或者执 照、较大数额罚款等行政处罚。）</w:t>
      </w:r>
    </w:p>
    <w:p w14:paraId="1DD99A13">
      <w:pPr>
        <w:pageBreakBefore w:val="0"/>
        <w:widowControl/>
        <w:kinsoku/>
        <w:wordWrap w:val="0"/>
        <w:overflowPunct w:val="0"/>
        <w:topLinePunct/>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p>
    <w:p w14:paraId="2AD6EC3B">
      <w:pPr>
        <w:pageBreakBefore w:val="0"/>
        <w:widowControl/>
        <w:kinsoku/>
        <w:wordWrap w:val="0"/>
        <w:overflowPunct w:val="0"/>
        <w:topLinePunct/>
        <w:bidi w:val="0"/>
        <w:adjustRightInd w:val="0"/>
        <w:snapToGrid w:val="0"/>
        <w:spacing w:line="360" w:lineRule="auto"/>
        <w:ind w:left="9"/>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供应商名称 （公章）：</w:t>
      </w:r>
    </w:p>
    <w:p w14:paraId="52073FF1">
      <w:pPr>
        <w:pageBreakBefore w:val="0"/>
        <w:widowControl/>
        <w:kinsoku/>
        <w:wordWrap w:val="0"/>
        <w:overflowPunct w:val="0"/>
        <w:topLinePunct/>
        <w:bidi w:val="0"/>
        <w:adjustRightInd w:val="0"/>
        <w:snapToGrid w:val="0"/>
        <w:spacing w:line="360" w:lineRule="auto"/>
        <w:ind w:left="6"/>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授权代表 （签字）：</w:t>
      </w:r>
    </w:p>
    <w:p w14:paraId="25531339">
      <w:pPr>
        <w:pageBreakBefore w:val="0"/>
        <w:widowControl/>
        <w:kinsoku/>
        <w:wordWrap w:val="0"/>
        <w:overflowPunct w:val="0"/>
        <w:topLinePunct/>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日期：</w:t>
      </w:r>
      <w:r>
        <w:rPr>
          <w:rFonts w:hint="eastAsia" w:ascii="仿宋" w:hAnsi="仿宋" w:eastAsia="仿宋" w:cs="仿宋"/>
          <w:sz w:val="21"/>
          <w:szCs w:val="21"/>
          <w:highlight w:val="none"/>
          <w:u w:val="none"/>
        </w:rPr>
        <w:t>2024年</w:t>
      </w:r>
      <w:r>
        <w:rPr>
          <w:rFonts w:hint="eastAsia" w:ascii="仿宋" w:hAnsi="仿宋" w:eastAsia="仿宋" w:cs="仿宋"/>
          <w:sz w:val="21"/>
          <w:szCs w:val="21"/>
          <w:highlight w:val="none"/>
          <w:u w:val="none"/>
          <w:lang w:val="en-US" w:eastAsia="zh-CN"/>
        </w:rPr>
        <w:t>12月26日</w:t>
      </w:r>
    </w:p>
    <w:p w14:paraId="72A9140C">
      <w:pPr>
        <w:pageBreakBefore w:val="0"/>
        <w:widowControl/>
        <w:kinsoku/>
        <w:wordWrap w:val="0"/>
        <w:overflowPunct w:val="0"/>
        <w:topLinePunct/>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p>
    <w:p w14:paraId="4E36B3C4">
      <w:pPr>
        <w:pageBreakBefore w:val="0"/>
        <w:widowControl/>
        <w:kinsoku/>
        <w:wordWrap w:val="0"/>
        <w:overflowPunct w:val="0"/>
        <w:topLinePunct/>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b/>
          <w:snapToGrid w:val="0"/>
          <w:color w:val="auto"/>
          <w:kern w:val="0"/>
          <w:szCs w:val="21"/>
          <w:highlight w:val="none"/>
        </w:rPr>
        <w:t>注：</w:t>
      </w:r>
    </w:p>
    <w:p w14:paraId="0FC68AB2">
      <w:pPr>
        <w:pageBreakBefore w:val="0"/>
        <w:widowControl/>
        <w:kinsoku/>
        <w:wordWrap w:val="0"/>
        <w:overflowPunct w:val="0"/>
        <w:topLinePunct/>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1.信用信息查询渠道：信用中国网站（www.creditchina.gov.cn）、中国政府采购网-政府采购严重违法失信行为信息记录（http：//www.ccgp.gov.cn/cr/list）；</w:t>
      </w:r>
    </w:p>
    <w:p w14:paraId="41113A46">
      <w:pPr>
        <w:pageBreakBefore w:val="0"/>
        <w:widowControl/>
        <w:kinsoku/>
        <w:wordWrap w:val="0"/>
        <w:overflowPunct w:val="0"/>
        <w:topLinePunct/>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2.信用信息查询截止时点：投标截止时间（文件提交截止时间）前5日内；</w:t>
      </w:r>
    </w:p>
    <w:p w14:paraId="723E7D1B">
      <w:pPr>
        <w:pageBreakBefore w:val="0"/>
        <w:widowControl/>
        <w:kinsoku/>
        <w:wordWrap w:val="0"/>
        <w:overflowPunct w:val="0"/>
        <w:topLinePunct/>
        <w:bidi w:val="0"/>
        <w:adjustRightInd w:val="0"/>
        <w:snapToGrid w:val="0"/>
        <w:spacing w:line="360" w:lineRule="auto"/>
        <w:ind w:firstLine="420" w:firstLineChars="200"/>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72D6F2B5">
      <w:pPr>
        <w:pageBreakBefore w:val="0"/>
        <w:kinsoku/>
        <w:wordWrap w:val="0"/>
        <w:overflowPunct w:val="0"/>
        <w:topLinePunct/>
        <w:bidi w:val="0"/>
        <w:snapToGrid w:val="0"/>
        <w:spacing w:line="360" w:lineRule="auto"/>
        <w:rPr>
          <w:rFonts w:hint="eastAsia" w:ascii="仿宋" w:hAnsi="仿宋" w:eastAsia="仿宋" w:cs="仿宋"/>
          <w:color w:val="auto"/>
          <w:highlight w:val="none"/>
        </w:rPr>
        <w:sectPr>
          <w:headerReference r:id="rId11" w:type="default"/>
          <w:footerReference r:id="rId12" w:type="default"/>
          <w:pgSz w:w="11906" w:h="16838"/>
          <w:pgMar w:top="1701" w:right="1134" w:bottom="1701" w:left="1134" w:header="850" w:footer="998" w:gutter="0"/>
          <w:cols w:space="0" w:num="1"/>
        </w:sectPr>
      </w:pPr>
    </w:p>
    <w:p w14:paraId="5F4CC93D">
      <w:pPr>
        <w:pageBreakBefore w:val="0"/>
        <w:kinsoku/>
        <w:wordWrap/>
        <w:bidi w:val="0"/>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lang w:val="en-US" w:eastAsia="zh-CN"/>
        </w:rPr>
        <w:t>具有有效期内的</w:t>
      </w:r>
      <w:r>
        <w:rPr>
          <w:rFonts w:hint="eastAsia" w:ascii="仿宋" w:hAnsi="仿宋" w:eastAsia="仿宋" w:cs="仿宋"/>
          <w:sz w:val="21"/>
          <w:szCs w:val="21"/>
          <w:highlight w:val="none"/>
          <w:lang w:eastAsia="zh-CN"/>
        </w:rPr>
        <w:t>《食品流通许可证》或《食品经营许可证》或《食品生产许可证》。（提供证书复印件）</w:t>
      </w:r>
    </w:p>
    <w:p w14:paraId="144B5DD0">
      <w:pPr>
        <w:pageBreakBefore w:val="0"/>
        <w:kinsoku/>
        <w:wordWrap/>
        <w:bidi w:val="0"/>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br w:type="column"/>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）单位负责人为同一人或者存在直接控股、管理关系的不同供应商，不得同时参加本项目同一包的投标。（提供承诺书或声明，正本中应为原件）</w:t>
      </w:r>
    </w:p>
    <w:p w14:paraId="4C89B345">
      <w:pPr>
        <w:pageBreakBefore w:val="0"/>
        <w:kinsoku/>
        <w:wordWrap/>
        <w:bidi w:val="0"/>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lang w:eastAsia="zh-CN"/>
        </w:rPr>
        <w:t>）本项目不接受联合体参与询价</w:t>
      </w:r>
      <w:r>
        <w:rPr>
          <w:rFonts w:hint="eastAsia" w:ascii="仿宋" w:hAnsi="仿宋" w:eastAsia="仿宋" w:cs="仿宋"/>
          <w:sz w:val="21"/>
          <w:szCs w:val="21"/>
          <w:highlight w:val="none"/>
          <w:lang w:val="en-US" w:eastAsia="zh-CN"/>
        </w:rPr>
        <w:t>。</w:t>
      </w:r>
    </w:p>
    <w:p w14:paraId="2A6E0B88">
      <w:pPr>
        <w:pageBreakBefore w:val="0"/>
        <w:kinsoku/>
        <w:wordWrap/>
        <w:bidi w:val="0"/>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lang w:eastAsia="zh-CN"/>
        </w:rPr>
        <w:t>）本项目不接受供应商使用进口产品参与询价。</w:t>
      </w:r>
    </w:p>
    <w:p w14:paraId="3E8186D2">
      <w:pPr>
        <w:pageBreakBefore w:val="0"/>
        <w:widowControl/>
        <w:kinsoku/>
        <w:wordWrap w:val="0"/>
        <w:overflowPunct w:val="0"/>
        <w:topLinePunct/>
        <w:bidi w:val="0"/>
        <w:adjustRightInd w:val="0"/>
        <w:snapToGrid w:val="0"/>
        <w:spacing w:line="360" w:lineRule="auto"/>
        <w:ind w:left="8"/>
        <w:jc w:val="left"/>
        <w:textAlignment w:val="baseline"/>
        <w:rPr>
          <w:rFonts w:hint="eastAsia" w:ascii="仿宋" w:hAnsi="仿宋" w:eastAsia="仿宋" w:cs="仿宋"/>
          <w:snapToGrid w:val="0"/>
          <w:color w:val="auto"/>
          <w:kern w:val="0"/>
          <w:sz w:val="20"/>
          <w:highlight w:val="none"/>
        </w:rPr>
      </w:pPr>
      <w:r>
        <w:rPr>
          <w:rFonts w:hint="eastAsia" w:ascii="仿宋" w:hAnsi="仿宋" w:eastAsia="仿宋" w:cs="仿宋"/>
          <w:snapToGrid w:val="0"/>
          <w:color w:val="auto"/>
          <w:kern w:val="0"/>
          <w:sz w:val="20"/>
          <w:highlight w:val="none"/>
        </w:rPr>
        <w:t>参考格式：</w:t>
      </w:r>
    </w:p>
    <w:p w14:paraId="5300279B">
      <w:pPr>
        <w:pStyle w:val="5"/>
        <w:pageBreakBefore w:val="0"/>
        <w:widowControl/>
        <w:kinsoku/>
        <w:bidi w:val="0"/>
        <w:snapToGrid w:val="0"/>
        <w:spacing w:before="0" w:after="0" w:line="360" w:lineRule="auto"/>
        <w:jc w:val="center"/>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声明函</w:t>
      </w:r>
      <w:r>
        <w:rPr>
          <w:rFonts w:hint="eastAsia" w:ascii="仿宋" w:hAnsi="仿宋" w:eastAsia="仿宋" w:cs="仿宋"/>
          <w:b w:val="0"/>
          <w:sz w:val="24"/>
          <w:szCs w:val="24"/>
          <w:highlight w:val="none"/>
        </w:rPr>
        <w:t xml:space="preserve"> </w:t>
      </w:r>
    </w:p>
    <w:p w14:paraId="63B81DFB">
      <w:pPr>
        <w:pageBreakBefore w:val="0"/>
        <w:widowControl/>
        <w:kinsoku/>
        <w:wordWrap w:val="0"/>
        <w:overflowPunct w:val="0"/>
        <w:topLinePunct/>
        <w:bidi w:val="0"/>
        <w:adjustRightInd w:val="0"/>
        <w:snapToGrid w:val="0"/>
        <w:spacing w:line="360" w:lineRule="auto"/>
        <w:jc w:val="center"/>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color w:val="auto"/>
          <w:szCs w:val="21"/>
          <w:highlight w:val="none"/>
        </w:rPr>
        <w:t>（原件）</w:t>
      </w:r>
    </w:p>
    <w:p w14:paraId="45F21FE8">
      <w:pPr>
        <w:pageBreakBefore w:val="0"/>
        <w:widowControl/>
        <w:kinsoku/>
        <w:bidi w:val="0"/>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致：</w:t>
      </w:r>
      <w:r>
        <w:rPr>
          <w:rFonts w:hint="eastAsia" w:ascii="仿宋" w:hAnsi="仿宋" w:eastAsia="仿宋" w:cs="仿宋"/>
          <w:color w:val="auto"/>
          <w:szCs w:val="21"/>
          <w:highlight w:val="none"/>
        </w:rPr>
        <w:t>江苏省设备成套股份有限公司</w:t>
      </w:r>
    </w:p>
    <w:p w14:paraId="2CB79C10">
      <w:pPr>
        <w:pageBreakBefore w:val="0"/>
        <w:widowControl/>
        <w:kinsoku/>
        <w:wordWrap w:val="0"/>
        <w:overflowPunct w:val="0"/>
        <w:topLinePunct/>
        <w:bidi w:val="0"/>
        <w:adjustRightInd w:val="0"/>
        <w:snapToGrid w:val="0"/>
        <w:spacing w:line="360" w:lineRule="auto"/>
        <w:ind w:left="428"/>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我单位</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（供应商名称）郑重声明</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我单位无以下行为</w:t>
      </w:r>
      <w:r>
        <w:rPr>
          <w:rFonts w:hint="eastAsia" w:ascii="仿宋" w:hAnsi="仿宋" w:eastAsia="仿宋" w:cs="仿宋"/>
          <w:snapToGrid w:val="0"/>
          <w:color w:val="auto"/>
          <w:kern w:val="0"/>
          <w:szCs w:val="21"/>
          <w:highlight w:val="none"/>
        </w:rPr>
        <w:t>：</w:t>
      </w:r>
    </w:p>
    <w:p w14:paraId="61C51D19">
      <w:pPr>
        <w:pageBreakBefore w:val="0"/>
        <w:kinsoku/>
        <w:wordWrap/>
        <w:bidi w:val="0"/>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）单位负责人为同一人或者存在直接控股、管理关系的不同供应商，同时参加本项目同一包的投标。</w:t>
      </w:r>
    </w:p>
    <w:p w14:paraId="27D5AAE0">
      <w:pPr>
        <w:pageBreakBefore w:val="0"/>
        <w:kinsoku/>
        <w:wordWrap/>
        <w:bidi w:val="0"/>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）联合体参与询价</w:t>
      </w:r>
      <w:r>
        <w:rPr>
          <w:rFonts w:hint="eastAsia" w:ascii="仿宋" w:hAnsi="仿宋" w:eastAsia="仿宋" w:cs="仿宋"/>
          <w:sz w:val="21"/>
          <w:szCs w:val="21"/>
          <w:highlight w:val="none"/>
          <w:lang w:val="en-US" w:eastAsia="zh-CN"/>
        </w:rPr>
        <w:t>。</w:t>
      </w:r>
    </w:p>
    <w:p w14:paraId="6343395F">
      <w:pPr>
        <w:pageBreakBefore w:val="0"/>
        <w:kinsoku/>
        <w:wordWrap/>
        <w:bidi w:val="0"/>
        <w:snapToGrid w:val="0"/>
        <w:spacing w:line="360" w:lineRule="auto"/>
        <w:ind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）使用进口产品参与询价。</w:t>
      </w:r>
    </w:p>
    <w:p w14:paraId="33ADFAE0">
      <w:pPr>
        <w:pageBreakBefore w:val="0"/>
        <w:widowControl/>
        <w:kinsoku/>
        <w:wordWrap w:val="0"/>
        <w:overflowPunct w:val="0"/>
        <w:topLinePunct/>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p>
    <w:p w14:paraId="02106E27">
      <w:pPr>
        <w:pageBreakBefore w:val="0"/>
        <w:widowControl/>
        <w:kinsoku/>
        <w:wordWrap w:val="0"/>
        <w:overflowPunct w:val="0"/>
        <w:topLinePunct/>
        <w:bidi w:val="0"/>
        <w:adjustRightInd w:val="0"/>
        <w:snapToGrid w:val="0"/>
        <w:spacing w:line="360" w:lineRule="auto"/>
        <w:ind w:left="9"/>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供应商名称 （公章）：</w:t>
      </w:r>
    </w:p>
    <w:p w14:paraId="3D923D0D">
      <w:pPr>
        <w:pageBreakBefore w:val="0"/>
        <w:widowControl/>
        <w:kinsoku/>
        <w:wordWrap w:val="0"/>
        <w:overflowPunct w:val="0"/>
        <w:topLinePunct/>
        <w:bidi w:val="0"/>
        <w:adjustRightInd w:val="0"/>
        <w:snapToGrid w:val="0"/>
        <w:spacing w:line="360" w:lineRule="auto"/>
        <w:ind w:left="6"/>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授权代表 （签字）：</w:t>
      </w:r>
    </w:p>
    <w:p w14:paraId="744D34C3">
      <w:pPr>
        <w:pageBreakBefore w:val="0"/>
        <w:widowControl/>
        <w:kinsoku/>
        <w:wordWrap w:val="0"/>
        <w:overflowPunct w:val="0"/>
        <w:topLinePunct/>
        <w:bidi w:val="0"/>
        <w:adjustRightInd w:val="0"/>
        <w:snapToGrid w:val="0"/>
        <w:spacing w:line="360" w:lineRule="auto"/>
        <w:jc w:val="left"/>
        <w:textAlignment w:val="baseline"/>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日期：</w:t>
      </w:r>
      <w:r>
        <w:rPr>
          <w:rFonts w:hint="eastAsia" w:ascii="仿宋" w:hAnsi="仿宋" w:eastAsia="仿宋" w:cs="仿宋"/>
          <w:sz w:val="21"/>
          <w:szCs w:val="21"/>
          <w:highlight w:val="none"/>
          <w:u w:val="none"/>
        </w:rPr>
        <w:t>2024年</w:t>
      </w:r>
      <w:r>
        <w:rPr>
          <w:rFonts w:hint="eastAsia" w:ascii="仿宋" w:hAnsi="仿宋" w:eastAsia="仿宋" w:cs="仿宋"/>
          <w:sz w:val="21"/>
          <w:szCs w:val="21"/>
          <w:highlight w:val="none"/>
          <w:u w:val="none"/>
          <w:lang w:val="en-US" w:eastAsia="zh-CN"/>
        </w:rPr>
        <w:t>12月26日</w:t>
      </w:r>
    </w:p>
    <w:p w14:paraId="35D20360">
      <w:pPr>
        <w:pStyle w:val="6"/>
        <w:pageBreakBefore w:val="0"/>
        <w:widowControl/>
        <w:kinsoku/>
        <w:bidi w:val="0"/>
        <w:snapToGrid w:val="0"/>
        <w:spacing w:line="360" w:lineRule="auto"/>
        <w:rPr>
          <w:rFonts w:hint="eastAsia" w:ascii="仿宋" w:hAnsi="仿宋" w:eastAsia="仿宋" w:cs="仿宋"/>
          <w:highlight w:val="none"/>
        </w:rPr>
      </w:pPr>
      <w:r>
        <w:rPr>
          <w:rFonts w:hint="eastAsia" w:ascii="仿宋" w:hAnsi="仿宋" w:eastAsia="仿宋" w:cs="仿宋"/>
          <w:highlight w:val="none"/>
        </w:rPr>
        <w:br w:type="page"/>
      </w:r>
    </w:p>
    <w:p w14:paraId="628E21F6">
      <w:pPr>
        <w:pStyle w:val="16"/>
        <w:pageBreakBefore w:val="0"/>
        <w:kinsoku/>
        <w:bidi w:val="0"/>
        <w:snapToGrid w:val="0"/>
        <w:spacing w:line="360" w:lineRule="auto"/>
        <w:ind w:left="0" w:leftChars="0" w:firstLine="0" w:firstLineChars="0"/>
        <w:rPr>
          <w:rFonts w:hint="eastAsia" w:ascii="仿宋" w:hAnsi="仿宋" w:eastAsia="仿宋" w:cs="仿宋"/>
          <w:sz w:val="36"/>
          <w:szCs w:val="36"/>
          <w:highlight w:val="none"/>
        </w:rPr>
      </w:pPr>
      <w:r>
        <w:rPr>
          <w:rFonts w:hint="eastAsia" w:ascii="仿宋" w:hAnsi="仿宋" w:eastAsia="仿宋" w:cs="仿宋"/>
          <w:sz w:val="36"/>
          <w:szCs w:val="36"/>
          <w:highlight w:val="none"/>
        </w:rPr>
        <w:t>附件：伙房</w:t>
      </w:r>
      <w:r>
        <w:rPr>
          <w:rFonts w:hint="eastAsia" w:ascii="仿宋" w:hAnsi="仿宋" w:eastAsia="仿宋" w:cs="仿宋"/>
          <w:sz w:val="36"/>
          <w:szCs w:val="36"/>
          <w:highlight w:val="none"/>
          <w:lang w:val="en-US" w:eastAsia="zh-CN"/>
        </w:rPr>
        <w:t>荤菜</w:t>
      </w:r>
      <w:r>
        <w:rPr>
          <w:rFonts w:hint="eastAsia" w:ascii="仿宋" w:hAnsi="仿宋" w:eastAsia="仿宋" w:cs="仿宋"/>
          <w:sz w:val="36"/>
          <w:szCs w:val="36"/>
          <w:highlight w:val="none"/>
        </w:rPr>
        <w:t>需求清单表 （</w:t>
      </w:r>
      <w:r>
        <w:rPr>
          <w:rFonts w:hint="eastAsia" w:ascii="仿宋" w:hAnsi="仿宋" w:eastAsia="仿宋" w:cs="仿宋"/>
          <w:sz w:val="36"/>
          <w:szCs w:val="36"/>
          <w:highlight w:val="none"/>
          <w:lang w:eastAsia="zh-CN"/>
        </w:rPr>
        <w:t>2025年1-3月</w:t>
      </w:r>
      <w:r>
        <w:rPr>
          <w:rFonts w:hint="eastAsia" w:ascii="仿宋" w:hAnsi="仿宋" w:eastAsia="仿宋" w:cs="仿宋"/>
          <w:sz w:val="36"/>
          <w:szCs w:val="36"/>
          <w:highlight w:val="none"/>
        </w:rPr>
        <w:t>）</w:t>
      </w:r>
    </w:p>
    <w:tbl>
      <w:tblPr>
        <w:tblStyle w:val="17"/>
        <w:tblW w:w="0" w:type="auto"/>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3"/>
        <w:gridCol w:w="904"/>
        <w:gridCol w:w="1586"/>
        <w:gridCol w:w="963"/>
        <w:gridCol w:w="835"/>
        <w:gridCol w:w="919"/>
        <w:gridCol w:w="3583"/>
      </w:tblGrid>
      <w:tr w14:paraId="1EDB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7448">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序号</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FFF7">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7F61">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规格型号</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7F85">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单位</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F321F">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预估数量</w:t>
            </w:r>
            <w:r>
              <w:rPr>
                <w:rFonts w:hint="eastAsia" w:ascii="仿宋" w:hAnsi="仿宋" w:eastAsia="仿宋" w:cs="仿宋"/>
                <w:b/>
                <w:i w:val="0"/>
                <w:color w:val="000000"/>
                <w:kern w:val="0"/>
                <w:sz w:val="21"/>
                <w:szCs w:val="21"/>
                <w:highlight w:val="none"/>
                <w:u w:val="none"/>
                <w:lang w:val="en-US" w:eastAsia="zh-CN" w:bidi="ar"/>
              </w:rPr>
              <w:br w:type="textWrapping"/>
            </w:r>
            <w:r>
              <w:rPr>
                <w:rFonts w:hint="eastAsia" w:ascii="仿宋" w:hAnsi="仿宋" w:eastAsia="仿宋" w:cs="仿宋"/>
                <w:b/>
                <w:i w:val="0"/>
                <w:color w:val="000000"/>
                <w:kern w:val="0"/>
                <w:sz w:val="21"/>
                <w:szCs w:val="21"/>
                <w:highlight w:val="none"/>
                <w:u w:val="none"/>
                <w:lang w:val="en-US" w:eastAsia="zh-CN" w:bidi="ar"/>
              </w:rPr>
              <w:t>(公斤)</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FE13">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品牌/产地</w:t>
            </w: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A0D6">
            <w:pPr>
              <w:keepNext w:val="0"/>
              <w:keepLines w:val="0"/>
              <w:widowControl/>
              <w:suppressLineNumbers w:val="0"/>
              <w:jc w:val="center"/>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备注</w:t>
            </w:r>
          </w:p>
        </w:tc>
      </w:tr>
      <w:tr w14:paraId="11EE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D75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766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鸭肫</w:t>
            </w:r>
          </w:p>
        </w:tc>
        <w:tc>
          <w:tcPr>
            <w:tcW w:w="15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A70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56E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2F6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AF53">
            <w:pPr>
              <w:jc w:val="center"/>
              <w:rPr>
                <w:rFonts w:hint="eastAsia" w:ascii="仿宋" w:hAnsi="仿宋" w:eastAsia="仿宋" w:cs="仿宋"/>
                <w:i w:val="0"/>
                <w:color w:val="000000"/>
                <w:sz w:val="21"/>
                <w:szCs w:val="21"/>
                <w:highlight w:val="none"/>
                <w:u w:val="none"/>
              </w:rPr>
            </w:pP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7D1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冷冻食品，提供产品合格证，动物检验检疫合格证。</w:t>
            </w:r>
          </w:p>
        </w:tc>
      </w:tr>
      <w:tr w14:paraId="21C4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683F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8EE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鸡肫</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CCA0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C56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91D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7475">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103A7">
            <w:pPr>
              <w:jc w:val="left"/>
              <w:rPr>
                <w:rFonts w:hint="eastAsia" w:ascii="仿宋" w:hAnsi="仿宋" w:eastAsia="仿宋" w:cs="仿宋"/>
                <w:i w:val="0"/>
                <w:color w:val="000000"/>
                <w:sz w:val="21"/>
                <w:szCs w:val="21"/>
                <w:highlight w:val="none"/>
                <w:u w:val="none"/>
              </w:rPr>
            </w:pPr>
          </w:p>
        </w:tc>
      </w:tr>
      <w:tr w14:paraId="05E1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1B6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6F9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牛肉</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B12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新鲜或冷冻、按要求切成块</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C698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8B41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880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DEC8">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6C551">
            <w:pPr>
              <w:jc w:val="left"/>
              <w:rPr>
                <w:rFonts w:hint="eastAsia" w:ascii="仿宋" w:hAnsi="仿宋" w:eastAsia="仿宋" w:cs="仿宋"/>
                <w:i w:val="0"/>
                <w:color w:val="000000"/>
                <w:sz w:val="21"/>
                <w:szCs w:val="21"/>
                <w:highlight w:val="none"/>
                <w:u w:val="none"/>
              </w:rPr>
            </w:pPr>
          </w:p>
        </w:tc>
      </w:tr>
      <w:tr w14:paraId="2458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C38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513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鲳鳊鱼</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341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0.35公斤左右/条</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0E75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4959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E850">
            <w:pPr>
              <w:jc w:val="center"/>
              <w:rPr>
                <w:rFonts w:hint="eastAsia" w:ascii="仿宋" w:hAnsi="仿宋" w:eastAsia="仿宋" w:cs="仿宋"/>
                <w:i w:val="0"/>
                <w:color w:val="000000"/>
                <w:sz w:val="21"/>
                <w:szCs w:val="21"/>
                <w:highlight w:val="none"/>
                <w:u w:val="none"/>
              </w:rPr>
            </w:pPr>
          </w:p>
        </w:tc>
        <w:tc>
          <w:tcPr>
            <w:tcW w:w="35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8B9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冷冻食品，提供食品合格证，动物检验检疫合格证，不注水，严禁边角料，不掺假。无腮、无鳞、无内脏</w:t>
            </w:r>
          </w:p>
        </w:tc>
      </w:tr>
      <w:tr w14:paraId="1840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3E0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65FF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青钻鱼</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DF4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0.3公斤及以上/条</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0CE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87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1700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D5A04">
            <w:pPr>
              <w:jc w:val="center"/>
              <w:rPr>
                <w:rFonts w:hint="eastAsia" w:ascii="仿宋" w:hAnsi="仿宋" w:eastAsia="仿宋" w:cs="仿宋"/>
                <w:i w:val="0"/>
                <w:color w:val="000000"/>
                <w:sz w:val="21"/>
                <w:szCs w:val="21"/>
                <w:highlight w:val="none"/>
                <w:u w:val="none"/>
              </w:rPr>
            </w:pPr>
          </w:p>
        </w:tc>
        <w:tc>
          <w:tcPr>
            <w:tcW w:w="35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79C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新鲜，外表滑而不粘，气味正常，去鳞片、去内脏、去腮等加工</w:t>
            </w:r>
          </w:p>
        </w:tc>
      </w:tr>
      <w:tr w14:paraId="16C9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909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4A1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猪板油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01A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新鲜或冷冻、按要求切成块</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541E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1559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AC511">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59A2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色泽光亮呈乳白色，肉质板实，无异味，产品符合国家食品行业相关标准，供货时提供当批次质检报告。配送时切块</w:t>
            </w:r>
          </w:p>
        </w:tc>
      </w:tr>
      <w:tr w14:paraId="2F0B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9A88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14C3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猪肝</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C5A2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新鲜或冷冻、按要求切成块</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9CD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342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3B375">
            <w:pPr>
              <w:jc w:val="center"/>
              <w:rPr>
                <w:rFonts w:hint="eastAsia" w:ascii="仿宋" w:hAnsi="仿宋" w:eastAsia="仿宋" w:cs="仿宋"/>
                <w:i w:val="0"/>
                <w:color w:val="000000"/>
                <w:sz w:val="21"/>
                <w:szCs w:val="21"/>
                <w:highlight w:val="none"/>
                <w:u w:val="none"/>
              </w:rPr>
            </w:pP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7CA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色泽新鲜，干净无杂质，无异味</w:t>
            </w:r>
          </w:p>
        </w:tc>
      </w:tr>
      <w:tr w14:paraId="5C47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39F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1DA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猪心</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B64E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新鲜或冷冻、按要求切成块</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AA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8A2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DB37">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8A44E">
            <w:pPr>
              <w:jc w:val="left"/>
              <w:rPr>
                <w:rFonts w:hint="eastAsia" w:ascii="仿宋" w:hAnsi="仿宋" w:eastAsia="仿宋" w:cs="仿宋"/>
                <w:i w:val="0"/>
                <w:color w:val="000000"/>
                <w:sz w:val="21"/>
                <w:szCs w:val="21"/>
                <w:highlight w:val="none"/>
                <w:u w:val="none"/>
              </w:rPr>
            </w:pPr>
          </w:p>
        </w:tc>
      </w:tr>
      <w:tr w14:paraId="3E50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B1D6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7CE9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香肠</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0217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43F6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57BB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5232">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FD18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腌制食品。产品标准符合GB2730-2005腌腊肉制品卫生标准。</w:t>
            </w:r>
          </w:p>
        </w:tc>
      </w:tr>
      <w:tr w14:paraId="0467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820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0D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白条鸡</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1CA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E79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A6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D5EE">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EEA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全净膛的肉食鸡。无死鸡、无冻鸡，无注水、泡水现象；眼球饱满，皮肤有光泽，呈淡黄色；肉有弹性，放手后指压的凹陷立即恢复；肚中无内脏和其它异物，具有正常鸡的味道，外表处理干净，微干或湿润。供货时提供当批次动物产品检疫合格证。</w:t>
            </w:r>
          </w:p>
        </w:tc>
      </w:tr>
      <w:tr w14:paraId="7D8C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585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11</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325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白条鸭</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755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7945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79D3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3A2C">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73C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冷冻食品。表皮光滑而有光泽、肉质弹性好且丰满、表皮无毛或少毛、无破皮、无花皮、无显眼淤块；无注水、肚内无一切内脏、无血水、无异味</w:t>
            </w:r>
          </w:p>
        </w:tc>
      </w:tr>
      <w:tr w14:paraId="5AED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ED68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3C5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猪肉蛋饺</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6811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91D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271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0F2C">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80F00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有品牌，有包装，有保质期，符合食品安全相关标准。</w:t>
            </w:r>
          </w:p>
        </w:tc>
      </w:tr>
      <w:tr w14:paraId="6AF9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63D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13</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C76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琵琶腿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FA1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冷冻食品、规格基本要一致</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641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2D62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792A">
            <w:pPr>
              <w:jc w:val="center"/>
              <w:rPr>
                <w:rFonts w:hint="eastAsia" w:ascii="仿宋" w:hAnsi="仿宋" w:eastAsia="仿宋" w:cs="仿宋"/>
                <w:i w:val="0"/>
                <w:color w:val="000000"/>
                <w:sz w:val="21"/>
                <w:szCs w:val="21"/>
                <w:highlight w:val="none"/>
                <w:u w:val="none"/>
              </w:rPr>
            </w:pP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FFB9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冷冻食品，提供产品合格证，动物检验检疫合格证。</w:t>
            </w:r>
          </w:p>
        </w:tc>
      </w:tr>
      <w:tr w14:paraId="6CA3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378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113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鸡脯肉</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0417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11B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DFAA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3BD1F">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2C45">
            <w:pPr>
              <w:jc w:val="left"/>
              <w:rPr>
                <w:rFonts w:hint="eastAsia" w:ascii="仿宋" w:hAnsi="仿宋" w:eastAsia="仿宋" w:cs="仿宋"/>
                <w:i w:val="0"/>
                <w:color w:val="000000"/>
                <w:sz w:val="21"/>
                <w:szCs w:val="21"/>
                <w:highlight w:val="none"/>
                <w:u w:val="none"/>
              </w:rPr>
            </w:pPr>
          </w:p>
        </w:tc>
      </w:tr>
      <w:tr w14:paraId="4143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72E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4FE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鸭脯肉</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14A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E32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421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DEF38">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0B38">
            <w:pPr>
              <w:jc w:val="left"/>
              <w:rPr>
                <w:rFonts w:hint="eastAsia" w:ascii="仿宋" w:hAnsi="仿宋" w:eastAsia="仿宋" w:cs="仿宋"/>
                <w:i w:val="0"/>
                <w:color w:val="000000"/>
                <w:sz w:val="21"/>
                <w:szCs w:val="21"/>
                <w:highlight w:val="none"/>
                <w:u w:val="none"/>
              </w:rPr>
            </w:pPr>
          </w:p>
        </w:tc>
      </w:tr>
      <w:tr w14:paraId="5520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488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16</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78AF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带骨上腿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6AFC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77B9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96C4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0649">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3879">
            <w:pPr>
              <w:jc w:val="left"/>
              <w:rPr>
                <w:rFonts w:hint="eastAsia" w:ascii="仿宋" w:hAnsi="仿宋" w:eastAsia="仿宋" w:cs="仿宋"/>
                <w:i w:val="0"/>
                <w:color w:val="000000"/>
                <w:sz w:val="21"/>
                <w:szCs w:val="21"/>
                <w:highlight w:val="none"/>
                <w:u w:val="none"/>
              </w:rPr>
            </w:pPr>
          </w:p>
        </w:tc>
      </w:tr>
      <w:tr w14:paraId="7A5D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EFBE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17</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47F8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咸鹅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D73E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腌制冷冻食品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5341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7278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1300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F58F">
            <w:pPr>
              <w:jc w:val="center"/>
              <w:rPr>
                <w:rFonts w:hint="eastAsia" w:ascii="仿宋" w:hAnsi="仿宋" w:eastAsia="仿宋" w:cs="仿宋"/>
                <w:i w:val="0"/>
                <w:color w:val="000000"/>
                <w:sz w:val="21"/>
                <w:szCs w:val="21"/>
                <w:highlight w:val="none"/>
                <w:u w:val="none"/>
              </w:rPr>
            </w:pPr>
          </w:p>
        </w:tc>
        <w:tc>
          <w:tcPr>
            <w:tcW w:w="358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F299D1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腌制食品。无破皮、无血斑、无油班、内脏掏净、表皮光滑无皮甲，肉色鲜艳、用手按鹅胸部比较硬，无注水</w:t>
            </w:r>
          </w:p>
        </w:tc>
      </w:tr>
      <w:tr w14:paraId="79A4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055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DA93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咸鸭</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6021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腌制冷冻食品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937E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2670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1300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D500">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8A10722">
            <w:pPr>
              <w:jc w:val="left"/>
              <w:rPr>
                <w:rFonts w:hint="eastAsia" w:ascii="仿宋" w:hAnsi="仿宋" w:eastAsia="仿宋" w:cs="仿宋"/>
                <w:i w:val="0"/>
                <w:color w:val="000000"/>
                <w:sz w:val="21"/>
                <w:szCs w:val="21"/>
                <w:highlight w:val="none"/>
                <w:u w:val="none"/>
              </w:rPr>
            </w:pPr>
          </w:p>
        </w:tc>
      </w:tr>
      <w:tr w14:paraId="6C0B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25E5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19</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85D6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咸鸡</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6C3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腌制冷冻食品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56F8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E5A6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1400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C2BCE">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620E54A">
            <w:pPr>
              <w:jc w:val="left"/>
              <w:rPr>
                <w:rFonts w:hint="eastAsia" w:ascii="仿宋" w:hAnsi="仿宋" w:eastAsia="仿宋" w:cs="仿宋"/>
                <w:i w:val="0"/>
                <w:color w:val="000000"/>
                <w:sz w:val="21"/>
                <w:szCs w:val="21"/>
                <w:highlight w:val="none"/>
                <w:u w:val="none"/>
              </w:rPr>
            </w:pPr>
          </w:p>
        </w:tc>
      </w:tr>
      <w:tr w14:paraId="3201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F18D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5B80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咸鸭边腿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E164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冷冻食品、规格基本要一致</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9145C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F37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67FD">
            <w:pPr>
              <w:jc w:val="center"/>
              <w:rPr>
                <w:rFonts w:hint="eastAsia" w:ascii="仿宋" w:hAnsi="仿宋" w:eastAsia="仿宋" w:cs="仿宋"/>
                <w:i w:val="0"/>
                <w:color w:val="000000"/>
                <w:sz w:val="21"/>
                <w:szCs w:val="21"/>
                <w:highlight w:val="none"/>
                <w:u w:val="none"/>
              </w:rPr>
            </w:pPr>
          </w:p>
        </w:tc>
        <w:tc>
          <w:tcPr>
            <w:tcW w:w="3583"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2F3B22B0">
            <w:pPr>
              <w:jc w:val="left"/>
              <w:rPr>
                <w:rFonts w:hint="eastAsia" w:ascii="仿宋" w:hAnsi="仿宋" w:eastAsia="仿宋" w:cs="仿宋"/>
                <w:i w:val="0"/>
                <w:color w:val="000000"/>
                <w:sz w:val="21"/>
                <w:szCs w:val="21"/>
                <w:highlight w:val="none"/>
                <w:u w:val="none"/>
              </w:rPr>
            </w:pPr>
          </w:p>
        </w:tc>
      </w:tr>
      <w:tr w14:paraId="7D94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0D7A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21</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D68D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半片鸭</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AC26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冷冻食品、规格基本要一致</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7E8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1EA3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5979">
            <w:pPr>
              <w:jc w:val="center"/>
              <w:rPr>
                <w:rFonts w:hint="eastAsia" w:ascii="仿宋" w:hAnsi="仿宋" w:eastAsia="仿宋" w:cs="仿宋"/>
                <w:i w:val="0"/>
                <w:color w:val="000000"/>
                <w:sz w:val="21"/>
                <w:szCs w:val="21"/>
                <w:highlight w:val="none"/>
                <w:u w:val="none"/>
              </w:rPr>
            </w:pP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72F1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冷冻食品，提供产品合格证，动物检验检疫合格证。</w:t>
            </w:r>
          </w:p>
        </w:tc>
      </w:tr>
      <w:tr w14:paraId="486B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BA21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C886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鸭边腿</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BC9F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冷冻食品、规格基本要一致</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D1381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6EB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E88F">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4A020">
            <w:pPr>
              <w:jc w:val="left"/>
              <w:rPr>
                <w:rFonts w:hint="eastAsia" w:ascii="仿宋" w:hAnsi="仿宋" w:eastAsia="仿宋" w:cs="仿宋"/>
                <w:i w:val="0"/>
                <w:color w:val="000000"/>
                <w:sz w:val="21"/>
                <w:szCs w:val="21"/>
                <w:highlight w:val="none"/>
                <w:u w:val="none"/>
              </w:rPr>
            </w:pPr>
          </w:p>
        </w:tc>
      </w:tr>
      <w:tr w14:paraId="58F2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4AED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9E92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鸡排腿（参考鸡胗）</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484F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冷冻食品、规格基本要一致</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13B2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596A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550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BEAC">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86C58">
            <w:pPr>
              <w:jc w:val="left"/>
              <w:rPr>
                <w:rFonts w:hint="eastAsia" w:ascii="仿宋" w:hAnsi="仿宋" w:eastAsia="仿宋" w:cs="仿宋"/>
                <w:i w:val="0"/>
                <w:color w:val="000000"/>
                <w:sz w:val="21"/>
                <w:szCs w:val="21"/>
                <w:highlight w:val="none"/>
                <w:u w:val="none"/>
              </w:rPr>
            </w:pPr>
          </w:p>
        </w:tc>
      </w:tr>
      <w:tr w14:paraId="036D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EF4E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450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虾仁</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FA1B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90DC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944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ABF7">
            <w:pPr>
              <w:jc w:val="center"/>
              <w:rPr>
                <w:rFonts w:hint="eastAsia" w:ascii="仿宋" w:hAnsi="仿宋" w:eastAsia="仿宋" w:cs="仿宋"/>
                <w:i w:val="0"/>
                <w:color w:val="000000"/>
                <w:sz w:val="21"/>
                <w:szCs w:val="21"/>
                <w:highlight w:val="none"/>
                <w:u w:val="none"/>
              </w:rPr>
            </w:pP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26941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冷冻食品，提供产品合格证，动物检验检疫合格证。</w:t>
            </w:r>
          </w:p>
        </w:tc>
      </w:tr>
      <w:tr w14:paraId="1E98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62A9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25</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A47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基围虾</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C76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冷冻食品</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C4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公斤</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D1E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200</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55FCC">
            <w:pPr>
              <w:jc w:val="center"/>
              <w:rPr>
                <w:rFonts w:hint="eastAsia" w:ascii="仿宋" w:hAnsi="仿宋" w:eastAsia="仿宋" w:cs="仿宋"/>
                <w:i w:val="0"/>
                <w:color w:val="000000"/>
                <w:sz w:val="21"/>
                <w:szCs w:val="21"/>
                <w:highlight w:val="none"/>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737E43">
            <w:pPr>
              <w:jc w:val="left"/>
              <w:rPr>
                <w:rFonts w:hint="eastAsia" w:ascii="仿宋" w:hAnsi="仿宋" w:eastAsia="仿宋" w:cs="仿宋"/>
                <w:i w:val="0"/>
                <w:color w:val="000000"/>
                <w:sz w:val="21"/>
                <w:szCs w:val="21"/>
                <w:highlight w:val="none"/>
                <w:u w:val="none"/>
              </w:rPr>
            </w:pPr>
          </w:p>
        </w:tc>
      </w:tr>
      <w:tr w14:paraId="3F02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60C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26</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7955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肴肉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E12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FDAA3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250克/袋</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5789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1500袋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6FB2F">
            <w:pPr>
              <w:jc w:val="center"/>
              <w:rPr>
                <w:rFonts w:hint="eastAsia" w:ascii="仿宋" w:hAnsi="仿宋" w:eastAsia="仿宋" w:cs="仿宋"/>
                <w:i w:val="0"/>
                <w:color w:val="000000"/>
                <w:sz w:val="21"/>
                <w:szCs w:val="21"/>
                <w:highlight w:val="none"/>
                <w:u w:val="none"/>
              </w:rPr>
            </w:pPr>
          </w:p>
        </w:tc>
        <w:tc>
          <w:tcPr>
            <w:tcW w:w="3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C32F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切片或条，可以直接食用，无泄漏、有质量保证</w:t>
            </w:r>
          </w:p>
        </w:tc>
      </w:tr>
      <w:tr w14:paraId="107E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665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27</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4230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猪口条</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D199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927C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150克/袋</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8D1D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1500袋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7A11">
            <w:pPr>
              <w:jc w:val="center"/>
              <w:rPr>
                <w:rFonts w:hint="eastAsia" w:ascii="仿宋" w:hAnsi="仿宋" w:eastAsia="仿宋" w:cs="仿宋"/>
                <w:i w:val="0"/>
                <w:color w:val="000000"/>
                <w:sz w:val="21"/>
                <w:szCs w:val="21"/>
                <w:highlight w:val="none"/>
                <w:u w:val="none"/>
              </w:rPr>
            </w:pPr>
          </w:p>
        </w:tc>
        <w:tc>
          <w:tcPr>
            <w:tcW w:w="3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A92A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切片或条，可以直接食用，无泄漏、有质量保证</w:t>
            </w:r>
          </w:p>
        </w:tc>
      </w:tr>
      <w:tr w14:paraId="4EF9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BA6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36FE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鹅肫</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821FC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E08A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150克/袋</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3517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7453C">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528F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切片或条，可以直接食用，无泄漏、有质量保证（回民）</w:t>
            </w:r>
          </w:p>
        </w:tc>
      </w:tr>
      <w:tr w14:paraId="6D2E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C38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C2D0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干切牛肉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79C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2D14E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250克/袋</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4B3D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3275">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B65FA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切片或条，可以直接食用，无泄漏、有质量保证（回民）</w:t>
            </w:r>
          </w:p>
        </w:tc>
      </w:tr>
      <w:tr w14:paraId="1E3F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302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711F9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熏鱼</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135C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B9B4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150克/袋</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B367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F25A">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70A9D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切片或条，可以直接食用，无泄漏、有质量保证（回民）</w:t>
            </w:r>
          </w:p>
        </w:tc>
      </w:tr>
      <w:tr w14:paraId="6F4E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1871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31</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7838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猪耳朵</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6B0F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319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150克/袋</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4212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3100袋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B4D8">
            <w:pPr>
              <w:jc w:val="center"/>
              <w:rPr>
                <w:rFonts w:hint="eastAsia" w:ascii="仿宋" w:hAnsi="仿宋" w:eastAsia="仿宋" w:cs="仿宋"/>
                <w:i w:val="0"/>
                <w:color w:val="000000"/>
                <w:sz w:val="21"/>
                <w:szCs w:val="21"/>
                <w:highlight w:val="none"/>
                <w:u w:val="none"/>
              </w:rPr>
            </w:pPr>
          </w:p>
        </w:tc>
        <w:tc>
          <w:tcPr>
            <w:tcW w:w="35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2E2E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切片或条，可以直接食用，无泄漏、有质量保证</w:t>
            </w:r>
          </w:p>
        </w:tc>
      </w:tr>
      <w:tr w14:paraId="538E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624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32</w:t>
            </w:r>
          </w:p>
        </w:tc>
        <w:tc>
          <w:tcPr>
            <w:tcW w:w="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4408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白切鸡</w:t>
            </w:r>
          </w:p>
        </w:tc>
        <w:tc>
          <w:tcPr>
            <w:tcW w:w="1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8EE9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真空包装</w:t>
            </w:r>
          </w:p>
        </w:tc>
        <w:tc>
          <w:tcPr>
            <w:tcW w:w="9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D3E7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270克/袋</w:t>
            </w:r>
          </w:p>
        </w:tc>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3A35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C2301">
            <w:pPr>
              <w:jc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14:paraId="4617E05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切片或条，可以直接食用，无泄漏、有质量保证（回民）</w:t>
            </w:r>
          </w:p>
        </w:tc>
      </w:tr>
      <w:tr w14:paraId="598A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C64E">
            <w:pPr>
              <w:jc w:val="center"/>
              <w:rPr>
                <w:rFonts w:hint="eastAsia" w:ascii="仿宋" w:hAnsi="仿宋" w:eastAsia="仿宋" w:cs="仿宋"/>
                <w:i w:val="0"/>
                <w:color w:val="000000"/>
                <w:sz w:val="21"/>
                <w:szCs w:val="21"/>
                <w:highlight w:val="none"/>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019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合计</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883C">
            <w:pPr>
              <w:jc w:val="center"/>
              <w:rPr>
                <w:rFonts w:hint="eastAsia" w:ascii="仿宋" w:hAnsi="仿宋" w:eastAsia="仿宋" w:cs="仿宋"/>
                <w:i w:val="0"/>
                <w:color w:val="000000"/>
                <w:sz w:val="21"/>
                <w:szCs w:val="21"/>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F503">
            <w:pPr>
              <w:jc w:val="center"/>
              <w:rPr>
                <w:rFonts w:hint="eastAsia" w:ascii="仿宋" w:hAnsi="仿宋" w:eastAsia="仿宋" w:cs="仿宋"/>
                <w:i w:val="0"/>
                <w:color w:val="000000"/>
                <w:sz w:val="21"/>
                <w:szCs w:val="21"/>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5AA1D">
            <w:pPr>
              <w:jc w:val="center"/>
              <w:rPr>
                <w:rFonts w:hint="eastAsia" w:ascii="仿宋" w:hAnsi="仿宋" w:eastAsia="仿宋" w:cs="仿宋"/>
                <w:i w:val="0"/>
                <w:color w:val="000000"/>
                <w:sz w:val="21"/>
                <w:szCs w:val="21"/>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237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F4C6E">
            <w:pPr>
              <w:jc w:val="left"/>
              <w:rPr>
                <w:rFonts w:hint="eastAsia" w:ascii="仿宋" w:hAnsi="仿宋" w:eastAsia="仿宋" w:cs="仿宋"/>
                <w:i w:val="0"/>
                <w:color w:val="000000"/>
                <w:sz w:val="21"/>
                <w:szCs w:val="21"/>
                <w:highlight w:val="none"/>
                <w:u w:val="none"/>
              </w:rPr>
            </w:pPr>
          </w:p>
        </w:tc>
      </w:tr>
    </w:tbl>
    <w:p w14:paraId="538E953F">
      <w:pPr>
        <w:autoSpaceDE w:val="0"/>
        <w:autoSpaceDN w:val="0"/>
        <w:adjustRightInd w:val="0"/>
        <w:spacing w:line="360" w:lineRule="auto"/>
        <w:ind w:firstLine="420" w:firstLineChars="200"/>
        <w:jc w:val="center"/>
        <w:outlineLvl w:val="1"/>
        <w:rPr>
          <w:rFonts w:hint="eastAsia" w:ascii="宋体" w:hAnsi="宋体" w:eastAsia="宋体" w:cs="宋体"/>
          <w:b/>
          <w:color w:val="auto"/>
          <w:kern w:val="0"/>
          <w:szCs w:val="22"/>
          <w:highlight w:val="none"/>
        </w:rPr>
      </w:pPr>
      <w:r>
        <w:rPr>
          <w:rFonts w:hint="eastAsia" w:ascii="仿宋" w:hAnsi="仿宋" w:eastAsia="仿宋" w:cs="仿宋"/>
          <w:highlight w:val="none"/>
          <w:lang w:eastAsia="zh-CN"/>
        </w:rPr>
        <w:br w:type="column"/>
      </w:r>
      <w:r>
        <w:rPr>
          <w:rStyle w:val="33"/>
          <w:rFonts w:hint="eastAsia" w:ascii="宋体" w:hAnsi="宋体" w:eastAsia="宋体" w:cs="宋体"/>
          <w:color w:val="auto"/>
          <w:highlight w:val="none"/>
        </w:rPr>
        <w:t>附件：关于开标方式的说明</w:t>
      </w:r>
    </w:p>
    <w:p w14:paraId="45B66189">
      <w:pPr>
        <w:spacing w:line="360" w:lineRule="auto"/>
        <w:ind w:firstLine="422" w:firstLineChars="200"/>
        <w:rPr>
          <w:rFonts w:hint="eastAsia" w:ascii="宋体" w:hAnsi="宋体" w:eastAsia="宋体" w:cs="宋体"/>
          <w:b/>
          <w:bCs/>
          <w:color w:val="auto"/>
          <w:szCs w:val="21"/>
          <w:highlight w:val="none"/>
        </w:rPr>
      </w:pPr>
    </w:p>
    <w:p w14:paraId="42D2C34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shd w:val="clear" w:color="auto" w:fill="FFFFFF"/>
        </w:rPr>
        <w:t>开标采用“腾讯会议”远程开标。</w:t>
      </w:r>
      <w:r>
        <w:rPr>
          <w:rFonts w:hint="eastAsia" w:ascii="宋体" w:hAnsi="宋体" w:eastAsia="宋体" w:cs="宋体"/>
          <w:color w:val="auto"/>
          <w:szCs w:val="21"/>
          <w:highlight w:val="none"/>
        </w:rPr>
        <w:t>会议号：4329344209，密码：000000，请各投标人授权代表提前下载“腾讯会议”，并在开标前（投标截止时间前）进入会议室。将姓名设置为“投标单位名称＋授权代表姓名”。</w:t>
      </w:r>
    </w:p>
    <w:p w14:paraId="693F1AA7">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示例：输入会议号操作如下：打开客户端后，点击“加入会议”→输入会议号、您的姓名→点击“加入会议”（详见下方流程截图）</w:t>
      </w:r>
    </w:p>
    <w:p w14:paraId="39E940D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2"/>
          <w:highlight w:val="none"/>
        </w:rPr>
        <mc:AlternateContent>
          <mc:Choice Requires="wps">
            <w:drawing>
              <wp:anchor distT="0" distB="0" distL="114300" distR="114300" simplePos="0" relativeHeight="251667456" behindDoc="0" locked="0" layoutInCell="1" allowOverlap="1">
                <wp:simplePos x="0" y="0"/>
                <wp:positionH relativeFrom="column">
                  <wp:posOffset>2839085</wp:posOffset>
                </wp:positionH>
                <wp:positionV relativeFrom="paragraph">
                  <wp:posOffset>548005</wp:posOffset>
                </wp:positionV>
                <wp:extent cx="990600" cy="160020"/>
                <wp:effectExtent l="4445" t="4445" r="14605" b="6985"/>
                <wp:wrapNone/>
                <wp:docPr id="15" name="矩形 13"/>
                <wp:cNvGraphicFramePr/>
                <a:graphic xmlns:a="http://schemas.openxmlformats.org/drawingml/2006/main">
                  <a:graphicData uri="http://schemas.microsoft.com/office/word/2010/wordprocessingShape">
                    <wps:wsp>
                      <wps:cNvSpPr/>
                      <wps:spPr>
                        <a:xfrm>
                          <a:off x="0" y="0"/>
                          <a:ext cx="990600" cy="160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90F3225">
                            <w:pPr>
                              <w:ind w:firstLine="420" w:firstLineChars="200"/>
                              <w:rPr>
                                <w:rFonts w:eastAsia="宋体" w:cs="Times New Roman"/>
                                <w:szCs w:val="22"/>
                              </w:rPr>
                            </w:pPr>
                          </w:p>
                        </w:txbxContent>
                      </wps:txbx>
                      <wps:bodyPr upright="1"/>
                    </wps:wsp>
                  </a:graphicData>
                </a:graphic>
              </wp:anchor>
            </w:drawing>
          </mc:Choice>
          <mc:Fallback>
            <w:pict>
              <v:rect id="矩形 13" o:spid="_x0000_s1026" o:spt="1" style="position:absolute;left:0pt;margin-left:223.55pt;margin-top:43.15pt;height:12.6pt;width:78pt;z-index:251667456;mso-width-relative:page;mso-height-relative:page;" fillcolor="#FFFFFF" filled="t" stroked="t" coordsize="21600,21600" o:gfxdata="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&#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X6KG2AAAAAoBAAAPAAAAAAAAAAEAIAAAACIAAABk&#10;cnMvZG93bnJldi54bWxQSwECFAAUAAAACACHTuJAlaTLkwYCAAA4BAAADgAAAAAAAAABACAAAAAn&#10;AQAAZHJzL2Uyb0RvYy54bWxQSwUGAAAAAAYABgBZAQAAnwUAAAAA&#10;">
                <v:fill on="t" focussize="0,0"/>
                <v:stroke color="#000000" joinstyle="miter"/>
                <v:imagedata o:title=""/>
                <o:lock v:ext="edit" aspectratio="f"/>
                <v:textbox>
                  <w:txbxContent>
                    <w:p w14:paraId="690F3225">
                      <w:pPr>
                        <w:ind w:firstLine="420" w:firstLineChars="200"/>
                        <w:rPr>
                          <w:rFonts w:eastAsia="宋体" w:cs="Times New Roman"/>
                          <w:szCs w:val="22"/>
                        </w:rPr>
                      </w:pPr>
                    </w:p>
                  </w:txbxContent>
                </v:textbox>
              </v:rect>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695325</wp:posOffset>
                </wp:positionH>
                <wp:positionV relativeFrom="paragraph">
                  <wp:posOffset>1147445</wp:posOffset>
                </wp:positionV>
                <wp:extent cx="510540" cy="205740"/>
                <wp:effectExtent l="74930" t="0" r="100330" b="15875"/>
                <wp:wrapNone/>
                <wp:docPr id="10" name="左箭头 8"/>
                <wp:cNvGraphicFramePr/>
                <a:graphic xmlns:a="http://schemas.openxmlformats.org/drawingml/2006/main">
                  <a:graphicData uri="http://schemas.microsoft.com/office/word/2010/wordprocessingShape">
                    <wps:wsp>
                      <wps:cNvSpPr/>
                      <wps:spPr>
                        <a:xfrm rot="3480000">
                          <a:off x="2237105" y="3778885"/>
                          <a:ext cx="510540" cy="205740"/>
                        </a:xfrm>
                        <a:prstGeom prst="leftArrow">
                          <a:avLst/>
                        </a:prstGeom>
                        <a:noFill/>
                        <a:ln w="12700" cap="flat" cmpd="sng" algn="ctr">
                          <a:solidFill>
                            <a:srgbClr val="FF0000"/>
                          </a:solidFill>
                          <a:prstDash val="solid"/>
                          <a:miter lim="800000"/>
                        </a:ln>
                        <a:effectLst/>
                      </wps:spPr>
                      <wps:txbx>
                        <w:txbxContent>
                          <w:p w14:paraId="69B96C0F">
                            <w:pPr>
                              <w:ind w:firstLine="420" w:firstLineChars="200"/>
                              <w:rPr>
                                <w:rFonts w:eastAsia="宋体" w:cs="Times New Roman"/>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8" o:spid="_x0000_s1026" o:spt="66" type="#_x0000_t66" style="position:absolute;left:0pt;margin-left:54.75pt;margin-top:90.35pt;height:16.2pt;width:40.2pt;rotation:3801088f;z-index:251664384;v-text-anchor:middle;mso-width-relative:page;mso-height-relative:page;" filled="f" stroked="t" coordsize="21600,21600" o:gfxdata="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AXCtAtoA&#10;AAALAQAADwAAAAAAAAABACAAAAAiAAAAZHJzL2Rvd25yZXYueG1sUEsBAhQAFAAAAAgAh07iQCDh&#10;3A2PAgAABgUAAA4AAAAAAAAAAQAgAAAAKQEAAGRycy9lMm9Eb2MueG1sUEsFBgAAAAAGAAYAWQEA&#10;ACoGAAAAAA==&#10;" adj="4352,5400">
                <v:fill on="f" focussize="0,0"/>
                <v:stroke weight="1pt" color="#FF0000" miterlimit="8" joinstyle="miter"/>
                <v:imagedata o:title=""/>
                <o:lock v:ext="edit" aspectratio="f"/>
                <v:textbox>
                  <w:txbxContent>
                    <w:p w14:paraId="69B96C0F">
                      <w:pPr>
                        <w:ind w:firstLine="420" w:firstLineChars="200"/>
                        <w:rPr>
                          <w:rFonts w:eastAsia="宋体" w:cs="Times New Roman"/>
                          <w:szCs w:val="22"/>
                        </w:rPr>
                      </w:pP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347345</wp:posOffset>
                </wp:positionH>
                <wp:positionV relativeFrom="paragraph">
                  <wp:posOffset>379730</wp:posOffset>
                </wp:positionV>
                <wp:extent cx="510540" cy="617855"/>
                <wp:effectExtent l="6350" t="6350" r="16510" b="23495"/>
                <wp:wrapNone/>
                <wp:docPr id="11" name="矩形 9"/>
                <wp:cNvGraphicFramePr/>
                <a:graphic xmlns:a="http://schemas.openxmlformats.org/drawingml/2006/main">
                  <a:graphicData uri="http://schemas.microsoft.com/office/word/2010/wordprocessingShape">
                    <wps:wsp>
                      <wps:cNvSpPr/>
                      <wps:spPr>
                        <a:xfrm>
                          <a:off x="1505585" y="2285365"/>
                          <a:ext cx="1021080" cy="1203960"/>
                        </a:xfrm>
                        <a:prstGeom prst="rect">
                          <a:avLst/>
                        </a:prstGeom>
                        <a:noFill/>
                        <a:ln w="12700" cap="flat" cmpd="sng" algn="ctr">
                          <a:solidFill>
                            <a:srgbClr val="FF0000"/>
                          </a:solidFill>
                          <a:prstDash val="solid"/>
                          <a:miter lim="800000"/>
                        </a:ln>
                        <a:effectLst/>
                      </wps:spPr>
                      <wps:txbx>
                        <w:txbxContent>
                          <w:p w14:paraId="1307B88D">
                            <w:pPr>
                              <w:ind w:firstLine="420" w:firstLineChars="200"/>
                              <w:rPr>
                                <w:rFonts w:eastAsia="宋体" w:cs="Times New Roman"/>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9" o:spid="_x0000_s1026" o:spt="1" style="position:absolute;left:0pt;margin-left:27.35pt;margin-top:29.9pt;height:48.65pt;width:40.2pt;z-index:251664384;v-text-anchor:middle;mso-width-relative:page;mso-height-relative:page;" filled="f" stroked="t" coordsize="21600,21600" o:gfxdata="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VMG91AAAAAkBAAAPAAAAAAAAAAEA&#10;IAAAACIAAABkcnMvZG93bnJldi54bWxQSwECFAAUAAAACACHTuJAZkoL4YUCAADyBAAADgAAAAAA&#10;AAABACAAAAAjAQAAZHJzL2Uyb0RvYy54bWxQSwUGAAAAAAYABgBZAQAAGgYAAAAA&#10;">
                <v:fill on="f" focussize="0,0"/>
                <v:stroke weight="1pt" color="#FF0000" miterlimit="8" joinstyle="miter"/>
                <v:imagedata o:title=""/>
                <o:lock v:ext="edit" aspectratio="f"/>
                <v:textbox>
                  <w:txbxContent>
                    <w:p w14:paraId="1307B88D">
                      <w:pPr>
                        <w:ind w:firstLine="420" w:firstLineChars="200"/>
                        <w:rPr>
                          <w:rFonts w:eastAsia="宋体" w:cs="Times New Roman"/>
                          <w:szCs w:val="22"/>
                        </w:rPr>
                      </w:pPr>
                    </w:p>
                  </w:txbxContent>
                </v:textbox>
              </v:rect>
            </w:pict>
          </mc:Fallback>
        </mc:AlternateContent>
      </w:r>
      <w:r>
        <w:rPr>
          <w:rFonts w:hint="eastAsia" w:ascii="宋体" w:hAnsi="宋体" w:eastAsia="宋体" w:cs="宋体"/>
          <w:color w:val="auto"/>
          <w:szCs w:val="21"/>
          <w:highlight w:val="none"/>
        </w:rPr>
        <w:drawing>
          <wp:inline distT="0" distB="0" distL="0" distR="0">
            <wp:extent cx="2042795" cy="3206115"/>
            <wp:effectExtent l="0" t="0" r="1460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srcRect t="8675"/>
                    <a:stretch>
                      <a:fillRect/>
                    </a:stretch>
                  </pic:blipFill>
                  <pic:spPr>
                    <a:xfrm>
                      <a:off x="0" y="0"/>
                      <a:ext cx="2042795" cy="3206115"/>
                    </a:xfrm>
                    <a:prstGeom prst="rect">
                      <a:avLst/>
                    </a:prstGeom>
                    <a:noFill/>
                    <a:ln w="9525">
                      <a:noFill/>
                      <a:miter lim="800000"/>
                      <a:headEnd/>
                      <a:tailEnd/>
                    </a:ln>
                  </pic:spPr>
                </pic:pic>
              </a:graphicData>
            </a:graphic>
          </wp:inline>
        </w:drawing>
      </w:r>
      <w:r>
        <w:rPr>
          <w:rFonts w:hint="eastAsia" w:ascii="宋体" w:hAnsi="宋体" w:eastAsia="宋体" w:cs="宋体"/>
          <w:color w:val="auto"/>
          <w:szCs w:val="21"/>
          <w:highlight w:val="none"/>
        </w:rPr>
        <w:drawing>
          <wp:inline distT="0" distB="0" distL="0" distR="0">
            <wp:extent cx="1745615" cy="3170555"/>
            <wp:effectExtent l="0" t="0" r="6985" b="10795"/>
            <wp:docPr id="5" name="图片 5" descr="IMG_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148"/>
                    <pic:cNvPicPr>
                      <a:picLocks noChangeAspect="1" noChangeArrowheads="1"/>
                    </pic:cNvPicPr>
                  </pic:nvPicPr>
                  <pic:blipFill>
                    <a:blip r:embed="rId17"/>
                    <a:srcRect t="8188" b="8188"/>
                    <a:stretch>
                      <a:fillRect/>
                    </a:stretch>
                  </pic:blipFill>
                  <pic:spPr>
                    <a:xfrm>
                      <a:off x="0" y="0"/>
                      <a:ext cx="1745615" cy="3170555"/>
                    </a:xfrm>
                    <a:prstGeom prst="rect">
                      <a:avLst/>
                    </a:prstGeom>
                    <a:noFill/>
                    <a:ln w="9525">
                      <a:noFill/>
                      <a:miter lim="800000"/>
                      <a:headEnd/>
                      <a:tailEnd/>
                    </a:ln>
                  </pic:spPr>
                </pic:pic>
              </a:graphicData>
            </a:graphic>
          </wp:inline>
        </w:drawing>
      </w:r>
    </w:p>
    <w:p w14:paraId="04E189B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1.为了维持开标秩序，请进入会议室的相关人员应主动关闭音频，开标会开始后按主持人要求进行操作。如投标单位进入在线开标会议室的人员非本项目授权代表，允许其参加在线开标但其须默认开标结果。</w:t>
      </w:r>
    </w:p>
    <w:p w14:paraId="6D37CCC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2.至本项目投标截止时间止，未成功进入会议室的，视为默认开标结果。</w:t>
      </w:r>
    </w:p>
    <w:p w14:paraId="4DABA89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3.唱标结束后主持人将询问各投标人对开标过程及结果有无</w:t>
      </w:r>
      <w:r>
        <w:rPr>
          <w:rFonts w:hint="eastAsia" w:ascii="宋体" w:hAnsi="宋体" w:eastAsia="宋体" w:cs="宋体"/>
          <w:color w:val="auto"/>
          <w:szCs w:val="22"/>
          <w:highlight w:val="none"/>
        </w:rPr>
        <w:t>疑义</w:t>
      </w:r>
      <w:r>
        <w:rPr>
          <w:rFonts w:hint="eastAsia" w:ascii="宋体" w:hAnsi="宋体" w:eastAsia="宋体" w:cs="宋体"/>
          <w:color w:val="auto"/>
          <w:szCs w:val="21"/>
          <w:highlight w:val="none"/>
        </w:rPr>
        <w:t>。如无</w:t>
      </w:r>
      <w:r>
        <w:rPr>
          <w:rFonts w:hint="eastAsia" w:ascii="宋体" w:hAnsi="宋体" w:eastAsia="宋体" w:cs="宋体"/>
          <w:color w:val="auto"/>
          <w:szCs w:val="22"/>
          <w:highlight w:val="none"/>
        </w:rPr>
        <w:t>疑义</w:t>
      </w:r>
      <w:r>
        <w:rPr>
          <w:rFonts w:hint="eastAsia" w:ascii="宋体" w:hAnsi="宋体" w:eastAsia="宋体" w:cs="宋体"/>
          <w:color w:val="auto"/>
          <w:szCs w:val="21"/>
          <w:highlight w:val="none"/>
        </w:rPr>
        <w:t>请各投标人在聊天界面输入“XXX单位对开标过程及结果无</w:t>
      </w:r>
      <w:r>
        <w:rPr>
          <w:rFonts w:hint="eastAsia" w:ascii="宋体" w:hAnsi="宋体" w:eastAsia="宋体" w:cs="宋体"/>
          <w:color w:val="auto"/>
          <w:szCs w:val="22"/>
          <w:highlight w:val="none"/>
        </w:rPr>
        <w:t>疑义</w:t>
      </w:r>
      <w:r>
        <w:rPr>
          <w:rFonts w:hint="eastAsia" w:ascii="宋体" w:hAnsi="宋体" w:eastAsia="宋体" w:cs="宋体"/>
          <w:color w:val="auto"/>
          <w:szCs w:val="21"/>
          <w:highlight w:val="none"/>
        </w:rPr>
        <w:t>”。如投标人法定代表人或授权代理人未能及时对开标记录进行确认，视同其已认可本次开标记录。</w:t>
      </w:r>
    </w:p>
    <w:p w14:paraId="5F889704">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示例：</w:t>
      </w:r>
    </w:p>
    <w:p w14:paraId="0E71D6DD">
      <w:pPr>
        <w:spacing w:line="360" w:lineRule="auto"/>
        <w:ind w:firstLine="424" w:firstLineChars="2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drawing>
          <wp:inline distT="0" distB="0" distL="0" distR="0">
            <wp:extent cx="1793240" cy="2458085"/>
            <wp:effectExtent l="0" t="0" r="16510" b="18415"/>
            <wp:docPr id="7" name="图片 7" descr="IMG_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145"/>
                    <pic:cNvPicPr>
                      <a:picLocks noChangeAspect="1" noChangeArrowheads="1"/>
                    </pic:cNvPicPr>
                  </pic:nvPicPr>
                  <pic:blipFill>
                    <a:blip r:embed="rId18"/>
                    <a:srcRect t="36507"/>
                    <a:stretch>
                      <a:fillRect/>
                    </a:stretch>
                  </pic:blipFill>
                  <pic:spPr>
                    <a:xfrm>
                      <a:off x="0" y="0"/>
                      <a:ext cx="1793240" cy="2458085"/>
                    </a:xfrm>
                    <a:prstGeom prst="rect">
                      <a:avLst/>
                    </a:prstGeom>
                    <a:noFill/>
                    <a:ln w="9525">
                      <a:noFill/>
                      <a:miter lim="800000"/>
                      <a:headEnd/>
                      <a:tailEnd/>
                    </a:ln>
                  </pic:spPr>
                </pic:pic>
              </a:graphicData>
            </a:graphic>
          </wp:inline>
        </w:drawing>
      </w:r>
      <w:r>
        <w:rPr>
          <w:rFonts w:hint="eastAsia" w:ascii="宋体" w:hAnsi="宋体" w:eastAsia="宋体" w:cs="宋体"/>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3932555</wp:posOffset>
                </wp:positionH>
                <wp:positionV relativeFrom="paragraph">
                  <wp:posOffset>676275</wp:posOffset>
                </wp:positionV>
                <wp:extent cx="463550" cy="151765"/>
                <wp:effectExtent l="95250" t="0" r="76835" b="0"/>
                <wp:wrapNone/>
                <wp:docPr id="8" name="右箭头 6"/>
                <wp:cNvGraphicFramePr/>
                <a:graphic xmlns:a="http://schemas.openxmlformats.org/drawingml/2006/main">
                  <a:graphicData uri="http://schemas.microsoft.com/office/word/2010/wordprocessingShape">
                    <wps:wsp>
                      <wps:cNvSpPr/>
                      <wps:spPr>
                        <a:xfrm rot="-3300000">
                          <a:off x="0" y="0"/>
                          <a:ext cx="463550" cy="151765"/>
                        </a:xfrm>
                        <a:prstGeom prst="rightArrow">
                          <a:avLst>
                            <a:gd name="adj1" fmla="val 50000"/>
                            <a:gd name="adj2" fmla="val 76359"/>
                          </a:avLst>
                        </a:prstGeom>
                        <a:noFill/>
                        <a:ln w="9525" cap="flat" cmpd="sng">
                          <a:solidFill>
                            <a:srgbClr val="FF0000"/>
                          </a:solidFill>
                          <a:prstDash val="solid"/>
                          <a:miter/>
                          <a:headEnd type="none" w="med" len="med"/>
                          <a:tailEnd type="none" w="med" len="med"/>
                        </a:ln>
                        <a:effectLst/>
                      </wps:spPr>
                      <wps:txbx>
                        <w:txbxContent>
                          <w:p w14:paraId="036135C4">
                            <w:pPr>
                              <w:ind w:firstLine="420" w:firstLineChars="200"/>
                              <w:rPr>
                                <w:rFonts w:eastAsia="宋体" w:cs="Times New Roman"/>
                                <w:szCs w:val="22"/>
                              </w:rPr>
                            </w:pPr>
                          </w:p>
                        </w:txbxContent>
                      </wps:txbx>
                      <wps:bodyPr upright="1"/>
                    </wps:wsp>
                  </a:graphicData>
                </a:graphic>
              </wp:anchor>
            </w:drawing>
          </mc:Choice>
          <mc:Fallback>
            <w:pict>
              <v:shape id="右箭头 6" o:spid="_x0000_s1026" o:spt="13" type="#_x0000_t13" style="position:absolute;left:0pt;margin-left:309.65pt;margin-top:53.25pt;height:11.95pt;width:36.5pt;rotation:-3604480f;z-index:251666432;mso-width-relative:page;mso-height-relative:page;" filled="f" stroked="t" coordsize="21600,21600" o:gfxdata="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4+bptgAAAALAQAADwAAAAAAAAABACAAAAAiAAAAZHJzL2Rvd25y&#10;ZXYueG1sUEsBAhQAFAAAAAgAh07iQCLvHDw3AgAAdgQAAA4AAAAAAAAAAQAgAAAAJwEAAGRycy9l&#10;Mm9Eb2MueG1sUEsFBgAAAAAGAAYAWQEAANAFAAAAAA==&#10;" adj="16201,5400">
                <v:fill on="f" focussize="0,0"/>
                <v:stroke color="#FF0000" joinstyle="miter"/>
                <v:imagedata o:title=""/>
                <o:lock v:ext="edit" aspectratio="f"/>
                <v:textbox>
                  <w:txbxContent>
                    <w:p w14:paraId="036135C4">
                      <w:pPr>
                        <w:ind w:firstLine="420" w:firstLineChars="200"/>
                        <w:rPr>
                          <w:rFonts w:eastAsia="宋体" w:cs="Times New Roman"/>
                          <w:szCs w:val="22"/>
                        </w:rPr>
                      </w:pP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1524635</wp:posOffset>
                </wp:positionH>
                <wp:positionV relativeFrom="paragraph">
                  <wp:posOffset>2017395</wp:posOffset>
                </wp:positionV>
                <wp:extent cx="463550" cy="151765"/>
                <wp:effectExtent l="109220" t="0" r="81915" b="0"/>
                <wp:wrapNone/>
                <wp:docPr id="12" name="右箭头 10"/>
                <wp:cNvGraphicFramePr/>
                <a:graphic xmlns:a="http://schemas.openxmlformats.org/drawingml/2006/main">
                  <a:graphicData uri="http://schemas.microsoft.com/office/word/2010/wordprocessingShape">
                    <wps:wsp>
                      <wps:cNvSpPr/>
                      <wps:spPr>
                        <a:xfrm rot="3000000">
                          <a:off x="0" y="0"/>
                          <a:ext cx="463550" cy="151765"/>
                        </a:xfrm>
                        <a:prstGeom prst="rightArrow">
                          <a:avLst>
                            <a:gd name="adj1" fmla="val 50000"/>
                            <a:gd name="adj2" fmla="val 76359"/>
                          </a:avLst>
                        </a:prstGeom>
                        <a:noFill/>
                        <a:ln w="9525" cap="flat" cmpd="sng">
                          <a:solidFill>
                            <a:srgbClr val="FF0000"/>
                          </a:solidFill>
                          <a:prstDash val="solid"/>
                          <a:miter/>
                          <a:headEnd type="none" w="med" len="med"/>
                          <a:tailEnd type="none" w="med" len="med"/>
                        </a:ln>
                        <a:effectLst/>
                      </wps:spPr>
                      <wps:txbx>
                        <w:txbxContent>
                          <w:p w14:paraId="09D33CE7">
                            <w:pPr>
                              <w:ind w:firstLine="420" w:firstLineChars="200"/>
                              <w:rPr>
                                <w:rFonts w:eastAsia="宋体" w:cs="Times New Roman"/>
                                <w:szCs w:val="22"/>
                              </w:rPr>
                            </w:pPr>
                          </w:p>
                        </w:txbxContent>
                      </wps:txbx>
                      <wps:bodyPr upright="1"/>
                    </wps:wsp>
                  </a:graphicData>
                </a:graphic>
              </wp:anchor>
            </w:drawing>
          </mc:Choice>
          <mc:Fallback>
            <w:pict>
              <v:shape id="右箭头 10" o:spid="_x0000_s1026" o:spt="13" type="#_x0000_t13" style="position:absolute;left:0pt;margin-left:120.05pt;margin-top:158.85pt;height:11.95pt;width:36.5pt;rotation:3276800f;z-index:251665408;mso-width-relative:page;mso-height-relative:page;" filled="f" stroked="t" coordsize="21600,21600" o:gfxdata="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tI6x2wAAAAsBAAAPAAAAAAAAAAEAIAAAACIAAABkcnMvZG93&#10;bnJldi54bWxQSwECFAAUAAAACACHTuJAdoFX4TYCAAB3BAAADgAAAAAAAAABACAAAAAqAQAAZHJz&#10;L2Uyb0RvYy54bWxQSwUGAAAAAAYABgBZAQAA0gUAAAAA&#10;" adj="16201,5400">
                <v:fill on="f" focussize="0,0"/>
                <v:stroke color="#FF0000" joinstyle="miter"/>
                <v:imagedata o:title=""/>
                <o:lock v:ext="edit" aspectratio="f"/>
                <v:textbox>
                  <w:txbxContent>
                    <w:p w14:paraId="09D33CE7">
                      <w:pPr>
                        <w:ind w:firstLine="420" w:firstLineChars="200"/>
                        <w:rPr>
                          <w:rFonts w:eastAsia="宋体" w:cs="Times New Roman"/>
                          <w:szCs w:val="22"/>
                        </w:rPr>
                      </w:pPr>
                    </w:p>
                  </w:txbxContent>
                </v:textbox>
              </v:shape>
            </w:pict>
          </mc:Fallback>
        </mc:AlternateContent>
      </w:r>
      <w:r>
        <w:rPr>
          <w:rFonts w:hint="eastAsia" w:ascii="宋体" w:hAnsi="宋体" w:eastAsia="宋体" w:cs="宋体"/>
          <w:color w:val="auto"/>
          <w:szCs w:val="21"/>
          <w:highlight w:val="none"/>
        </w:rPr>
        <w:drawing>
          <wp:inline distT="0" distB="0" distL="0" distR="0">
            <wp:extent cx="1650365" cy="2683510"/>
            <wp:effectExtent l="0" t="0" r="6985" b="2540"/>
            <wp:docPr id="9" name="图片 9" descr="IMG_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1146"/>
                    <pic:cNvPicPr>
                      <a:picLocks noChangeAspect="1" noChangeArrowheads="1"/>
                    </pic:cNvPicPr>
                  </pic:nvPicPr>
                  <pic:blipFill>
                    <a:blip r:embed="rId19"/>
                    <a:srcRect t="6006" b="18843"/>
                    <a:stretch>
                      <a:fillRect/>
                    </a:stretch>
                  </pic:blipFill>
                  <pic:spPr>
                    <a:xfrm>
                      <a:off x="0" y="0"/>
                      <a:ext cx="1650365" cy="2683510"/>
                    </a:xfrm>
                    <a:prstGeom prst="rect">
                      <a:avLst/>
                    </a:prstGeom>
                    <a:noFill/>
                    <a:ln w="9525">
                      <a:noFill/>
                      <a:miter lim="800000"/>
                      <a:headEnd/>
                      <a:tailEnd/>
                    </a:ln>
                  </pic:spPr>
                </pic:pic>
              </a:graphicData>
            </a:graphic>
          </wp:inline>
        </w:drawing>
      </w:r>
    </w:p>
    <w:p w14:paraId="464DAD4E">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4.该会议室仅作本项目不见面开标及方便投标人在线观看开标过程使用。主持人宣布开标流程结束后，本群不作他用。如有其它事宜，请联系代理机构。</w:t>
      </w:r>
    </w:p>
    <w:p w14:paraId="75E3AE31">
      <w:pPr>
        <w:widowControl w:val="0"/>
        <w:spacing w:line="360" w:lineRule="auto"/>
        <w:ind w:firstLine="0" w:firstLineChars="0"/>
        <w:jc w:val="left"/>
        <w:rPr>
          <w:rFonts w:hint="eastAsia" w:ascii="宋体" w:hAnsi="宋体" w:eastAsia="宋体" w:cs="宋体"/>
          <w:color w:val="auto"/>
          <w:kern w:val="2"/>
          <w:sz w:val="24"/>
          <w:szCs w:val="22"/>
          <w:highlight w:val="none"/>
          <w:lang w:val="en-US" w:eastAsia="zh-CN" w:bidi="ar-SA"/>
        </w:rPr>
      </w:pPr>
    </w:p>
    <w:p w14:paraId="353B0F80">
      <w:pPr>
        <w:snapToGrid w:val="0"/>
        <w:spacing w:line="360" w:lineRule="auto"/>
        <w:ind w:firstLine="420" w:firstLineChars="200"/>
        <w:rPr>
          <w:rFonts w:hint="eastAsia" w:ascii="宋体" w:hAnsi="宋体" w:eastAsia="宋体" w:cs="宋体"/>
          <w:color w:val="auto"/>
          <w:kern w:val="0"/>
          <w:szCs w:val="22"/>
          <w:highlight w:val="none"/>
        </w:rPr>
      </w:pPr>
    </w:p>
    <w:p w14:paraId="0CC012B6">
      <w:pPr>
        <w:snapToGrid w:val="0"/>
        <w:spacing w:line="360" w:lineRule="auto"/>
        <w:ind w:firstLine="420" w:firstLineChars="200"/>
        <w:rPr>
          <w:rFonts w:hint="eastAsia" w:ascii="宋体" w:hAnsi="宋体" w:eastAsia="宋体" w:cs="宋体"/>
          <w:color w:val="auto"/>
          <w:kern w:val="0"/>
          <w:szCs w:val="22"/>
          <w:highlight w:val="none"/>
        </w:rPr>
      </w:pPr>
    </w:p>
    <w:p w14:paraId="36FB2D09">
      <w:pPr>
        <w:snapToGrid w:val="0"/>
        <w:spacing w:line="360" w:lineRule="auto"/>
        <w:ind w:firstLine="0" w:firstLineChars="0"/>
        <w:rPr>
          <w:rFonts w:hint="eastAsia" w:ascii="宋体" w:hAnsi="宋体" w:eastAsia="宋体" w:cs="宋体"/>
          <w:color w:val="auto"/>
          <w:kern w:val="0"/>
          <w:szCs w:val="22"/>
          <w:highlight w:val="none"/>
        </w:rPr>
      </w:pPr>
    </w:p>
    <w:p w14:paraId="71D16F9C">
      <w:pPr>
        <w:pStyle w:val="16"/>
        <w:pageBreakBefore w:val="0"/>
        <w:kinsoku/>
        <w:bidi w:val="0"/>
        <w:snapToGrid w:val="0"/>
        <w:spacing w:line="360" w:lineRule="auto"/>
        <w:ind w:left="0" w:leftChars="0" w:firstLine="0" w:firstLineChars="0"/>
        <w:rPr>
          <w:rFonts w:hint="eastAsia" w:ascii="仿宋" w:hAnsi="仿宋" w:eastAsia="仿宋" w:cs="仿宋"/>
          <w:highlight w:val="none"/>
          <w:lang w:eastAsia="zh-CN"/>
        </w:rPr>
      </w:pPr>
    </w:p>
    <w:p w14:paraId="375B4D08">
      <w:pPr>
        <w:pStyle w:val="16"/>
        <w:pageBreakBefore w:val="0"/>
        <w:kinsoku/>
        <w:bidi w:val="0"/>
        <w:snapToGrid w:val="0"/>
        <w:spacing w:line="360" w:lineRule="auto"/>
        <w:ind w:left="0" w:leftChars="0" w:firstLine="0" w:firstLineChars="0"/>
        <w:rPr>
          <w:rFonts w:hint="eastAsia" w:ascii="仿宋" w:hAnsi="仿宋" w:eastAsia="仿宋" w:cs="仿宋"/>
          <w:highlight w:val="none"/>
          <w:lang w:eastAsia="zh-CN"/>
        </w:rPr>
      </w:pPr>
    </w:p>
    <w:sectPr>
      <w:headerReference r:id="rId13" w:type="default"/>
      <w:footerReference r:id="rId14" w:type="default"/>
      <w:pgSz w:w="11906" w:h="16838"/>
      <w:pgMar w:top="1157" w:right="1463" w:bottom="110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D1F3D">
    <w:pPr>
      <w:widowControl/>
      <w:kinsoku w:val="0"/>
      <w:autoSpaceDE w:val="0"/>
      <w:autoSpaceDN w:val="0"/>
      <w:adjustRightInd w:val="0"/>
      <w:snapToGrid w:val="0"/>
      <w:spacing w:line="196" w:lineRule="auto"/>
      <w:ind w:left="4732"/>
      <w:jc w:val="left"/>
      <w:textAlignment w:val="baseline"/>
      <w:rPr>
        <w:rFonts w:eastAsia="Times New Roman"/>
        <w:snapToGrid w:val="0"/>
        <w:color w:val="000000"/>
        <w:kern w:val="0"/>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557991">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14:paraId="4A557991">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D7C5">
    <w:pPr>
      <w:widowControl/>
      <w:kinsoku w:val="0"/>
      <w:autoSpaceDE w:val="0"/>
      <w:autoSpaceDN w:val="0"/>
      <w:adjustRightInd w:val="0"/>
      <w:snapToGrid w:val="0"/>
      <w:spacing w:line="196" w:lineRule="auto"/>
      <w:ind w:left="4737"/>
      <w:jc w:val="left"/>
      <w:textAlignment w:val="baseline"/>
      <w:rPr>
        <w:rFonts w:ascii="Times New Roman" w:hAnsi="Times New Roman" w:eastAsia="Times New Roman" w:cs="Times New Roman"/>
        <w:snapToGrid w:val="0"/>
        <w:color w:val="000000"/>
        <w:kern w:val="0"/>
        <w:sz w:val="17"/>
        <w:szCs w:val="17"/>
      </w:rPr>
    </w:pPr>
    <w:r>
      <w:rPr>
        <w:rFonts w:ascii="Arial" w:hAnsi="Arial" w:eastAsia="Arial" w:cs="Arial"/>
        <w:snapToGrid w:val="0"/>
        <w:color w:val="000000"/>
        <w:kern w:val="0"/>
        <w:sz w:val="17"/>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07624">
                          <w:pPr>
                            <w:widowControl w:val="0"/>
                            <w:tabs>
                              <w:tab w:val="center" w:pos="4153"/>
                              <w:tab w:val="right" w:pos="8306"/>
                            </w:tabs>
                            <w:kinsoku w:val="0"/>
                            <w:autoSpaceDE w:val="0"/>
                            <w:autoSpaceDN w:val="0"/>
                            <w:adjustRightInd w:val="0"/>
                            <w:snapToGrid w:val="0"/>
                            <w:spacing w:line="360" w:lineRule="auto"/>
                            <w:ind w:firstLine="360" w:firstLineChars="200"/>
                            <w:textAlignment w:val="baseline"/>
                            <w:rPr>
                              <w:rFonts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napToGrid w:val="0"/>
                              <w:color w:val="000000"/>
                              <w:kern w:val="2"/>
                              <w:sz w:val="18"/>
                              <w:szCs w:val="18"/>
                              <w:lang w:val="en-US" w:eastAsia="zh-CN" w:bidi="ar-SA"/>
                            </w:rPr>
                            <w:fldChar w:fldCharType="begin"/>
                          </w:r>
                          <w:r>
                            <w:rPr>
                              <w:rFonts w:hint="eastAsia" w:ascii="Times New Roman" w:hAnsi="Times New Roman" w:eastAsia="宋体" w:cs="Times New Roman"/>
                              <w:snapToGrid w:val="0"/>
                              <w:color w:val="000000"/>
                              <w:kern w:val="2"/>
                              <w:sz w:val="18"/>
                              <w:szCs w:val="18"/>
                              <w:lang w:val="en-US" w:eastAsia="zh-CN" w:bidi="ar-SA"/>
                            </w:rPr>
                            <w:instrText xml:space="preserve"> PAGE  \* MERGEFORMAT </w:instrText>
                          </w:r>
                          <w:r>
                            <w:rPr>
                              <w:rFonts w:hint="eastAsia" w:ascii="Times New Roman" w:hAnsi="Times New Roman" w:eastAsia="宋体" w:cs="Times New Roman"/>
                              <w:snapToGrid w:val="0"/>
                              <w:color w:val="000000"/>
                              <w:kern w:val="2"/>
                              <w:sz w:val="18"/>
                              <w:szCs w:val="18"/>
                              <w:lang w:val="en-US" w:eastAsia="zh-CN" w:bidi="ar-SA"/>
                            </w:rPr>
                            <w:fldChar w:fldCharType="separate"/>
                          </w:r>
                          <w:r>
                            <w:rPr>
                              <w:rFonts w:ascii="Times New Roman" w:hAnsi="Times New Roman" w:eastAsia="宋体" w:cs="Times New Roman"/>
                              <w:snapToGrid w:val="0"/>
                              <w:color w:val="000000"/>
                              <w:kern w:val="2"/>
                              <w:sz w:val="18"/>
                              <w:szCs w:val="18"/>
                              <w:lang w:val="en-US" w:eastAsia="zh-CN" w:bidi="ar-SA"/>
                            </w:rPr>
                            <w:t>45</w:t>
                          </w:r>
                          <w:r>
                            <w:rPr>
                              <w:rFonts w:hint="eastAsia" w:ascii="Times New Roman" w:hAnsi="Times New Roman" w:eastAsia="宋体" w:cs="Times New Roman"/>
                              <w:snapToGrid w:val="0"/>
                              <w:color w:val="000000"/>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9F07624">
                    <w:pPr>
                      <w:widowControl w:val="0"/>
                      <w:tabs>
                        <w:tab w:val="center" w:pos="4153"/>
                        <w:tab w:val="right" w:pos="8306"/>
                      </w:tabs>
                      <w:kinsoku w:val="0"/>
                      <w:autoSpaceDE w:val="0"/>
                      <w:autoSpaceDN w:val="0"/>
                      <w:adjustRightInd w:val="0"/>
                      <w:snapToGrid w:val="0"/>
                      <w:spacing w:line="360" w:lineRule="auto"/>
                      <w:ind w:firstLine="360" w:firstLineChars="200"/>
                      <w:textAlignment w:val="baseline"/>
                      <w:rPr>
                        <w:rFonts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napToGrid w:val="0"/>
                        <w:color w:val="000000"/>
                        <w:kern w:val="2"/>
                        <w:sz w:val="18"/>
                        <w:szCs w:val="18"/>
                        <w:lang w:val="en-US" w:eastAsia="zh-CN" w:bidi="ar-SA"/>
                      </w:rPr>
                      <w:fldChar w:fldCharType="begin"/>
                    </w:r>
                    <w:r>
                      <w:rPr>
                        <w:rFonts w:hint="eastAsia" w:ascii="Times New Roman" w:hAnsi="Times New Roman" w:eastAsia="宋体" w:cs="Times New Roman"/>
                        <w:snapToGrid w:val="0"/>
                        <w:color w:val="000000"/>
                        <w:kern w:val="2"/>
                        <w:sz w:val="18"/>
                        <w:szCs w:val="18"/>
                        <w:lang w:val="en-US" w:eastAsia="zh-CN" w:bidi="ar-SA"/>
                      </w:rPr>
                      <w:instrText xml:space="preserve"> PAGE  \* MERGEFORMAT </w:instrText>
                    </w:r>
                    <w:r>
                      <w:rPr>
                        <w:rFonts w:hint="eastAsia" w:ascii="Times New Roman" w:hAnsi="Times New Roman" w:eastAsia="宋体" w:cs="Times New Roman"/>
                        <w:snapToGrid w:val="0"/>
                        <w:color w:val="000000"/>
                        <w:kern w:val="2"/>
                        <w:sz w:val="18"/>
                        <w:szCs w:val="18"/>
                        <w:lang w:val="en-US" w:eastAsia="zh-CN" w:bidi="ar-SA"/>
                      </w:rPr>
                      <w:fldChar w:fldCharType="separate"/>
                    </w:r>
                    <w:r>
                      <w:rPr>
                        <w:rFonts w:ascii="Times New Roman" w:hAnsi="Times New Roman" w:eastAsia="宋体" w:cs="Times New Roman"/>
                        <w:snapToGrid w:val="0"/>
                        <w:color w:val="000000"/>
                        <w:kern w:val="2"/>
                        <w:sz w:val="18"/>
                        <w:szCs w:val="18"/>
                        <w:lang w:val="en-US" w:eastAsia="zh-CN" w:bidi="ar-SA"/>
                      </w:rPr>
                      <w:t>45</w:t>
                    </w:r>
                    <w:r>
                      <w:rPr>
                        <w:rFonts w:hint="eastAsia" w:ascii="Times New Roman" w:hAnsi="Times New Roman" w:eastAsia="宋体" w:cs="Times New Roman"/>
                        <w:snapToGrid w:val="0"/>
                        <w:color w:val="000000"/>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BF59">
    <w:pPr>
      <w:widowControl/>
      <w:kinsoku w:val="0"/>
      <w:autoSpaceDE w:val="0"/>
      <w:autoSpaceDN w:val="0"/>
      <w:adjustRightInd w:val="0"/>
      <w:snapToGrid w:val="0"/>
      <w:spacing w:line="196" w:lineRule="auto"/>
      <w:ind w:left="4850"/>
      <w:jc w:val="left"/>
      <w:textAlignment w:val="baseline"/>
      <w:rPr>
        <w:rFonts w:ascii="Times New Roman" w:hAnsi="Times New Roman" w:eastAsia="Times New Roman" w:cs="Times New Roman"/>
        <w:snapToGrid w:val="0"/>
        <w:color w:val="000000"/>
        <w:kern w:val="0"/>
        <w:sz w:val="17"/>
        <w:szCs w:val="17"/>
      </w:rPr>
    </w:pPr>
    <w:r>
      <w:rPr>
        <w:rFonts w:ascii="Arial" w:hAnsi="Arial" w:eastAsia="Arial" w:cs="Arial"/>
        <w:snapToGrid w:val="0"/>
        <w:color w:val="000000"/>
        <w:kern w:val="0"/>
        <w:sz w:val="17"/>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20EAA">
                          <w:pPr>
                            <w:widowControl w:val="0"/>
                            <w:tabs>
                              <w:tab w:val="center" w:pos="4153"/>
                              <w:tab w:val="right" w:pos="8306"/>
                            </w:tabs>
                            <w:kinsoku w:val="0"/>
                            <w:autoSpaceDE w:val="0"/>
                            <w:autoSpaceDN w:val="0"/>
                            <w:adjustRightInd w:val="0"/>
                            <w:snapToGrid w:val="0"/>
                            <w:spacing w:line="360" w:lineRule="auto"/>
                            <w:ind w:firstLine="360" w:firstLineChars="200"/>
                            <w:textAlignment w:val="baseline"/>
                            <w:rPr>
                              <w:rFonts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napToGrid w:val="0"/>
                              <w:color w:val="000000"/>
                              <w:kern w:val="2"/>
                              <w:sz w:val="18"/>
                              <w:szCs w:val="18"/>
                              <w:lang w:val="en-US" w:eastAsia="zh-CN" w:bidi="ar-SA"/>
                            </w:rPr>
                            <w:fldChar w:fldCharType="begin"/>
                          </w:r>
                          <w:r>
                            <w:rPr>
                              <w:rFonts w:hint="eastAsia" w:ascii="Times New Roman" w:hAnsi="Times New Roman" w:eastAsia="宋体" w:cs="Times New Roman"/>
                              <w:snapToGrid w:val="0"/>
                              <w:color w:val="000000"/>
                              <w:kern w:val="2"/>
                              <w:sz w:val="18"/>
                              <w:szCs w:val="18"/>
                              <w:lang w:val="en-US" w:eastAsia="zh-CN" w:bidi="ar-SA"/>
                            </w:rPr>
                            <w:instrText xml:space="preserve"> PAGE  \* MERGEFORMAT </w:instrText>
                          </w:r>
                          <w:r>
                            <w:rPr>
                              <w:rFonts w:hint="eastAsia" w:ascii="Times New Roman" w:hAnsi="Times New Roman" w:eastAsia="宋体" w:cs="Times New Roman"/>
                              <w:snapToGrid w:val="0"/>
                              <w:color w:val="000000"/>
                              <w:kern w:val="2"/>
                              <w:sz w:val="18"/>
                              <w:szCs w:val="18"/>
                              <w:lang w:val="en-US" w:eastAsia="zh-CN" w:bidi="ar-SA"/>
                            </w:rPr>
                            <w:fldChar w:fldCharType="separate"/>
                          </w:r>
                          <w:r>
                            <w:rPr>
                              <w:rFonts w:ascii="Times New Roman" w:hAnsi="Times New Roman" w:eastAsia="宋体" w:cs="Times New Roman"/>
                              <w:snapToGrid w:val="0"/>
                              <w:color w:val="000000"/>
                              <w:kern w:val="2"/>
                              <w:sz w:val="18"/>
                              <w:szCs w:val="18"/>
                              <w:lang w:val="en-US" w:eastAsia="zh-CN" w:bidi="ar-SA"/>
                            </w:rPr>
                            <w:t>47</w:t>
                          </w:r>
                          <w:r>
                            <w:rPr>
                              <w:rFonts w:hint="eastAsia" w:ascii="Times New Roman" w:hAnsi="Times New Roman" w:eastAsia="宋体" w:cs="Times New Roman"/>
                              <w:snapToGrid w:val="0"/>
                              <w:color w:val="000000"/>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5FD20EAA">
                    <w:pPr>
                      <w:widowControl w:val="0"/>
                      <w:tabs>
                        <w:tab w:val="center" w:pos="4153"/>
                        <w:tab w:val="right" w:pos="8306"/>
                      </w:tabs>
                      <w:kinsoku w:val="0"/>
                      <w:autoSpaceDE w:val="0"/>
                      <w:autoSpaceDN w:val="0"/>
                      <w:adjustRightInd w:val="0"/>
                      <w:snapToGrid w:val="0"/>
                      <w:spacing w:line="360" w:lineRule="auto"/>
                      <w:ind w:firstLine="360" w:firstLineChars="200"/>
                      <w:textAlignment w:val="baseline"/>
                      <w:rPr>
                        <w:rFonts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napToGrid w:val="0"/>
                        <w:color w:val="000000"/>
                        <w:kern w:val="2"/>
                        <w:sz w:val="18"/>
                        <w:szCs w:val="18"/>
                        <w:lang w:val="en-US" w:eastAsia="zh-CN" w:bidi="ar-SA"/>
                      </w:rPr>
                      <w:fldChar w:fldCharType="begin"/>
                    </w:r>
                    <w:r>
                      <w:rPr>
                        <w:rFonts w:hint="eastAsia" w:ascii="Times New Roman" w:hAnsi="Times New Roman" w:eastAsia="宋体" w:cs="Times New Roman"/>
                        <w:snapToGrid w:val="0"/>
                        <w:color w:val="000000"/>
                        <w:kern w:val="2"/>
                        <w:sz w:val="18"/>
                        <w:szCs w:val="18"/>
                        <w:lang w:val="en-US" w:eastAsia="zh-CN" w:bidi="ar-SA"/>
                      </w:rPr>
                      <w:instrText xml:space="preserve"> PAGE  \* MERGEFORMAT </w:instrText>
                    </w:r>
                    <w:r>
                      <w:rPr>
                        <w:rFonts w:hint="eastAsia" w:ascii="Times New Roman" w:hAnsi="Times New Roman" w:eastAsia="宋体" w:cs="Times New Roman"/>
                        <w:snapToGrid w:val="0"/>
                        <w:color w:val="000000"/>
                        <w:kern w:val="2"/>
                        <w:sz w:val="18"/>
                        <w:szCs w:val="18"/>
                        <w:lang w:val="en-US" w:eastAsia="zh-CN" w:bidi="ar-SA"/>
                      </w:rPr>
                      <w:fldChar w:fldCharType="separate"/>
                    </w:r>
                    <w:r>
                      <w:rPr>
                        <w:rFonts w:ascii="Times New Roman" w:hAnsi="Times New Roman" w:eastAsia="宋体" w:cs="Times New Roman"/>
                        <w:snapToGrid w:val="0"/>
                        <w:color w:val="000000"/>
                        <w:kern w:val="2"/>
                        <w:sz w:val="18"/>
                        <w:szCs w:val="18"/>
                        <w:lang w:val="en-US" w:eastAsia="zh-CN" w:bidi="ar-SA"/>
                      </w:rPr>
                      <w:t>47</w:t>
                    </w:r>
                    <w:r>
                      <w:rPr>
                        <w:rFonts w:hint="eastAsia" w:ascii="Times New Roman" w:hAnsi="Times New Roman" w:eastAsia="宋体" w:cs="Times New Roman"/>
                        <w:snapToGrid w:val="0"/>
                        <w:color w:val="000000"/>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3D3C">
    <w:pPr>
      <w:widowControl/>
      <w:kinsoku w:val="0"/>
      <w:autoSpaceDE w:val="0"/>
      <w:autoSpaceDN w:val="0"/>
      <w:adjustRightInd w:val="0"/>
      <w:snapToGrid w:val="0"/>
      <w:spacing w:line="193" w:lineRule="auto"/>
      <w:ind w:left="4737"/>
      <w:jc w:val="left"/>
      <w:textAlignment w:val="baseline"/>
      <w:rPr>
        <w:rFonts w:ascii="Times New Roman" w:hAnsi="Times New Roman" w:eastAsia="Times New Roman" w:cs="Times New Roman"/>
        <w:snapToGrid w:val="0"/>
        <w:color w:val="000000"/>
        <w:kern w:val="0"/>
        <w:sz w:val="17"/>
        <w:szCs w:val="17"/>
      </w:rPr>
    </w:pPr>
    <w:r>
      <w:rPr>
        <w:rFonts w:ascii="Arial" w:hAnsi="Arial" w:eastAsia="Arial" w:cs="Arial"/>
        <w:snapToGrid w:val="0"/>
        <w:color w:val="000000"/>
        <w:kern w:val="0"/>
        <w:sz w:val="17"/>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384B9">
                          <w:pPr>
                            <w:widowControl w:val="0"/>
                            <w:tabs>
                              <w:tab w:val="center" w:pos="4153"/>
                              <w:tab w:val="right" w:pos="8306"/>
                            </w:tabs>
                            <w:kinsoku w:val="0"/>
                            <w:autoSpaceDE w:val="0"/>
                            <w:autoSpaceDN w:val="0"/>
                            <w:adjustRightInd w:val="0"/>
                            <w:snapToGrid w:val="0"/>
                            <w:spacing w:line="360" w:lineRule="auto"/>
                            <w:ind w:firstLine="360" w:firstLineChars="200"/>
                            <w:textAlignment w:val="baseline"/>
                            <w:rPr>
                              <w:rFonts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napToGrid w:val="0"/>
                              <w:color w:val="000000"/>
                              <w:kern w:val="2"/>
                              <w:sz w:val="18"/>
                              <w:szCs w:val="18"/>
                              <w:lang w:val="en-US" w:eastAsia="zh-CN" w:bidi="ar-SA"/>
                            </w:rPr>
                            <w:fldChar w:fldCharType="begin"/>
                          </w:r>
                          <w:r>
                            <w:rPr>
                              <w:rFonts w:hint="eastAsia" w:ascii="Times New Roman" w:hAnsi="Times New Roman" w:eastAsia="宋体" w:cs="Times New Roman"/>
                              <w:snapToGrid w:val="0"/>
                              <w:color w:val="000000"/>
                              <w:kern w:val="2"/>
                              <w:sz w:val="18"/>
                              <w:szCs w:val="18"/>
                              <w:lang w:val="en-US" w:eastAsia="zh-CN" w:bidi="ar-SA"/>
                            </w:rPr>
                            <w:instrText xml:space="preserve"> PAGE  \* MERGEFORMAT </w:instrText>
                          </w:r>
                          <w:r>
                            <w:rPr>
                              <w:rFonts w:hint="eastAsia" w:ascii="Times New Roman" w:hAnsi="Times New Roman" w:eastAsia="宋体" w:cs="Times New Roman"/>
                              <w:snapToGrid w:val="0"/>
                              <w:color w:val="000000"/>
                              <w:kern w:val="2"/>
                              <w:sz w:val="18"/>
                              <w:szCs w:val="18"/>
                              <w:lang w:val="en-US" w:eastAsia="zh-CN" w:bidi="ar-SA"/>
                            </w:rPr>
                            <w:fldChar w:fldCharType="separate"/>
                          </w:r>
                          <w:r>
                            <w:rPr>
                              <w:rFonts w:ascii="Times New Roman" w:hAnsi="Times New Roman" w:eastAsia="宋体" w:cs="Times New Roman"/>
                              <w:snapToGrid w:val="0"/>
                              <w:color w:val="000000"/>
                              <w:kern w:val="2"/>
                              <w:sz w:val="18"/>
                              <w:szCs w:val="18"/>
                              <w:lang w:val="en-US" w:eastAsia="zh-CN" w:bidi="ar-SA"/>
                            </w:rPr>
                            <w:t>48</w:t>
                          </w:r>
                          <w:r>
                            <w:rPr>
                              <w:rFonts w:hint="eastAsia" w:ascii="Times New Roman" w:hAnsi="Times New Roman" w:eastAsia="宋体" w:cs="Times New Roman"/>
                              <w:snapToGrid w:val="0"/>
                              <w:color w:val="000000"/>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389384B9">
                    <w:pPr>
                      <w:widowControl w:val="0"/>
                      <w:tabs>
                        <w:tab w:val="center" w:pos="4153"/>
                        <w:tab w:val="right" w:pos="8306"/>
                      </w:tabs>
                      <w:kinsoku w:val="0"/>
                      <w:autoSpaceDE w:val="0"/>
                      <w:autoSpaceDN w:val="0"/>
                      <w:adjustRightInd w:val="0"/>
                      <w:snapToGrid w:val="0"/>
                      <w:spacing w:line="360" w:lineRule="auto"/>
                      <w:ind w:firstLine="360" w:firstLineChars="200"/>
                      <w:textAlignment w:val="baseline"/>
                      <w:rPr>
                        <w:rFonts w:ascii="Times New Roman" w:hAnsi="Times New Roman" w:eastAsia="宋体" w:cs="Times New Roman"/>
                        <w:snapToGrid w:val="0"/>
                        <w:color w:val="000000"/>
                        <w:kern w:val="2"/>
                        <w:sz w:val="18"/>
                        <w:szCs w:val="18"/>
                        <w:lang w:val="en-US" w:eastAsia="zh-CN" w:bidi="ar-SA"/>
                      </w:rPr>
                    </w:pPr>
                    <w:r>
                      <w:rPr>
                        <w:rFonts w:hint="eastAsia" w:ascii="Times New Roman" w:hAnsi="Times New Roman" w:eastAsia="宋体" w:cs="Times New Roman"/>
                        <w:snapToGrid w:val="0"/>
                        <w:color w:val="000000"/>
                        <w:kern w:val="2"/>
                        <w:sz w:val="18"/>
                        <w:szCs w:val="18"/>
                        <w:lang w:val="en-US" w:eastAsia="zh-CN" w:bidi="ar-SA"/>
                      </w:rPr>
                      <w:fldChar w:fldCharType="begin"/>
                    </w:r>
                    <w:r>
                      <w:rPr>
                        <w:rFonts w:hint="eastAsia" w:ascii="Times New Roman" w:hAnsi="Times New Roman" w:eastAsia="宋体" w:cs="Times New Roman"/>
                        <w:snapToGrid w:val="0"/>
                        <w:color w:val="000000"/>
                        <w:kern w:val="2"/>
                        <w:sz w:val="18"/>
                        <w:szCs w:val="18"/>
                        <w:lang w:val="en-US" w:eastAsia="zh-CN" w:bidi="ar-SA"/>
                      </w:rPr>
                      <w:instrText xml:space="preserve"> PAGE  \* MERGEFORMAT </w:instrText>
                    </w:r>
                    <w:r>
                      <w:rPr>
                        <w:rFonts w:hint="eastAsia" w:ascii="Times New Roman" w:hAnsi="Times New Roman" w:eastAsia="宋体" w:cs="Times New Roman"/>
                        <w:snapToGrid w:val="0"/>
                        <w:color w:val="000000"/>
                        <w:kern w:val="2"/>
                        <w:sz w:val="18"/>
                        <w:szCs w:val="18"/>
                        <w:lang w:val="en-US" w:eastAsia="zh-CN" w:bidi="ar-SA"/>
                      </w:rPr>
                      <w:fldChar w:fldCharType="separate"/>
                    </w:r>
                    <w:r>
                      <w:rPr>
                        <w:rFonts w:ascii="Times New Roman" w:hAnsi="Times New Roman" w:eastAsia="宋体" w:cs="Times New Roman"/>
                        <w:snapToGrid w:val="0"/>
                        <w:color w:val="000000"/>
                        <w:kern w:val="2"/>
                        <w:sz w:val="18"/>
                        <w:szCs w:val="18"/>
                        <w:lang w:val="en-US" w:eastAsia="zh-CN" w:bidi="ar-SA"/>
                      </w:rPr>
                      <w:t>48</w:t>
                    </w:r>
                    <w:r>
                      <w:rPr>
                        <w:rFonts w:hint="eastAsia" w:ascii="Times New Roman" w:hAnsi="Times New Roman" w:eastAsia="宋体" w:cs="Times New Roman"/>
                        <w:snapToGrid w:val="0"/>
                        <w:color w:val="000000"/>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AB46">
    <w:pPr>
      <w:widowControl/>
      <w:kinsoku w:val="0"/>
      <w:autoSpaceDE w:val="0"/>
      <w:autoSpaceDN w:val="0"/>
      <w:adjustRightInd w:val="0"/>
      <w:snapToGrid w:val="0"/>
      <w:spacing w:line="196" w:lineRule="auto"/>
      <w:ind w:left="4736"/>
      <w:jc w:val="left"/>
      <w:textAlignment w:val="baseline"/>
      <w:rPr>
        <w:rFonts w:eastAsia="Times New Roman"/>
        <w:snapToGrid w:val="0"/>
        <w:color w:val="000000"/>
        <w:kern w:val="0"/>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B90D1F">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14:paraId="53B90D1F">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EB9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78200E">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978200E">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28FC">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7D21">
    <w:pPr>
      <w:widowControl/>
      <w:kinsoku w:val="0"/>
      <w:autoSpaceDE w:val="0"/>
      <w:autoSpaceDN w:val="0"/>
      <w:adjustRightInd w:val="0"/>
      <w:snapToGrid w:val="0"/>
      <w:spacing w:line="350" w:lineRule="exact"/>
      <w:ind w:firstLine="1"/>
      <w:jc w:val="left"/>
      <w:textAlignment w:val="center"/>
      <w:rPr>
        <w:rFonts w:ascii="Arial" w:hAnsi="Arial" w:eastAsia="Arial" w:cs="Arial"/>
        <w:snapToGrid w:val="0"/>
        <w:color w:val="000000"/>
        <w:kern w:val="0"/>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B74E">
    <w:pPr>
      <w:widowControl/>
      <w:kinsoku w:val="0"/>
      <w:autoSpaceDE w:val="0"/>
      <w:autoSpaceDN w:val="0"/>
      <w:adjustRightInd w:val="0"/>
      <w:snapToGrid w:val="0"/>
      <w:spacing w:line="350" w:lineRule="exact"/>
      <w:ind w:firstLine="114"/>
      <w:jc w:val="left"/>
      <w:textAlignment w:val="center"/>
      <w:rPr>
        <w:rFonts w:ascii="Arial" w:hAnsi="Arial" w:eastAsia="Arial" w:cs="Arial"/>
        <w:snapToGrid w:val="0"/>
        <w:color w:val="000000"/>
        <w:kern w:val="0"/>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97A5C">
    <w:pPr>
      <w:widowControl/>
      <w:kinsoku w:val="0"/>
      <w:autoSpaceDE w:val="0"/>
      <w:autoSpaceDN w:val="0"/>
      <w:adjustRightInd w:val="0"/>
      <w:snapToGrid w:val="0"/>
      <w:spacing w:line="350" w:lineRule="exact"/>
      <w:ind w:firstLine="1"/>
      <w:jc w:val="left"/>
      <w:textAlignment w:val="center"/>
      <w:rPr>
        <w:rFonts w:ascii="Arial" w:hAnsi="Arial" w:eastAsia="Arial" w:cs="Arial"/>
        <w:snapToGrid w:val="0"/>
        <w:color w:val="000000"/>
        <w:kern w:val="0"/>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3F8C">
    <w:pPr>
      <w:widowControl/>
      <w:tabs>
        <w:tab w:val="left" w:pos="2341"/>
      </w:tabs>
      <w:kinsoku w:val="0"/>
      <w:autoSpaceDE w:val="0"/>
      <w:autoSpaceDN w:val="0"/>
      <w:adjustRightInd w:val="0"/>
      <w:snapToGrid w:val="0"/>
      <w:spacing w:line="350" w:lineRule="exact"/>
      <w:ind w:firstLine="1"/>
      <w:jc w:val="left"/>
      <w:textAlignment w:val="center"/>
      <w:rPr>
        <w:rFonts w:ascii="Arial" w:hAnsi="Arial" w:cs="Arial"/>
        <w:snapToGrid w:val="0"/>
        <w:color w:val="000000"/>
        <w:kern w:val="0"/>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B6B6">
    <w:pPr>
      <w:pStyle w:val="12"/>
    </w:pPr>
    <w:r>
      <w:rPr>
        <w:rFonts w:hint="eastAsia" w:ascii="仿宋" w:hAnsi="仿宋" w:eastAsia="仿宋"/>
        <w:sz w:val="24"/>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YzEzMjdlOGVlNjhlODdiMDhkNTAwMWZkZWFkODcifQ=="/>
  </w:docVars>
  <w:rsids>
    <w:rsidRoot w:val="249F308E"/>
    <w:rsid w:val="000E2DE9"/>
    <w:rsid w:val="003011B8"/>
    <w:rsid w:val="00353F22"/>
    <w:rsid w:val="00465254"/>
    <w:rsid w:val="005C7771"/>
    <w:rsid w:val="005D0946"/>
    <w:rsid w:val="006F08F3"/>
    <w:rsid w:val="00765DE2"/>
    <w:rsid w:val="008754F8"/>
    <w:rsid w:val="00883DD8"/>
    <w:rsid w:val="008F3445"/>
    <w:rsid w:val="009956BC"/>
    <w:rsid w:val="009D2132"/>
    <w:rsid w:val="00AF7ADB"/>
    <w:rsid w:val="00BB36DD"/>
    <w:rsid w:val="00C31F58"/>
    <w:rsid w:val="00C56FE5"/>
    <w:rsid w:val="00D7526F"/>
    <w:rsid w:val="00E63B38"/>
    <w:rsid w:val="00F16E30"/>
    <w:rsid w:val="01B748F1"/>
    <w:rsid w:val="022A0D9E"/>
    <w:rsid w:val="077F045F"/>
    <w:rsid w:val="0A43655E"/>
    <w:rsid w:val="0B5036E2"/>
    <w:rsid w:val="0C935A99"/>
    <w:rsid w:val="0DCE707D"/>
    <w:rsid w:val="0DFC0B6F"/>
    <w:rsid w:val="0F670238"/>
    <w:rsid w:val="0F827BE2"/>
    <w:rsid w:val="10B224BE"/>
    <w:rsid w:val="10E24DDC"/>
    <w:rsid w:val="13026E3D"/>
    <w:rsid w:val="13F579B5"/>
    <w:rsid w:val="155F38AD"/>
    <w:rsid w:val="15B11E7D"/>
    <w:rsid w:val="15EF31BB"/>
    <w:rsid w:val="165C2CCB"/>
    <w:rsid w:val="16654A1A"/>
    <w:rsid w:val="172A128B"/>
    <w:rsid w:val="18E86D07"/>
    <w:rsid w:val="19E90FB1"/>
    <w:rsid w:val="1A701804"/>
    <w:rsid w:val="1BD712B5"/>
    <w:rsid w:val="1D366D21"/>
    <w:rsid w:val="1DB75233"/>
    <w:rsid w:val="1F861797"/>
    <w:rsid w:val="1FA94D17"/>
    <w:rsid w:val="202A1C46"/>
    <w:rsid w:val="2344756C"/>
    <w:rsid w:val="249F308E"/>
    <w:rsid w:val="24AE34FB"/>
    <w:rsid w:val="27E64D5A"/>
    <w:rsid w:val="28245882"/>
    <w:rsid w:val="28551849"/>
    <w:rsid w:val="2AD6148A"/>
    <w:rsid w:val="2CAA1AF1"/>
    <w:rsid w:val="2CF82F2A"/>
    <w:rsid w:val="2ECC0314"/>
    <w:rsid w:val="2FE43BF6"/>
    <w:rsid w:val="30084DA8"/>
    <w:rsid w:val="303625F7"/>
    <w:rsid w:val="315C42DF"/>
    <w:rsid w:val="31A0241D"/>
    <w:rsid w:val="33726B25"/>
    <w:rsid w:val="339B1F83"/>
    <w:rsid w:val="3538296D"/>
    <w:rsid w:val="36724C5C"/>
    <w:rsid w:val="36DC5C20"/>
    <w:rsid w:val="37904CE2"/>
    <w:rsid w:val="38095FA6"/>
    <w:rsid w:val="3882176A"/>
    <w:rsid w:val="38B50082"/>
    <w:rsid w:val="39BF18AF"/>
    <w:rsid w:val="3A4A73CA"/>
    <w:rsid w:val="3CFB5E21"/>
    <w:rsid w:val="3EFA6AFF"/>
    <w:rsid w:val="3EFB3D87"/>
    <w:rsid w:val="40CC398D"/>
    <w:rsid w:val="41322231"/>
    <w:rsid w:val="45274B9D"/>
    <w:rsid w:val="456A6B72"/>
    <w:rsid w:val="45817F5C"/>
    <w:rsid w:val="459E08D2"/>
    <w:rsid w:val="45F52702"/>
    <w:rsid w:val="46B367B8"/>
    <w:rsid w:val="46D82AB3"/>
    <w:rsid w:val="48335E0C"/>
    <w:rsid w:val="4911579D"/>
    <w:rsid w:val="49B91E77"/>
    <w:rsid w:val="4A6E591F"/>
    <w:rsid w:val="4B382C64"/>
    <w:rsid w:val="4B7C599A"/>
    <w:rsid w:val="4C441FB3"/>
    <w:rsid w:val="4E037E90"/>
    <w:rsid w:val="4E8B6B36"/>
    <w:rsid w:val="4E981198"/>
    <w:rsid w:val="50411939"/>
    <w:rsid w:val="51193A71"/>
    <w:rsid w:val="51A367A1"/>
    <w:rsid w:val="51E424B0"/>
    <w:rsid w:val="52291B63"/>
    <w:rsid w:val="52E86198"/>
    <w:rsid w:val="549514D4"/>
    <w:rsid w:val="55A06235"/>
    <w:rsid w:val="56F00EA2"/>
    <w:rsid w:val="572A60A4"/>
    <w:rsid w:val="581D2FAE"/>
    <w:rsid w:val="5B027A51"/>
    <w:rsid w:val="5EAD7991"/>
    <w:rsid w:val="5EB257B7"/>
    <w:rsid w:val="5EB2624E"/>
    <w:rsid w:val="5FBD14DA"/>
    <w:rsid w:val="6397692D"/>
    <w:rsid w:val="641D29B6"/>
    <w:rsid w:val="66A95FE2"/>
    <w:rsid w:val="6730541E"/>
    <w:rsid w:val="68721FD3"/>
    <w:rsid w:val="6D1F5B04"/>
    <w:rsid w:val="6DFA7A01"/>
    <w:rsid w:val="6ED07197"/>
    <w:rsid w:val="70174ABE"/>
    <w:rsid w:val="70C85717"/>
    <w:rsid w:val="723245F1"/>
    <w:rsid w:val="72512AFA"/>
    <w:rsid w:val="725B321B"/>
    <w:rsid w:val="72987FCC"/>
    <w:rsid w:val="75656C30"/>
    <w:rsid w:val="760A11E0"/>
    <w:rsid w:val="760B6993"/>
    <w:rsid w:val="769F0C7E"/>
    <w:rsid w:val="76F21711"/>
    <w:rsid w:val="78762D67"/>
    <w:rsid w:val="7993773F"/>
    <w:rsid w:val="79CD2BCE"/>
    <w:rsid w:val="7C7A21BC"/>
    <w:rsid w:val="7DD87E16"/>
    <w:rsid w:val="7E623D93"/>
    <w:rsid w:val="7FEAF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楷体_GB2312" w:eastAsia="楷体_GB2312"/>
      <w:sz w:val="28"/>
      <w:szCs w:val="20"/>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幼圆"/>
      <w:b/>
      <w:bCs/>
      <w:sz w:val="44"/>
      <w:szCs w:val="44"/>
    </w:rPr>
  </w:style>
  <w:style w:type="paragraph" w:styleId="5">
    <w:name w:val="heading 3"/>
    <w:basedOn w:val="1"/>
    <w:next w:val="6"/>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firstLine="645"/>
    </w:pPr>
    <w:rPr>
      <w:rFonts w:ascii="楷体_GB2312" w:eastAsia="楷体_GB2312"/>
      <w:sz w:val="32"/>
      <w:szCs w:val="20"/>
    </w:rPr>
  </w:style>
  <w:style w:type="paragraph" w:styleId="6">
    <w:name w:val="Normal Indent"/>
    <w:basedOn w:val="1"/>
    <w:qFormat/>
    <w:uiPriority w:val="0"/>
    <w:pPr>
      <w:ind w:firstLine="420"/>
    </w:pPr>
    <w:rPr>
      <w:szCs w:val="21"/>
    </w:rPr>
  </w:style>
  <w:style w:type="paragraph" w:styleId="7">
    <w:name w:val="annotation text"/>
    <w:basedOn w:val="1"/>
    <w:qFormat/>
    <w:uiPriority w:val="99"/>
    <w:pPr>
      <w:jc w:val="left"/>
    </w:pPr>
  </w:style>
  <w:style w:type="paragraph" w:styleId="8">
    <w:name w:val="Body Text"/>
    <w:basedOn w:val="1"/>
    <w:next w:val="1"/>
    <w:qFormat/>
    <w:uiPriority w:val="0"/>
    <w:pPr>
      <w:spacing w:after="120"/>
    </w:pPr>
  </w:style>
  <w:style w:type="paragraph" w:styleId="9">
    <w:name w:val="Plain Text"/>
    <w:basedOn w:val="1"/>
    <w:qFormat/>
    <w:uiPriority w:val="0"/>
    <w:rPr>
      <w:rFonts w:hint="eastAsia" w:ascii="宋体" w:hAnsi="Courier New"/>
      <w:szCs w:val="20"/>
    </w:rPr>
  </w:style>
  <w:style w:type="paragraph" w:styleId="10">
    <w:name w:val="Date"/>
    <w:basedOn w:val="1"/>
    <w:next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before="120" w:after="120" w:line="300" w:lineRule="exact"/>
      <w:jc w:val="left"/>
    </w:pPr>
    <w:rPr>
      <w:rFonts w:hint="eastAsia" w:ascii="黑体" w:eastAsia="黑体"/>
      <w:b/>
      <w:caps/>
      <w:sz w:val="18"/>
      <w:szCs w:val="18"/>
    </w:rPr>
  </w:style>
  <w:style w:type="paragraph" w:styleId="14">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2"/>
    <w:basedOn w:val="2"/>
    <w:qFormat/>
    <w:uiPriority w:val="0"/>
    <w:pPr>
      <w:ind w:firstLine="420" w:firstLineChars="200"/>
    </w:pPr>
    <w:rPr>
      <w:rFonts w:ascii="Calibri" w:eastAsia="宋体"/>
      <w:szCs w:val="32"/>
    </w:rPr>
  </w:style>
  <w:style w:type="character" w:styleId="19">
    <w:name w:val="Strong"/>
    <w:qFormat/>
    <w:uiPriority w:val="22"/>
    <w:rPr>
      <w:b/>
    </w:rPr>
  </w:style>
  <w:style w:type="character" w:styleId="20">
    <w:name w:val="Emphasis"/>
    <w:basedOn w:val="18"/>
    <w:qFormat/>
    <w:uiPriority w:val="0"/>
    <w:rPr>
      <w:i/>
    </w:rPr>
  </w:style>
  <w:style w:type="character" w:styleId="21">
    <w:name w:val="Hyperlink"/>
    <w:basedOn w:val="18"/>
    <w:qFormat/>
    <w:uiPriority w:val="99"/>
    <w:rPr>
      <w:rFonts w:cs="Times New Roman"/>
      <w:color w:val="0000FF"/>
      <w:u w:val="single"/>
    </w:rPr>
  </w:style>
  <w:style w:type="paragraph" w:customStyle="1" w:styleId="22">
    <w:name w:val="正文1"/>
    <w:basedOn w:val="23"/>
    <w:next w:val="1"/>
    <w:qFormat/>
    <w:uiPriority w:val="0"/>
    <w:pPr>
      <w:spacing w:line="300" w:lineRule="auto"/>
      <w:ind w:left="100" w:leftChars="100"/>
      <w:jc w:val="center"/>
    </w:pPr>
    <w:rPr>
      <w:rFonts w:ascii="Calibri" w:hAnsi="Calibri" w:eastAsia="宋体" w:cs="Times New Roman"/>
      <w:sz w:val="24"/>
      <w:szCs w:val="24"/>
      <w:lang w:val="en-US" w:eastAsia="zh-CN" w:bidi="ar-SA"/>
    </w:rPr>
  </w:style>
  <w:style w:type="paragraph" w:customStyle="1" w:styleId="23">
    <w:name w:val="样式1"/>
    <w:basedOn w:val="1"/>
    <w:qFormat/>
    <w:uiPriority w:val="99"/>
    <w:pPr>
      <w:spacing w:before="120" w:after="120" w:line="300" w:lineRule="auto"/>
    </w:pPr>
    <w:rPr>
      <w:rFonts w:ascii="宋体" w:hAnsi="宋体"/>
      <w:b/>
      <w:sz w:val="24"/>
    </w:rPr>
  </w:style>
  <w:style w:type="character" w:customStyle="1" w:styleId="24">
    <w:name w:val="10"/>
    <w:basedOn w:val="18"/>
    <w:qFormat/>
    <w:uiPriority w:val="0"/>
    <w:rPr>
      <w:rFonts w:hint="default" w:ascii="Calibri" w:hAnsi="Calibri" w:eastAsia="宋体" w:cs="Times New Roman"/>
    </w:rPr>
  </w:style>
  <w:style w:type="character" w:customStyle="1" w:styleId="25">
    <w:name w:val="15"/>
    <w:basedOn w:val="18"/>
    <w:qFormat/>
    <w:uiPriority w:val="0"/>
    <w:rPr>
      <w:rFonts w:hint="default" w:ascii="Calibri" w:hAnsi="Calibri" w:eastAsia="宋体" w:cs="Times New Roman"/>
    </w:rPr>
  </w:style>
  <w:style w:type="paragraph" w:customStyle="1" w:styleId="26">
    <w:name w:val="Char"/>
    <w:basedOn w:val="1"/>
    <w:qFormat/>
    <w:uiPriority w:val="0"/>
    <w:rPr>
      <w:color w:val="000000"/>
      <w:sz w:val="24"/>
    </w:r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28">
    <w:name w:val="List Paragraph"/>
    <w:basedOn w:val="1"/>
    <w:qFormat/>
    <w:uiPriority w:val="34"/>
    <w:pPr>
      <w:ind w:firstLine="420" w:firstLineChars="200"/>
    </w:pPr>
  </w:style>
  <w:style w:type="paragraph" w:customStyle="1" w:styleId="29">
    <w:name w:val="Other|1"/>
    <w:basedOn w:val="1"/>
    <w:qFormat/>
    <w:uiPriority w:val="0"/>
    <w:pPr>
      <w:ind w:firstLine="420"/>
    </w:pPr>
    <w:rPr>
      <w:sz w:val="22"/>
      <w:szCs w:val="22"/>
      <w:lang w:val="zh-TW" w:eastAsia="zh-TW" w:bidi="zh-TW"/>
    </w:rPr>
  </w:style>
  <w:style w:type="character" w:customStyle="1" w:styleId="30">
    <w:name w:val="font71"/>
    <w:basedOn w:val="18"/>
    <w:qFormat/>
    <w:uiPriority w:val="0"/>
    <w:rPr>
      <w:rFonts w:hint="eastAsia" w:ascii="宋体" w:hAnsi="宋体" w:eastAsia="宋体" w:cs="宋体"/>
      <w:color w:val="000000"/>
      <w:sz w:val="24"/>
      <w:szCs w:val="24"/>
      <w:u w:val="none"/>
    </w:rPr>
  </w:style>
  <w:style w:type="paragraph" w:customStyle="1" w:styleId="31">
    <w:name w:val="首行缩进"/>
    <w:basedOn w:val="1"/>
    <w:qFormat/>
    <w:uiPriority w:val="99"/>
    <w:pPr>
      <w:spacing w:line="360" w:lineRule="auto"/>
      <w:ind w:firstLine="480" w:firstLineChars="200"/>
      <w:jc w:val="left"/>
    </w:pPr>
    <w:rPr>
      <w:rFonts w:ascii="宋体" w:hAnsi="宋体"/>
      <w:sz w:val="24"/>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标题 2 Char Char Char"/>
    <w:qFormat/>
    <w:uiPriority w:val="99"/>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19850</Words>
  <Characters>20835</Characters>
  <Lines>31</Lines>
  <Paragraphs>49</Paragraphs>
  <TotalTime>11</TotalTime>
  <ScaleCrop>false</ScaleCrop>
  <LinksUpToDate>false</LinksUpToDate>
  <CharactersWithSpaces>21400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2022-11-25T10:44:00Z</dcterms:created>
  <dc:creator>zhongjun</dc:creator>
  <cp:lastModifiedBy>茜茜</cp:lastModifiedBy>
  <cp:lastPrinted>2024-09-05T02:55:00Z</cp:lastPrinted>
  <dcterms:modified xsi:type="dcterms:W3CDTF">2024-12-20T03:07:08Z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92AC726F85994F42B29A51C568F5C48B_13</vt:lpwstr>
  </property>
</Properties>
</file>