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4CD37">
      <w:pPr>
        <w:spacing w:line="360" w:lineRule="auto"/>
        <w:jc w:val="center"/>
        <w:rPr>
          <w:rFonts w:cs="Times New Roman" w:asciiTheme="minorEastAsia" w:hAnsiTheme="minorEastAsia"/>
          <w:b/>
          <w:color w:val="auto"/>
          <w:sz w:val="44"/>
          <w:highlight w:val="none"/>
          <w:shd w:val="clear" w:color="auto" w:fill="FFFFFF"/>
        </w:rPr>
      </w:pPr>
    </w:p>
    <w:p w14:paraId="0855627C">
      <w:pPr>
        <w:jc w:val="center"/>
        <w:rPr>
          <w:rFonts w:hint="eastAsia" w:eastAsia="宋体" w:cs="宋体" w:asciiTheme="minorEastAsia" w:hAnsiTheme="minorEastAsia"/>
          <w:b/>
          <w:color w:val="auto"/>
          <w:sz w:val="32"/>
          <w:highlight w:val="none"/>
          <w:shd w:val="clear" w:color="auto" w:fill="FFFFFF"/>
          <w:lang w:eastAsia="zh-CN"/>
        </w:rPr>
      </w:pPr>
      <w:r>
        <w:rPr>
          <w:rFonts w:hint="eastAsia" w:eastAsia="宋体" w:cs="宋体" w:asciiTheme="minorEastAsia" w:hAnsiTheme="minorEastAsia"/>
          <w:b/>
          <w:color w:val="auto"/>
          <w:sz w:val="44"/>
          <w:highlight w:val="none"/>
          <w:shd w:val="clear" w:color="auto" w:fill="FFFFFF"/>
          <w:lang w:eastAsia="zh-CN"/>
        </w:rPr>
        <w:t>南京校区三楼教工食堂食材采购</w:t>
      </w:r>
    </w:p>
    <w:p w14:paraId="72FDFBBB">
      <w:pPr>
        <w:pStyle w:val="16"/>
        <w:rPr>
          <w:rFonts w:asciiTheme="minorEastAsia" w:hAnsiTheme="minorEastAsia" w:eastAsiaTheme="minorEastAsia"/>
          <w:color w:val="auto"/>
          <w:highlight w:val="none"/>
        </w:rPr>
      </w:pPr>
    </w:p>
    <w:p w14:paraId="17884639">
      <w:pPr>
        <w:pStyle w:val="16"/>
        <w:rPr>
          <w:rFonts w:asciiTheme="minorEastAsia" w:hAnsiTheme="minorEastAsia" w:eastAsiaTheme="minorEastAsia"/>
          <w:color w:val="auto"/>
          <w:highlight w:val="none"/>
        </w:rPr>
      </w:pPr>
    </w:p>
    <w:p w14:paraId="72F00E48">
      <w:pPr>
        <w:pStyle w:val="16"/>
        <w:rPr>
          <w:rFonts w:asciiTheme="minorEastAsia" w:hAnsiTheme="minorEastAsia" w:eastAsiaTheme="minorEastAsia"/>
          <w:color w:val="auto"/>
          <w:highlight w:val="none"/>
        </w:rPr>
      </w:pPr>
    </w:p>
    <w:p w14:paraId="31B47468">
      <w:pPr>
        <w:spacing w:line="360" w:lineRule="auto"/>
        <w:jc w:val="center"/>
        <w:rPr>
          <w:rFonts w:cs="宋体" w:asciiTheme="minorEastAsia" w:hAnsiTheme="minorEastAsia"/>
          <w:b/>
          <w:color w:val="auto"/>
          <w:sz w:val="32"/>
          <w:highlight w:val="none"/>
          <w:shd w:val="clear" w:color="auto" w:fill="FFFFFF"/>
        </w:rPr>
      </w:pPr>
      <w:r>
        <w:rPr>
          <w:rFonts w:cs="宋体" w:asciiTheme="minorEastAsia" w:hAnsiTheme="minorEastAsia"/>
          <w:b/>
          <w:color w:val="auto"/>
          <w:sz w:val="32"/>
          <w:highlight w:val="none"/>
          <w:shd w:val="clear" w:color="auto" w:fill="FFFFFF"/>
        </w:rPr>
        <w:drawing>
          <wp:inline distT="0" distB="0" distL="0" distR="0">
            <wp:extent cx="1714500" cy="2133600"/>
            <wp:effectExtent l="19050" t="0" r="0" b="0"/>
            <wp:docPr id="3" name="图片 3" descr="我的插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我的插图-1"/>
                    <pic:cNvPicPr>
                      <a:picLocks noChangeAspect="1"/>
                    </pic:cNvPicPr>
                  </pic:nvPicPr>
                  <pic:blipFill>
                    <a:blip r:embed="rId6" cstate="print"/>
                    <a:stretch>
                      <a:fillRect/>
                    </a:stretch>
                  </pic:blipFill>
                  <pic:spPr>
                    <a:xfrm>
                      <a:off x="0" y="0"/>
                      <a:ext cx="1714500" cy="2133600"/>
                    </a:xfrm>
                    <a:prstGeom prst="rect">
                      <a:avLst/>
                    </a:prstGeom>
                    <a:noFill/>
                    <a:ln w="9525">
                      <a:noFill/>
                      <a:miter lim="800000"/>
                      <a:headEnd/>
                      <a:tailEnd/>
                    </a:ln>
                  </pic:spPr>
                </pic:pic>
              </a:graphicData>
            </a:graphic>
          </wp:inline>
        </w:drawing>
      </w:r>
    </w:p>
    <w:p w14:paraId="2B2599F8">
      <w:pPr>
        <w:spacing w:line="360" w:lineRule="auto"/>
        <w:rPr>
          <w:rFonts w:cs="宋体" w:asciiTheme="minorEastAsia" w:hAnsiTheme="minorEastAsia"/>
          <w:b/>
          <w:color w:val="auto"/>
          <w:sz w:val="32"/>
          <w:highlight w:val="none"/>
          <w:shd w:val="clear" w:color="auto" w:fill="FFFFFF"/>
        </w:rPr>
      </w:pPr>
    </w:p>
    <w:p w14:paraId="62E78099">
      <w:pPr>
        <w:spacing w:line="360" w:lineRule="auto"/>
        <w:jc w:val="center"/>
        <w:rPr>
          <w:rFonts w:hint="eastAsia" w:cs="宋体" w:asciiTheme="minorEastAsia" w:hAnsiTheme="minorEastAsia" w:eastAsiaTheme="minorEastAsia"/>
          <w:b/>
          <w:color w:val="auto"/>
          <w:sz w:val="72"/>
          <w:highlight w:val="none"/>
          <w:lang w:eastAsia="zh-CN"/>
        </w:rPr>
      </w:pPr>
      <w:r>
        <w:rPr>
          <w:rFonts w:cs="宋体" w:asciiTheme="minorEastAsia" w:hAnsiTheme="minorEastAsia"/>
          <w:b/>
          <w:color w:val="auto"/>
          <w:sz w:val="72"/>
          <w:highlight w:val="none"/>
        </w:rPr>
        <w:t>招标文件</w:t>
      </w:r>
      <w:r>
        <w:rPr>
          <w:rFonts w:hint="eastAsia" w:cs="宋体" w:asciiTheme="minorEastAsia" w:hAnsiTheme="minorEastAsia"/>
          <w:b/>
          <w:color w:val="auto"/>
          <w:sz w:val="72"/>
          <w:highlight w:val="none"/>
          <w:lang w:eastAsia="zh-CN"/>
        </w:rPr>
        <w:t>（</w:t>
      </w:r>
      <w:r>
        <w:rPr>
          <w:rFonts w:hint="eastAsia" w:cs="宋体" w:asciiTheme="minorEastAsia" w:hAnsiTheme="minorEastAsia"/>
          <w:b/>
          <w:color w:val="auto"/>
          <w:sz w:val="72"/>
          <w:highlight w:val="none"/>
          <w:lang w:val="en-US" w:eastAsia="zh-CN"/>
        </w:rPr>
        <w:t>征求意见稿</w:t>
      </w:r>
      <w:r>
        <w:rPr>
          <w:rFonts w:hint="eastAsia" w:cs="宋体" w:asciiTheme="minorEastAsia" w:hAnsiTheme="minorEastAsia"/>
          <w:b/>
          <w:color w:val="auto"/>
          <w:sz w:val="72"/>
          <w:highlight w:val="none"/>
          <w:lang w:eastAsia="zh-CN"/>
        </w:rPr>
        <w:t>）</w:t>
      </w:r>
    </w:p>
    <w:p w14:paraId="5EF93257">
      <w:pPr>
        <w:spacing w:line="360" w:lineRule="auto"/>
        <w:jc w:val="center"/>
        <w:rPr>
          <w:rFonts w:hint="default"/>
          <w:color w:val="auto"/>
          <w:highlight w:val="none"/>
          <w:lang w:val="en-US"/>
        </w:rPr>
      </w:pPr>
      <w:r>
        <w:rPr>
          <w:rFonts w:cs="宋体" w:asciiTheme="minorEastAsia" w:hAnsiTheme="minorEastAsia"/>
          <w:b/>
          <w:color w:val="auto"/>
          <w:sz w:val="28"/>
          <w:highlight w:val="none"/>
        </w:rPr>
        <w:t>项目编号：</w:t>
      </w:r>
      <w:r>
        <w:rPr>
          <w:rFonts w:hint="eastAsia" w:cs="宋体" w:asciiTheme="minorEastAsia" w:hAnsiTheme="minorEastAsia"/>
          <w:b/>
          <w:color w:val="auto"/>
          <w:sz w:val="28"/>
          <w:highlight w:val="none"/>
        </w:rPr>
        <w:t>金学问</w:t>
      </w:r>
      <w:r>
        <w:rPr>
          <w:rFonts w:hint="eastAsia" w:asciiTheme="minorEastAsia" w:hAnsiTheme="minorEastAsia" w:cstheme="minorEastAsia"/>
          <w:b/>
          <w:bCs/>
          <w:color w:val="auto"/>
          <w:sz w:val="28"/>
          <w:szCs w:val="28"/>
          <w:highlight w:val="none"/>
          <w:lang w:eastAsia="zh-CN"/>
        </w:rPr>
        <w:t>-JY-2025-</w:t>
      </w:r>
      <w:r>
        <w:rPr>
          <w:rFonts w:hint="eastAsia" w:asciiTheme="minorEastAsia" w:hAnsiTheme="minorEastAsia" w:cstheme="minorEastAsia"/>
          <w:b/>
          <w:bCs/>
          <w:color w:val="auto"/>
          <w:sz w:val="28"/>
          <w:szCs w:val="28"/>
          <w:highlight w:val="none"/>
          <w:lang w:val="en-US" w:eastAsia="zh-CN"/>
        </w:rPr>
        <w:t>001</w:t>
      </w:r>
    </w:p>
    <w:p w14:paraId="1CE8222D">
      <w:pPr>
        <w:spacing w:line="360" w:lineRule="auto"/>
        <w:jc w:val="center"/>
        <w:rPr>
          <w:rFonts w:hint="default" w:cs="宋体" w:asciiTheme="minorEastAsia" w:hAnsiTheme="minorEastAsia"/>
          <w:b/>
          <w:color w:val="auto"/>
          <w:sz w:val="28"/>
          <w:highlight w:val="none"/>
          <w:lang w:val="en-US" w:eastAsia="zh-CN"/>
        </w:rPr>
      </w:pPr>
      <w:r>
        <w:rPr>
          <w:rFonts w:hint="eastAsia" w:cs="宋体" w:asciiTheme="minorEastAsia" w:hAnsiTheme="minorEastAsia"/>
          <w:b/>
          <w:color w:val="auto"/>
          <w:sz w:val="28"/>
          <w:highlight w:val="none"/>
          <w:lang w:val="en-US" w:eastAsia="zh-CN"/>
        </w:rPr>
        <w:t>标段编号：</w:t>
      </w:r>
      <w:r>
        <w:rPr>
          <w:rFonts w:hint="eastAsia" w:cs="宋体" w:asciiTheme="minorEastAsia" w:hAnsiTheme="minorEastAsia"/>
          <w:b/>
          <w:color w:val="auto"/>
          <w:sz w:val="28"/>
          <w:highlight w:val="none"/>
        </w:rPr>
        <w:t>金学问</w:t>
      </w:r>
      <w:r>
        <w:rPr>
          <w:rFonts w:hint="eastAsia" w:cs="宋体" w:asciiTheme="minorEastAsia" w:hAnsiTheme="minorEastAsia"/>
          <w:b/>
          <w:color w:val="auto"/>
          <w:sz w:val="28"/>
          <w:highlight w:val="none"/>
          <w:lang w:eastAsia="zh-CN"/>
        </w:rPr>
        <w:t>-</w:t>
      </w:r>
      <w:bookmarkStart w:id="8" w:name="_GoBack"/>
      <w:bookmarkEnd w:id="8"/>
      <w:r>
        <w:rPr>
          <w:rFonts w:hint="eastAsia" w:cs="宋体" w:asciiTheme="minorEastAsia" w:hAnsiTheme="minorEastAsia"/>
          <w:b/>
          <w:color w:val="auto"/>
          <w:sz w:val="28"/>
          <w:highlight w:val="none"/>
          <w:lang w:eastAsia="zh-CN"/>
        </w:rPr>
        <w:t>JY-2025-</w:t>
      </w:r>
      <w:r>
        <w:rPr>
          <w:rFonts w:hint="eastAsia" w:cs="宋体" w:asciiTheme="minorEastAsia" w:hAnsiTheme="minorEastAsia"/>
          <w:b/>
          <w:color w:val="auto"/>
          <w:sz w:val="28"/>
          <w:highlight w:val="none"/>
          <w:lang w:val="en-US" w:eastAsia="zh-CN"/>
        </w:rPr>
        <w:t>001/1/2/3</w:t>
      </w:r>
    </w:p>
    <w:p w14:paraId="66BECE28">
      <w:pPr>
        <w:spacing w:line="360" w:lineRule="auto"/>
        <w:jc w:val="center"/>
        <w:rPr>
          <w:rFonts w:cs="宋体" w:asciiTheme="minorEastAsia" w:hAnsiTheme="minorEastAsia"/>
          <w:b/>
          <w:color w:val="auto"/>
          <w:sz w:val="36"/>
          <w:highlight w:val="none"/>
        </w:rPr>
      </w:pPr>
    </w:p>
    <w:p w14:paraId="589FCA7A">
      <w:pPr>
        <w:spacing w:line="360" w:lineRule="auto"/>
        <w:jc w:val="center"/>
        <w:rPr>
          <w:rFonts w:cs="宋体" w:asciiTheme="minorEastAsia" w:hAnsiTheme="minorEastAsia"/>
          <w:b/>
          <w:color w:val="auto"/>
          <w:sz w:val="36"/>
          <w:highlight w:val="none"/>
        </w:rPr>
      </w:pPr>
    </w:p>
    <w:p w14:paraId="3BE8E8F8">
      <w:pPr>
        <w:spacing w:line="360" w:lineRule="auto"/>
        <w:rPr>
          <w:rFonts w:cs="宋体" w:asciiTheme="minorEastAsia" w:hAnsiTheme="minorEastAsia"/>
          <w:b/>
          <w:color w:val="auto"/>
          <w:sz w:val="36"/>
          <w:highlight w:val="none"/>
        </w:rPr>
      </w:pPr>
    </w:p>
    <w:p w14:paraId="6C737734">
      <w:pPr>
        <w:pStyle w:val="16"/>
        <w:rPr>
          <w:rFonts w:asciiTheme="minorEastAsia" w:hAnsiTheme="minorEastAsia" w:eastAsiaTheme="minorEastAsia"/>
          <w:color w:val="auto"/>
          <w:highlight w:val="none"/>
        </w:rPr>
      </w:pPr>
    </w:p>
    <w:p w14:paraId="7590A5C7">
      <w:pPr>
        <w:spacing w:line="360" w:lineRule="auto"/>
        <w:rPr>
          <w:rFonts w:hint="eastAsia" w:cs="宋体" w:asciiTheme="minorEastAsia" w:hAnsiTheme="minorEastAsia" w:eastAsiaTheme="minorEastAsia"/>
          <w:b/>
          <w:color w:val="auto"/>
          <w:sz w:val="36"/>
          <w:highlight w:val="none"/>
          <w:lang w:eastAsia="zh-CN"/>
        </w:rPr>
      </w:pPr>
      <w:r>
        <w:rPr>
          <w:rFonts w:hint="eastAsia" w:cs="宋体" w:asciiTheme="minorEastAsia" w:hAnsiTheme="minorEastAsia"/>
          <w:b/>
          <w:color w:val="auto"/>
          <w:sz w:val="36"/>
          <w:highlight w:val="none"/>
        </w:rPr>
        <w:t>招标人</w:t>
      </w:r>
      <w:r>
        <w:rPr>
          <w:rFonts w:cs="宋体" w:asciiTheme="minorEastAsia" w:hAnsiTheme="minorEastAsia"/>
          <w:b/>
          <w:color w:val="auto"/>
          <w:sz w:val="36"/>
          <w:highlight w:val="none"/>
        </w:rPr>
        <w:t>：</w:t>
      </w:r>
      <w:r>
        <w:rPr>
          <w:rFonts w:hint="eastAsia" w:eastAsia="宋体" w:asciiTheme="minorEastAsia" w:hAnsiTheme="minorEastAsia"/>
          <w:b/>
          <w:color w:val="auto"/>
          <w:sz w:val="36"/>
          <w:szCs w:val="36"/>
          <w:highlight w:val="none"/>
          <w:lang w:eastAsia="zh-CN"/>
        </w:rPr>
        <w:t>镇江金学问教育培训有限公司</w:t>
      </w:r>
    </w:p>
    <w:p w14:paraId="6DBB1BA8">
      <w:pPr>
        <w:spacing w:line="360" w:lineRule="auto"/>
        <w:rPr>
          <w:rFonts w:cs="宋体" w:asciiTheme="minorEastAsia" w:hAnsiTheme="minorEastAsia"/>
          <w:b/>
          <w:color w:val="auto"/>
          <w:sz w:val="36"/>
          <w:highlight w:val="none"/>
        </w:rPr>
      </w:pPr>
      <w:r>
        <w:rPr>
          <w:rFonts w:hint="eastAsia" w:cs="宋体" w:asciiTheme="minorEastAsia" w:hAnsiTheme="minorEastAsia"/>
          <w:b/>
          <w:color w:val="auto"/>
          <w:sz w:val="36"/>
          <w:highlight w:val="none"/>
        </w:rPr>
        <w:t>招标代理机构</w:t>
      </w:r>
      <w:r>
        <w:rPr>
          <w:rFonts w:cs="宋体" w:asciiTheme="minorEastAsia" w:hAnsiTheme="minorEastAsia"/>
          <w:b/>
          <w:color w:val="auto"/>
          <w:sz w:val="36"/>
          <w:highlight w:val="none"/>
        </w:rPr>
        <w:t>：南京苏宁工程咨询有限公司</w:t>
      </w:r>
    </w:p>
    <w:p w14:paraId="436EA865">
      <w:pPr>
        <w:jc w:val="left"/>
        <w:rPr>
          <w:rFonts w:cs="宋体" w:asciiTheme="minorEastAsia" w:hAnsiTheme="minorEastAsia"/>
          <w:b/>
          <w:color w:val="auto"/>
          <w:sz w:val="36"/>
          <w:highlight w:val="none"/>
        </w:rPr>
      </w:pPr>
      <w:r>
        <w:rPr>
          <w:rFonts w:cs="宋体" w:asciiTheme="minorEastAsia" w:hAnsiTheme="minorEastAsia"/>
          <w:b/>
          <w:color w:val="auto"/>
          <w:sz w:val="36"/>
          <w:highlight w:val="none"/>
        </w:rPr>
        <w:t>日期：二〇二</w:t>
      </w:r>
      <w:r>
        <w:rPr>
          <w:rFonts w:hint="eastAsia" w:eastAsia="宋体" w:cs="宋体" w:asciiTheme="minorEastAsia" w:hAnsiTheme="minorEastAsia"/>
          <w:b/>
          <w:color w:val="auto"/>
          <w:sz w:val="36"/>
          <w:highlight w:val="none"/>
          <w:lang w:val="en-US" w:eastAsia="zh-CN"/>
        </w:rPr>
        <w:t>五</w:t>
      </w:r>
      <w:r>
        <w:rPr>
          <w:rFonts w:cs="宋体" w:asciiTheme="minorEastAsia" w:hAnsiTheme="minorEastAsia"/>
          <w:b/>
          <w:color w:val="auto"/>
          <w:sz w:val="36"/>
          <w:highlight w:val="none"/>
        </w:rPr>
        <w:t>年</w:t>
      </w:r>
      <w:r>
        <w:rPr>
          <w:rFonts w:hint="eastAsia" w:cs="宋体" w:asciiTheme="minorEastAsia" w:hAnsiTheme="minorEastAsia"/>
          <w:b/>
          <w:color w:val="auto"/>
          <w:sz w:val="36"/>
          <w:highlight w:val="none"/>
          <w:lang w:val="en-US" w:eastAsia="zh-CN"/>
        </w:rPr>
        <w:t>二</w:t>
      </w:r>
      <w:r>
        <w:rPr>
          <w:rFonts w:cs="宋体" w:asciiTheme="minorEastAsia" w:hAnsiTheme="minorEastAsia"/>
          <w:b/>
          <w:color w:val="auto"/>
          <w:sz w:val="36"/>
          <w:highlight w:val="none"/>
        </w:rPr>
        <w:t>月</w:t>
      </w:r>
    </w:p>
    <w:p w14:paraId="79FF9A25">
      <w:pPr>
        <w:rPr>
          <w:rFonts w:cs="宋体" w:asciiTheme="minorEastAsia" w:hAnsiTheme="minorEastAsia"/>
          <w:b/>
          <w:color w:val="auto"/>
          <w:sz w:val="36"/>
          <w:highlight w:val="none"/>
        </w:rPr>
      </w:pPr>
      <w:r>
        <w:rPr>
          <w:rFonts w:cs="宋体" w:asciiTheme="minorEastAsia" w:hAnsiTheme="minorEastAsia"/>
          <w:b/>
          <w:color w:val="auto"/>
          <w:sz w:val="36"/>
          <w:highlight w:val="none"/>
        </w:rPr>
        <w:br w:type="page"/>
      </w:r>
    </w:p>
    <w:p w14:paraId="31C9F1B0">
      <w:pPr>
        <w:pStyle w:val="16"/>
        <w:numPr>
          <w:ilvl w:val="0"/>
          <w:numId w:val="0"/>
        </w:numPr>
        <w:jc w:val="center"/>
        <w:outlineLvl w:val="0"/>
        <w:rPr>
          <w:rFonts w:cs="黑体" w:asciiTheme="minorEastAsia" w:hAnsiTheme="minorEastAsia" w:eastAsiaTheme="minorEastAsia"/>
          <w:b/>
          <w:color w:val="auto"/>
          <w:sz w:val="36"/>
          <w:highlight w:val="none"/>
          <w:lang w:val="zh-CN"/>
        </w:rPr>
      </w:pPr>
      <w:r>
        <w:rPr>
          <w:rFonts w:hint="eastAsia" w:cs="黑体" w:asciiTheme="minorEastAsia" w:hAnsiTheme="minorEastAsia" w:eastAsiaTheme="minorEastAsia"/>
          <w:b/>
          <w:color w:val="auto"/>
          <w:sz w:val="36"/>
          <w:szCs w:val="24"/>
          <w:lang w:val="zh-CN" w:eastAsia="zh-CN" w:bidi="ar-SA"/>
        </w:rPr>
        <w:t>第一章</w:t>
      </w:r>
      <w:r>
        <w:rPr>
          <w:rFonts w:hint="eastAsia" w:cs="黑体" w:asciiTheme="minorEastAsia" w:hAnsiTheme="minorEastAsia" w:eastAsiaTheme="minorEastAsia"/>
          <w:b/>
          <w:color w:val="auto"/>
          <w:sz w:val="36"/>
          <w:szCs w:val="24"/>
          <w:lang w:val="en-US" w:eastAsia="zh-CN" w:bidi="ar-SA"/>
        </w:rPr>
        <w:t xml:space="preserve"> </w:t>
      </w:r>
      <w:r>
        <w:rPr>
          <w:rFonts w:hint="eastAsia" w:cs="黑体" w:asciiTheme="minorEastAsia" w:hAnsiTheme="minorEastAsia" w:eastAsiaTheme="minorEastAsia"/>
          <w:b/>
          <w:color w:val="auto"/>
          <w:sz w:val="36"/>
          <w:highlight w:val="none"/>
          <w:lang w:val="zh-CN"/>
        </w:rPr>
        <w:t>投标邀请</w:t>
      </w:r>
    </w:p>
    <w:p w14:paraId="49F2728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项目所在地区：江苏省，南京市</w:t>
      </w:r>
    </w:p>
    <w:p w14:paraId="45D654FA">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一、招标条件</w:t>
      </w:r>
    </w:p>
    <w:p w14:paraId="70DEA39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w:t>
      </w:r>
      <w:r>
        <w:rPr>
          <w:rFonts w:hint="eastAsia" w:asciiTheme="minorEastAsia" w:hAnsiTheme="minorEastAsia" w:cstheme="minorEastAsia"/>
          <w:color w:val="auto"/>
          <w:sz w:val="24"/>
          <w:szCs w:val="24"/>
          <w:highlight w:val="none"/>
          <w:lang w:eastAsia="zh-CN"/>
        </w:rPr>
        <w:t>南京校区三楼教工食堂食材采购</w:t>
      </w:r>
      <w:r>
        <w:rPr>
          <w:rFonts w:hint="eastAsia" w:asciiTheme="minorEastAsia" w:hAnsiTheme="minorEastAsia" w:eastAsiaTheme="minorEastAsia" w:cstheme="minorEastAsia"/>
          <w:color w:val="auto"/>
          <w:sz w:val="24"/>
          <w:szCs w:val="24"/>
          <w:highlight w:val="none"/>
        </w:rPr>
        <w:t>已由项目审批/核准/备案机关</w:t>
      </w:r>
      <w:r>
        <w:rPr>
          <w:rFonts w:hint="eastAsia" w:asciiTheme="minorEastAsia" w:hAnsiTheme="minorEastAsia" w:cstheme="minorEastAsia"/>
          <w:color w:val="auto"/>
          <w:sz w:val="24"/>
          <w:szCs w:val="24"/>
          <w:highlight w:val="none"/>
          <w:lang w:val="en-US" w:eastAsia="zh-CN"/>
        </w:rPr>
        <w:t>批准</w:t>
      </w:r>
      <w:r>
        <w:rPr>
          <w:rFonts w:hint="eastAsia" w:asciiTheme="minorEastAsia" w:hAnsiTheme="minorEastAsia" w:eastAsiaTheme="minorEastAsia" w:cstheme="minorEastAsia"/>
          <w:color w:val="auto"/>
          <w:sz w:val="24"/>
          <w:szCs w:val="24"/>
          <w:highlight w:val="none"/>
        </w:rPr>
        <w:t>，项目资金来源为</w:t>
      </w:r>
      <w:r>
        <w:rPr>
          <w:rFonts w:hint="eastAsia" w:asciiTheme="minorEastAsia" w:hAnsiTheme="minorEastAsia" w:cstheme="minorEastAsia"/>
          <w:color w:val="auto"/>
          <w:sz w:val="24"/>
          <w:szCs w:val="24"/>
          <w:highlight w:val="none"/>
          <w:lang w:val="en-US" w:eastAsia="zh-CN"/>
        </w:rPr>
        <w:t>国有</w:t>
      </w:r>
      <w:r>
        <w:rPr>
          <w:rFonts w:hint="eastAsia" w:asciiTheme="minorEastAsia" w:hAnsiTheme="minorEastAsia" w:eastAsiaTheme="minorEastAsia" w:cstheme="minorEastAsia"/>
          <w:color w:val="auto"/>
          <w:sz w:val="24"/>
          <w:szCs w:val="24"/>
          <w:highlight w:val="none"/>
        </w:rPr>
        <w:t>资金</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317.96521万元</w:t>
      </w:r>
      <w:r>
        <w:rPr>
          <w:rFonts w:hint="eastAsia" w:asciiTheme="minorEastAsia" w:hAnsiTheme="minorEastAsia" w:eastAsiaTheme="minorEastAsia" w:cstheme="minorEastAsia"/>
          <w:color w:val="auto"/>
          <w:sz w:val="24"/>
          <w:szCs w:val="24"/>
          <w:highlight w:val="none"/>
        </w:rPr>
        <w:t>，招标人为</w:t>
      </w:r>
      <w:r>
        <w:rPr>
          <w:rFonts w:hint="eastAsia" w:asciiTheme="minorEastAsia" w:hAnsiTheme="minorEastAsia" w:cstheme="minorEastAsia"/>
          <w:color w:val="auto"/>
          <w:sz w:val="24"/>
          <w:szCs w:val="24"/>
          <w:highlight w:val="none"/>
          <w:lang w:eastAsia="zh-CN"/>
        </w:rPr>
        <w:t>镇江金学问教育培训有限公司</w:t>
      </w:r>
      <w:r>
        <w:rPr>
          <w:rFonts w:hint="eastAsia" w:asciiTheme="minorEastAsia" w:hAnsiTheme="minorEastAsia" w:eastAsiaTheme="minorEastAsia" w:cstheme="minorEastAsia"/>
          <w:color w:val="auto"/>
          <w:sz w:val="24"/>
          <w:szCs w:val="24"/>
          <w:highlight w:val="none"/>
        </w:rPr>
        <w:t>。本项目已具备招标条件，现招标方式为</w:t>
      </w:r>
      <w:r>
        <w:rPr>
          <w:rFonts w:hint="eastAsia" w:asciiTheme="minorEastAsia" w:hAnsiTheme="minorEastAsia" w:cstheme="minorEastAsia"/>
          <w:color w:val="auto"/>
          <w:sz w:val="24"/>
          <w:szCs w:val="24"/>
          <w:highlight w:val="none"/>
          <w:lang w:val="en-US" w:eastAsia="zh-CN"/>
        </w:rPr>
        <w:t>公开招标</w:t>
      </w:r>
      <w:r>
        <w:rPr>
          <w:rFonts w:hint="eastAsia" w:asciiTheme="minorEastAsia" w:hAnsiTheme="minorEastAsia" w:eastAsiaTheme="minorEastAsia" w:cstheme="minorEastAsia"/>
          <w:color w:val="auto"/>
          <w:sz w:val="24"/>
          <w:szCs w:val="24"/>
          <w:highlight w:val="none"/>
        </w:rPr>
        <w:t>。</w:t>
      </w:r>
    </w:p>
    <w:p w14:paraId="48634DB2">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二、项目概况和招标范围</w:t>
      </w:r>
    </w:p>
    <w:p w14:paraId="2719133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规模：</w:t>
      </w:r>
      <w:r>
        <w:rPr>
          <w:rFonts w:hint="eastAsia" w:asciiTheme="minorEastAsia" w:hAnsiTheme="minorEastAsia" w:cstheme="minorEastAsia"/>
          <w:color w:val="auto"/>
          <w:sz w:val="24"/>
          <w:szCs w:val="24"/>
          <w:highlight w:val="none"/>
          <w:lang w:eastAsia="zh-CN"/>
        </w:rPr>
        <w:t>南京校区三楼教工食堂食材采购</w:t>
      </w:r>
      <w:r>
        <w:rPr>
          <w:rFonts w:hint="eastAsia" w:asciiTheme="minorEastAsia" w:hAnsiTheme="minorEastAsia" w:eastAsiaTheme="minorEastAsia" w:cstheme="minorEastAsia"/>
          <w:color w:val="auto"/>
          <w:sz w:val="24"/>
          <w:szCs w:val="24"/>
          <w:highlight w:val="none"/>
        </w:rPr>
        <w:t>，具体内容详见采购文件。</w:t>
      </w:r>
    </w:p>
    <w:p w14:paraId="245BD49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范围：本招标项目划分为 </w:t>
      </w: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 xml:space="preserve"> 个标段，本次招标为其中的：</w:t>
      </w:r>
    </w:p>
    <w:p w14:paraId="244625C5">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肉、禽类、水产品类</w:t>
      </w:r>
    </w:p>
    <w:p w14:paraId="078BFEFE">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蔬菜、豆制品、水果类</w:t>
      </w:r>
    </w:p>
    <w:p w14:paraId="3B3D5EA2">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粮油、调味料、干货、牛奶饮料类</w:t>
      </w:r>
    </w:p>
    <w:p w14:paraId="4B642570">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冷冻制品类</w:t>
      </w:r>
    </w:p>
    <w:p w14:paraId="5B987BA2">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三、投标人资格要求</w:t>
      </w:r>
    </w:p>
    <w:p w14:paraId="775CDBF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肉、禽类、水产品类：</w:t>
      </w:r>
    </w:p>
    <w:p w14:paraId="3976768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1.具有独立承担民事责任的能力（提供法人或者其他组织的营业执照</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为自然人的，提供其身份证</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w:t>
      </w:r>
    </w:p>
    <w:p w14:paraId="03028E0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2.具有良好的商业信誉和健全的财务会计制度（提供2023年度</w:t>
      </w:r>
      <w:r>
        <w:rPr>
          <w:rFonts w:hint="eastAsia" w:asciiTheme="minorEastAsia" w:hAnsiTheme="minorEastAsia" w:cstheme="minorEastAsia"/>
          <w:color w:val="auto"/>
          <w:sz w:val="24"/>
          <w:szCs w:val="24"/>
          <w:highlight w:val="none"/>
          <w:lang w:val="en-US" w:eastAsia="zh-CN"/>
        </w:rPr>
        <w:t>或2024年度</w:t>
      </w:r>
      <w:r>
        <w:rPr>
          <w:rFonts w:hint="eastAsia" w:asciiTheme="minorEastAsia" w:hAnsiTheme="minorEastAsia" w:eastAsiaTheme="minorEastAsia" w:cstheme="minorEastAsia"/>
          <w:color w:val="auto"/>
          <w:sz w:val="24"/>
          <w:szCs w:val="24"/>
          <w:highlight w:val="none"/>
          <w:lang w:eastAsia="zh-CN"/>
        </w:rPr>
        <w:t>的财务状况报告（至少包括资产负债表和利润表）</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，或</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截止时间前六个月内银行出具的资信证明</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，成立不满一年的无须提供）；</w:t>
      </w:r>
    </w:p>
    <w:p w14:paraId="74CDC6B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3.具有履行合同所必需的设备和专业技术能力（根据项目需求提供履行合同所必需的设备和专业技术能力的证明材料或相关加盖公章的书面声明）；</w:t>
      </w:r>
    </w:p>
    <w:p w14:paraId="368867D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4.有依法缴纳税收和社会保障资金的良好记录（提供参加本次采购活动前半年内（至少一个月）依法缴纳税收（</w:t>
      </w:r>
      <w:r>
        <w:rPr>
          <w:rFonts w:hint="eastAsia" w:asciiTheme="minorEastAsia" w:hAnsiTheme="minorEastAsia" w:cstheme="minorEastAsia"/>
          <w:color w:val="auto"/>
          <w:sz w:val="24"/>
          <w:szCs w:val="24"/>
          <w:highlight w:val="none"/>
          <w:lang w:val="en-US" w:eastAsia="zh-CN"/>
        </w:rPr>
        <w:t>企业代缴的个人所得税除外</w:t>
      </w:r>
      <w:r>
        <w:rPr>
          <w:rFonts w:hint="eastAsia" w:asciiTheme="minorEastAsia" w:hAnsiTheme="minorEastAsia" w:eastAsiaTheme="minorEastAsia" w:cstheme="minorEastAsia"/>
          <w:color w:val="auto"/>
          <w:sz w:val="24"/>
          <w:szCs w:val="24"/>
          <w:highlight w:val="none"/>
          <w:lang w:eastAsia="zh-CN"/>
        </w:rPr>
        <w:t>）和社会保障资金的相关材料（提供相关主管部门证明或银行代扣证明的复印件，根据国家相关政策免缴或迟缴的需提供相关证明材料））；</w:t>
      </w:r>
    </w:p>
    <w:p w14:paraId="530B347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5.参加采购活动前三年内，在经营活动中没有重大违法记录（提供参加本次采购活动前3年内在经营活动中没有重大违法记录的书面声明。本条所称重大违法记录，是指</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因违法经营受到刑事处罚或者责令停产停业、吊销许可证或者执照、较大数额罚款等行政处罚。</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在参加采购活动前3年内因违法经营被禁止在一定期限内参加采购活动，期限届满的，可以参加采购活动）；</w:t>
      </w:r>
    </w:p>
    <w:p w14:paraId="3283132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6.法律、行政法规规定的其他条件：</w:t>
      </w:r>
    </w:p>
    <w:p w14:paraId="4A32679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6.1.单位负责人为同一人或者存在直接控股、管理关系的不同</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，不得参加同一合同项下的政府采购活动。</w:t>
      </w:r>
    </w:p>
    <w:p w14:paraId="1240D47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6.2.为采购项目提供整体设计、规范编制或者项目管理、监理、检测等服务的</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，不得再参加该采购项目的其他采购活动。</w:t>
      </w:r>
    </w:p>
    <w:p w14:paraId="632DE29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6.3.拒绝列入失信被执行人、重大税收违法失信主体、政府采购严重违法失信行为记录名单的</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参与政府采购活动。</w:t>
      </w:r>
      <w:r>
        <w:rPr>
          <w:rFonts w:hint="eastAsia" w:asciiTheme="minorEastAsia" w:hAnsi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lang w:eastAsia="zh-CN"/>
        </w:rPr>
        <w:t>将在</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文件提交截止时间后，通过“中国政府采购网”、“信用中国”网站等渠道查询</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信用记录并保存。</w:t>
      </w:r>
    </w:p>
    <w:p w14:paraId="175ABCD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投标人须具有有效的《食品生产许可证》或《食品经营许可证》。</w:t>
      </w:r>
      <w:r>
        <w:rPr>
          <w:rFonts w:hint="eastAsia" w:asciiTheme="minorEastAsia" w:hAnsiTheme="minorEastAsia" w:eastAsiaTheme="minorEastAsia" w:cstheme="minorEastAsia"/>
          <w:b w:val="0"/>
          <w:bCs w:val="0"/>
          <w:color w:val="auto"/>
          <w:sz w:val="24"/>
          <w:szCs w:val="24"/>
          <w:highlight w:val="none"/>
          <w:lang w:val="en-US" w:eastAsia="zh-CN"/>
        </w:rPr>
        <w:t>（提供有效期内的证明材料复印件并加盖公章）</w:t>
      </w:r>
    </w:p>
    <w:p w14:paraId="6DDEDFC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蔬菜、豆制品、水果类：</w:t>
      </w:r>
    </w:p>
    <w:p w14:paraId="0D4ADD4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1.具有独立承担民事责任的能力（提供法人或者其他组织的营业执照</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为自然人的，提供其身份证</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w:t>
      </w:r>
    </w:p>
    <w:p w14:paraId="7085FF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2.具有良好的商业信誉和健全的财务会计制度（提供2023年度</w:t>
      </w:r>
      <w:r>
        <w:rPr>
          <w:rFonts w:hint="eastAsia" w:asciiTheme="minorEastAsia" w:hAnsiTheme="minorEastAsia" w:cstheme="minorEastAsia"/>
          <w:color w:val="auto"/>
          <w:sz w:val="24"/>
          <w:szCs w:val="24"/>
          <w:highlight w:val="none"/>
          <w:lang w:val="en-US" w:eastAsia="zh-CN"/>
        </w:rPr>
        <w:t>或2024年度</w:t>
      </w:r>
      <w:r>
        <w:rPr>
          <w:rFonts w:hint="eastAsia" w:asciiTheme="minorEastAsia" w:hAnsiTheme="minorEastAsia" w:eastAsiaTheme="minorEastAsia" w:cstheme="minorEastAsia"/>
          <w:color w:val="auto"/>
          <w:sz w:val="24"/>
          <w:szCs w:val="24"/>
          <w:highlight w:val="none"/>
          <w:lang w:eastAsia="zh-CN"/>
        </w:rPr>
        <w:t>的财务状况报告（至少包括资产负债表和利润表）</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，或</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截止时间前六个月内银行出具的资信证明</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，成立不满一年的无须提供）；</w:t>
      </w:r>
    </w:p>
    <w:p w14:paraId="480FFF2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3.具有履行合同所必需的设备和专业技术能力（根据项目需求提供履行合同所必需的设备和专业技术能力的证明材料或相关加盖公章的书面声明）；</w:t>
      </w:r>
    </w:p>
    <w:p w14:paraId="7A86928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4.有依法缴纳税收和社会保障资金的良好记录（提供参加本次采购活动前半年内（至少一个月）依法缴纳税收（</w:t>
      </w:r>
      <w:r>
        <w:rPr>
          <w:rFonts w:hint="eastAsia" w:asciiTheme="minorEastAsia" w:hAnsiTheme="minorEastAsia" w:cstheme="minorEastAsia"/>
          <w:color w:val="auto"/>
          <w:sz w:val="24"/>
          <w:szCs w:val="24"/>
          <w:highlight w:val="none"/>
          <w:lang w:val="en-US" w:eastAsia="zh-CN"/>
        </w:rPr>
        <w:t>企业代缴的个人所得税除外</w:t>
      </w:r>
      <w:r>
        <w:rPr>
          <w:rFonts w:hint="eastAsia" w:asciiTheme="minorEastAsia" w:hAnsiTheme="minorEastAsia" w:eastAsiaTheme="minorEastAsia" w:cstheme="minorEastAsia"/>
          <w:color w:val="auto"/>
          <w:sz w:val="24"/>
          <w:szCs w:val="24"/>
          <w:highlight w:val="none"/>
          <w:lang w:eastAsia="zh-CN"/>
        </w:rPr>
        <w:t>）和社会保障资金的相关材料（提供相关主管部门证明或银行代扣证明的复印件，根据国家相关政策免缴或迟缴的需提供相关证明材料））；</w:t>
      </w:r>
    </w:p>
    <w:p w14:paraId="5AF229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5.参加采购活动前三年内，在经营活动中没有重大违法记录（提供参加本次采购活动前3年内在经营活动中没有重大违法记录的书面声明。本条所称重大违法记录，是指</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因违法经营受到刑事处罚或者责令停产停业、吊销许可证或者执照、较大数额罚款等行政处罚。</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在参加采购活动前3年内因违法经营被禁止在一定期限内参加采购活动，期限届满的，可以参加采购活动）；</w:t>
      </w:r>
    </w:p>
    <w:p w14:paraId="466B2D4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6.法律、行政法规规定的其他条件：</w:t>
      </w:r>
    </w:p>
    <w:p w14:paraId="481471E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6.1.单位负责人为同一人或者存在直接控股、管理关系的不同</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，不得参加同一合同项下的政府采购活动。</w:t>
      </w:r>
    </w:p>
    <w:p w14:paraId="2CDBB53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6.2.为采购项目提供整体设计、规范编制或者项目管理、监理、检测等服务的</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，不得再参加该采购项目的其他采购活动。</w:t>
      </w:r>
    </w:p>
    <w:p w14:paraId="68BC329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6.3.拒绝列入失信被执行人、重大税收违法失信主体、政府采购严重违法失信行为记录名单的</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参与政府采购活动。</w:t>
      </w:r>
      <w:r>
        <w:rPr>
          <w:rFonts w:hint="eastAsia" w:asciiTheme="minorEastAsia" w:hAnsi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lang w:eastAsia="zh-CN"/>
        </w:rPr>
        <w:t>将在</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文件提交截止时间后，通过“中国政府采购网”、“信用中国”网站等渠道查询</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信用记录并保存。</w:t>
      </w:r>
    </w:p>
    <w:p w14:paraId="4C38B72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投标人须具有有效的《食品生产许可证》或《食品经营许可证》。</w:t>
      </w:r>
      <w:r>
        <w:rPr>
          <w:rFonts w:hint="eastAsia" w:asciiTheme="minorEastAsia" w:hAnsiTheme="minorEastAsia" w:eastAsiaTheme="minorEastAsia" w:cstheme="minorEastAsia"/>
          <w:b w:val="0"/>
          <w:bCs w:val="0"/>
          <w:color w:val="auto"/>
          <w:sz w:val="24"/>
          <w:szCs w:val="24"/>
          <w:highlight w:val="none"/>
          <w:lang w:val="en-US" w:eastAsia="zh-CN"/>
        </w:rPr>
        <w:t>（提供有效期内的证明材料复印件并加盖公章）</w:t>
      </w:r>
    </w:p>
    <w:p w14:paraId="6A25D34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粮油、调味料、干货、牛奶饮料类：</w:t>
      </w:r>
    </w:p>
    <w:p w14:paraId="4D13EF4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1.具有独立承担民事责任的能力（提供法人或者其他组织的营业执照</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为自然人的，提供其身份证</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w:t>
      </w:r>
    </w:p>
    <w:p w14:paraId="6FA09F2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2.具有良好的商业信誉和健全的财务会计制度（提供2023年度</w:t>
      </w:r>
      <w:r>
        <w:rPr>
          <w:rFonts w:hint="eastAsia" w:asciiTheme="minorEastAsia" w:hAnsiTheme="minorEastAsia" w:cstheme="minorEastAsia"/>
          <w:color w:val="auto"/>
          <w:sz w:val="24"/>
          <w:szCs w:val="24"/>
          <w:highlight w:val="none"/>
          <w:lang w:val="en-US" w:eastAsia="zh-CN"/>
        </w:rPr>
        <w:t>或2024年度</w:t>
      </w:r>
      <w:r>
        <w:rPr>
          <w:rFonts w:hint="eastAsia" w:asciiTheme="minorEastAsia" w:hAnsiTheme="minorEastAsia" w:eastAsiaTheme="minorEastAsia" w:cstheme="minorEastAsia"/>
          <w:color w:val="auto"/>
          <w:sz w:val="24"/>
          <w:szCs w:val="24"/>
          <w:highlight w:val="none"/>
          <w:lang w:eastAsia="zh-CN"/>
        </w:rPr>
        <w:t>的财务状况报告（至少包括资产负债表和利润表）</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，或</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截止时间前六个月内银行出具的资信证明</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，成立不满一年的无须提供）；</w:t>
      </w:r>
    </w:p>
    <w:p w14:paraId="7F3C77D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3.具有履行合同所必需的设备和专业技术能力（根据项目需求提供履行合同所必需的设备和专业技术能力的证明材料或相关加盖公章的书面声明）；</w:t>
      </w:r>
    </w:p>
    <w:p w14:paraId="3AF5B5C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4.有依法缴纳税收和社会保障资金的良好记录（提供参加本次采购活动前半年内（至少一个月）依法缴纳税收（</w:t>
      </w:r>
      <w:r>
        <w:rPr>
          <w:rFonts w:hint="eastAsia" w:asciiTheme="minorEastAsia" w:hAnsiTheme="minorEastAsia" w:cstheme="minorEastAsia"/>
          <w:color w:val="auto"/>
          <w:sz w:val="24"/>
          <w:szCs w:val="24"/>
          <w:highlight w:val="none"/>
          <w:lang w:val="en-US" w:eastAsia="zh-CN"/>
        </w:rPr>
        <w:t>企业代缴的个人所得税除外</w:t>
      </w:r>
      <w:r>
        <w:rPr>
          <w:rFonts w:hint="eastAsia" w:asciiTheme="minorEastAsia" w:hAnsiTheme="minorEastAsia" w:eastAsiaTheme="minorEastAsia" w:cstheme="minorEastAsia"/>
          <w:color w:val="auto"/>
          <w:sz w:val="24"/>
          <w:szCs w:val="24"/>
          <w:highlight w:val="none"/>
          <w:lang w:eastAsia="zh-CN"/>
        </w:rPr>
        <w:t>）和社会保障资金的相关材料（提供相关主管部门证明或银行代扣证明的复印件，根据国家相关政策免缴或迟缴的需提供相关证明材料））；</w:t>
      </w:r>
    </w:p>
    <w:p w14:paraId="5E38C33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5.参加采购活动前三年内，在经营活动中没有重大违法记录（提供参加本次采购活动前3年内在经营活动中没有重大违法记录的书面声明。本条所称重大违法记录，是指</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因违法经营受到刑事处罚或者责令停产停业、吊销许可证或者执照、较大数额罚款等行政处罚。</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在参加采购活动前3年内因违法经营被禁止在一定期限内参加采购活动，期限届满的，可以参加采购活动）；</w:t>
      </w:r>
    </w:p>
    <w:p w14:paraId="7EEBBD3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6.法律、行政法规规定的其他条件：</w:t>
      </w:r>
    </w:p>
    <w:p w14:paraId="66F1FA4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6.1.单位负责人为同一人或者存在直接控股、管理关系的不同</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，不得参加同一合同项下的政府采购活动。</w:t>
      </w:r>
    </w:p>
    <w:p w14:paraId="0A06FBE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6.2.为采购项目提供整体设计、规范编制或者项目管理、监理、检测等服务的</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，不得再参加该采购项目的其他采购活动。</w:t>
      </w:r>
    </w:p>
    <w:p w14:paraId="615AC2B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6.3.拒绝列入失信被执行人、重大税收违法失信主体、政府采购严重违法失信行为记录名单的</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参与政府采购活动。</w:t>
      </w:r>
      <w:r>
        <w:rPr>
          <w:rFonts w:hint="eastAsia" w:asciiTheme="minorEastAsia" w:hAnsi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lang w:eastAsia="zh-CN"/>
        </w:rPr>
        <w:t>将在</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文件提交截止时间后，通过“中国政府采购网”、“信用中国”网站等渠道查询</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信用记录并保存。</w:t>
      </w:r>
    </w:p>
    <w:p w14:paraId="6D4453A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投标人须具有有效的《食品生产许可证》或《食品经营许可证》。</w:t>
      </w:r>
      <w:r>
        <w:rPr>
          <w:rFonts w:hint="eastAsia" w:asciiTheme="minorEastAsia" w:hAnsiTheme="minorEastAsia" w:eastAsiaTheme="minorEastAsia" w:cstheme="minorEastAsia"/>
          <w:b w:val="0"/>
          <w:bCs w:val="0"/>
          <w:color w:val="auto"/>
          <w:sz w:val="24"/>
          <w:szCs w:val="24"/>
          <w:highlight w:val="none"/>
          <w:lang w:val="en-US" w:eastAsia="zh-CN"/>
        </w:rPr>
        <w:t>（提供有效期内的证明材料复印件并加盖公章）</w:t>
      </w:r>
    </w:p>
    <w:p w14:paraId="30A8EFE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冷冻制品类：</w:t>
      </w:r>
    </w:p>
    <w:p w14:paraId="5C5E2B6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1.具有独立承担民事责任的能力（提供法人或者其他组织的营业执照</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为自然人的，提供其身份证</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w:t>
      </w:r>
    </w:p>
    <w:p w14:paraId="797AE0E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2.具有良好的商业信誉和健全的财务会计制度（提供2023年度</w:t>
      </w:r>
      <w:r>
        <w:rPr>
          <w:rFonts w:hint="eastAsia" w:asciiTheme="minorEastAsia" w:hAnsiTheme="minorEastAsia" w:cstheme="minorEastAsia"/>
          <w:color w:val="auto"/>
          <w:sz w:val="24"/>
          <w:szCs w:val="24"/>
          <w:highlight w:val="none"/>
          <w:lang w:val="en-US" w:eastAsia="zh-CN"/>
        </w:rPr>
        <w:t>或2024年度</w:t>
      </w:r>
      <w:r>
        <w:rPr>
          <w:rFonts w:hint="eastAsia" w:asciiTheme="minorEastAsia" w:hAnsiTheme="minorEastAsia" w:eastAsiaTheme="minorEastAsia" w:cstheme="minorEastAsia"/>
          <w:color w:val="auto"/>
          <w:sz w:val="24"/>
          <w:szCs w:val="24"/>
          <w:highlight w:val="none"/>
          <w:lang w:eastAsia="zh-CN"/>
        </w:rPr>
        <w:t>的财务状况报告（至少包括资产负债表和利润表）</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，或</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截止时间前六个月内银行出具的资信证明</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，成立不满一年的无须提供）；</w:t>
      </w:r>
    </w:p>
    <w:p w14:paraId="294C1B0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3.具有履行合同所必需的设备和专业技术能力（根据项目需求提供履行合同所必需的设备和专业技术能力的证明材料或相关加盖公章的书面声明）；</w:t>
      </w:r>
    </w:p>
    <w:p w14:paraId="22DFDDB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4.有依法缴纳税收和社会保障资金的良好记录（提供参加本次采购活动前半年内（至少一个月）依法缴纳税收（</w:t>
      </w:r>
      <w:r>
        <w:rPr>
          <w:rFonts w:hint="eastAsia" w:asciiTheme="minorEastAsia" w:hAnsiTheme="minorEastAsia" w:cstheme="minorEastAsia"/>
          <w:color w:val="auto"/>
          <w:sz w:val="24"/>
          <w:szCs w:val="24"/>
          <w:highlight w:val="none"/>
          <w:lang w:val="en-US" w:eastAsia="zh-CN"/>
        </w:rPr>
        <w:t>企业代缴的个人所得税除外</w:t>
      </w:r>
      <w:r>
        <w:rPr>
          <w:rFonts w:hint="eastAsia" w:asciiTheme="minorEastAsia" w:hAnsiTheme="minorEastAsia" w:eastAsiaTheme="minorEastAsia" w:cstheme="minorEastAsia"/>
          <w:color w:val="auto"/>
          <w:sz w:val="24"/>
          <w:szCs w:val="24"/>
          <w:highlight w:val="none"/>
          <w:lang w:eastAsia="zh-CN"/>
        </w:rPr>
        <w:t>）和社会保障资金的相关材料（提供相关主管部门证明或银行代扣证明的复印件，根据国家相关政策免缴或迟缴的需提供相关证明材料））；</w:t>
      </w:r>
    </w:p>
    <w:p w14:paraId="27E7EE7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5.参加采购活动前三年内，在经营活动中没有重大违法记录（提供参加本次采购活动前3年内在经营活动中没有重大违法记录的书面声明。本条所称重大违法记录，是指</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因违法经营受到刑事处罚或者责令停产停业、吊销许可证或者执照、较大数额罚款等行政处罚。</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在参加采购活动前3年内因违法经营被禁止在一定期限内参加采购活动，期限届满的，可以参加采购活动）；</w:t>
      </w:r>
    </w:p>
    <w:p w14:paraId="5B1A7E2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6.法律、行政法规规定的其他条件：</w:t>
      </w:r>
    </w:p>
    <w:p w14:paraId="0FFA7F0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6.1.单位负责人为同一人或者存在直接控股、管理关系的不同</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，不得参加同一合同项下的政府采购活动。</w:t>
      </w:r>
    </w:p>
    <w:p w14:paraId="643E963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6.2.为采购项目提供整体设计、规范编制或者项目管理、监理、检测等服务的</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，不得再参加该采购项目的其他采购活动。</w:t>
      </w:r>
    </w:p>
    <w:p w14:paraId="7101FC4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6.3.拒绝列入失信被执行人、重大税收违法失信主体、政府采购严重违法失信行为记录名单的</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参与政府采购活动。</w:t>
      </w:r>
      <w:r>
        <w:rPr>
          <w:rFonts w:hint="eastAsia" w:asciiTheme="minorEastAsia" w:hAnsi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lang w:eastAsia="zh-CN"/>
        </w:rPr>
        <w:t>将在</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文件提交截止时间后，通过“中国政府采购网”、“信用中国”网站等渠道查询</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信用记录并保存。</w:t>
      </w:r>
    </w:p>
    <w:p w14:paraId="535278A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投标人须具有有效的《食品生产许可证》或《食品经营许可证》。</w:t>
      </w:r>
      <w:r>
        <w:rPr>
          <w:rFonts w:hint="eastAsia" w:asciiTheme="minorEastAsia" w:hAnsiTheme="minorEastAsia" w:eastAsiaTheme="minorEastAsia" w:cstheme="minorEastAsia"/>
          <w:b w:val="0"/>
          <w:bCs w:val="0"/>
          <w:color w:val="auto"/>
          <w:sz w:val="24"/>
          <w:szCs w:val="24"/>
          <w:highlight w:val="none"/>
          <w:lang w:val="en-US" w:eastAsia="zh-CN"/>
        </w:rPr>
        <w:t>（提供有效期内的证明材料复印件并加盖公章）</w:t>
      </w:r>
    </w:p>
    <w:p w14:paraId="10CA3D6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 不允许 联合体投标。</w:t>
      </w:r>
    </w:p>
    <w:p w14:paraId="4A07A815">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四、招标文件的获取</w:t>
      </w:r>
    </w:p>
    <w:p w14:paraId="0390F9C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时间：202</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X</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X</w:t>
      </w:r>
      <w:r>
        <w:rPr>
          <w:rFonts w:hint="eastAsia" w:asciiTheme="minorEastAsia" w:hAnsiTheme="minorEastAsia" w:eastAsiaTheme="minorEastAsia" w:cstheme="minorEastAsia"/>
          <w:color w:val="auto"/>
          <w:sz w:val="24"/>
          <w:szCs w:val="24"/>
          <w:highlight w:val="none"/>
        </w:rPr>
        <w:t>日上午09:00至202</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X</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X</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cstheme="minorEastAsia"/>
          <w:color w:val="auto"/>
          <w:sz w:val="24"/>
          <w:szCs w:val="24"/>
          <w:highlight w:val="none"/>
          <w:lang w:eastAsia="zh-CN"/>
        </w:rPr>
        <w:t>17:</w:t>
      </w:r>
      <w:r>
        <w:rPr>
          <w:rFonts w:hint="eastAsia" w:asciiTheme="minorEastAsia" w:hAnsiTheme="minorEastAsia" w:eastAsiaTheme="minorEastAsia" w:cstheme="minorEastAsia"/>
          <w:color w:val="auto"/>
          <w:sz w:val="24"/>
          <w:szCs w:val="24"/>
          <w:highlight w:val="none"/>
        </w:rPr>
        <w:t>00</w:t>
      </w:r>
    </w:p>
    <w:p w14:paraId="38E8D95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获取方式：线上支付：</w:t>
      </w:r>
      <w:r>
        <w:rPr>
          <w:rFonts w:hint="eastAsia" w:asciiTheme="minorEastAsia" w:hAnsiTheme="minorEastAsia" w:cstheme="minorEastAsia"/>
          <w:color w:val="auto"/>
          <w:sz w:val="24"/>
          <w:szCs w:val="24"/>
          <w:highlight w:val="none"/>
          <w:lang w:val="en-US" w:eastAsia="zh-CN"/>
        </w:rPr>
        <w:t>标段一</w:t>
      </w:r>
      <w:r>
        <w:rPr>
          <w:rFonts w:hint="eastAsia" w:asciiTheme="minorEastAsia" w:hAnsiTheme="minorEastAsia" w:eastAsiaTheme="minorEastAsia" w:cstheme="minorEastAsia"/>
          <w:color w:val="auto"/>
          <w:sz w:val="24"/>
          <w:szCs w:val="24"/>
          <w:highlight w:val="none"/>
        </w:rPr>
        <w:t>网址为：https://njsnzx.cn/#/detail?id=1336；</w:t>
      </w:r>
      <w:r>
        <w:rPr>
          <w:rFonts w:hint="eastAsia" w:asciiTheme="minorEastAsia" w:hAnsiTheme="minorEastAsia" w:cstheme="minorEastAsia"/>
          <w:color w:val="auto"/>
          <w:sz w:val="24"/>
          <w:szCs w:val="24"/>
          <w:highlight w:val="none"/>
          <w:lang w:val="en-US" w:eastAsia="zh-CN"/>
        </w:rPr>
        <w:t>标段二</w:t>
      </w:r>
      <w:r>
        <w:rPr>
          <w:rFonts w:hint="eastAsia" w:asciiTheme="minorEastAsia" w:hAnsiTheme="minorEastAsia" w:eastAsiaTheme="minorEastAsia" w:cstheme="minorEastAsia"/>
          <w:color w:val="auto"/>
          <w:sz w:val="24"/>
          <w:szCs w:val="24"/>
          <w:highlight w:val="none"/>
        </w:rPr>
        <w:t>网址为：https://njsnzx.cn/#/detail?id=1337；</w:t>
      </w:r>
      <w:r>
        <w:rPr>
          <w:rFonts w:hint="eastAsia" w:asciiTheme="minorEastAsia" w:hAnsiTheme="minorEastAsia" w:cstheme="minorEastAsia"/>
          <w:color w:val="auto"/>
          <w:sz w:val="24"/>
          <w:szCs w:val="24"/>
          <w:highlight w:val="none"/>
          <w:lang w:val="en-US" w:eastAsia="zh-CN"/>
        </w:rPr>
        <w:t>标段三</w:t>
      </w:r>
      <w:r>
        <w:rPr>
          <w:rFonts w:hint="eastAsia" w:asciiTheme="minorEastAsia" w:hAnsiTheme="minorEastAsia" w:eastAsiaTheme="minorEastAsia" w:cstheme="minorEastAsia"/>
          <w:color w:val="auto"/>
          <w:sz w:val="24"/>
          <w:szCs w:val="24"/>
          <w:highlight w:val="none"/>
        </w:rPr>
        <w:t>网址为：https://njsnzx.cn/#/detail?id=1338；</w:t>
      </w:r>
      <w:r>
        <w:rPr>
          <w:rFonts w:hint="eastAsia" w:asciiTheme="minorEastAsia" w:hAnsiTheme="minorEastAsia" w:cstheme="minorEastAsia"/>
          <w:color w:val="auto"/>
          <w:sz w:val="24"/>
          <w:szCs w:val="24"/>
          <w:highlight w:val="none"/>
          <w:lang w:val="en-US" w:eastAsia="zh-CN"/>
        </w:rPr>
        <w:t>标段四</w:t>
      </w:r>
      <w:r>
        <w:rPr>
          <w:rFonts w:hint="eastAsia" w:asciiTheme="minorEastAsia" w:hAnsiTheme="minorEastAsia" w:eastAsiaTheme="minorEastAsia" w:cstheme="minorEastAsia"/>
          <w:color w:val="auto"/>
          <w:sz w:val="24"/>
          <w:szCs w:val="24"/>
          <w:highlight w:val="none"/>
        </w:rPr>
        <w:t>网址为：https://njsnzx.cn/#/detail?id=1339；凡有意参加者，请于上述时间内登录网址（免费注册）根据平台提示完成对应</w:t>
      </w:r>
      <w:r>
        <w:rPr>
          <w:rFonts w:hint="eastAsia" w:asciiTheme="minorEastAsia" w:hAnsiTheme="minorEastAsia" w:cstheme="minorEastAsia"/>
          <w:color w:val="auto"/>
          <w:sz w:val="24"/>
          <w:szCs w:val="24"/>
          <w:highlight w:val="none"/>
          <w:lang w:val="en-US" w:eastAsia="zh-CN"/>
        </w:rPr>
        <w:t>标段</w:t>
      </w:r>
      <w:r>
        <w:rPr>
          <w:rFonts w:hint="eastAsia" w:asciiTheme="minorEastAsia" w:hAnsiTheme="minorEastAsia" w:eastAsiaTheme="minorEastAsia" w:cstheme="minorEastAsia"/>
          <w:color w:val="auto"/>
          <w:sz w:val="24"/>
          <w:szCs w:val="24"/>
          <w:highlight w:val="none"/>
        </w:rPr>
        <w:t>招标（采购）文件线上支付事宜。获取者应充分考虑所需时间，获取招标（采购）文件时间截止后不再接受提交的支付购买。平台提交为一次性工作请确认信息后再提交，若有需要查询支付状态可用注册手机号登录网址：https://njsnzx.cn/查询。支付状态成功后，与采购代理机构联系至南京市鼓楼区中山路99号12楼1212室领取纸质盖章版招标（采购）文件，电子版招标（采购）文件可在平台获取（电子版招标（采购）文件与纸质盖章版招标文件具有同等法律效力）。</w:t>
      </w:r>
    </w:p>
    <w:p w14:paraId="485BCDD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未按照上述要求合法获取对应</w:t>
      </w:r>
      <w:r>
        <w:rPr>
          <w:rFonts w:hint="eastAsia" w:asciiTheme="minorEastAsia" w:hAnsiTheme="minorEastAsia" w:cstheme="minorEastAsia"/>
          <w:color w:val="auto"/>
          <w:sz w:val="24"/>
          <w:szCs w:val="24"/>
          <w:highlight w:val="none"/>
          <w:lang w:val="en-US" w:eastAsia="zh-CN"/>
        </w:rPr>
        <w:t>标段</w:t>
      </w:r>
      <w:r>
        <w:rPr>
          <w:rFonts w:hint="eastAsia" w:asciiTheme="minorEastAsia" w:hAnsiTheme="minorEastAsia" w:eastAsiaTheme="minorEastAsia" w:cstheme="minorEastAsia"/>
          <w:color w:val="auto"/>
          <w:sz w:val="24"/>
          <w:szCs w:val="24"/>
          <w:highlight w:val="none"/>
        </w:rPr>
        <w:t>招标（采购）文件的，招标（采购）人将不予受理其对应</w:t>
      </w:r>
      <w:r>
        <w:rPr>
          <w:rFonts w:hint="eastAsia" w:asciiTheme="minorEastAsia" w:hAnsiTheme="minorEastAsia" w:cstheme="minorEastAsia"/>
          <w:color w:val="auto"/>
          <w:sz w:val="24"/>
          <w:szCs w:val="24"/>
          <w:highlight w:val="none"/>
          <w:lang w:val="en-US" w:eastAsia="zh-CN"/>
        </w:rPr>
        <w:t>标段</w:t>
      </w:r>
      <w:r>
        <w:rPr>
          <w:rFonts w:hint="eastAsia" w:asciiTheme="minorEastAsia" w:hAnsiTheme="minorEastAsia" w:eastAsiaTheme="minorEastAsia" w:cstheme="minorEastAsia"/>
          <w:color w:val="auto"/>
          <w:sz w:val="24"/>
          <w:szCs w:val="24"/>
          <w:highlight w:val="none"/>
        </w:rPr>
        <w:t>的投标（响应）。</w:t>
      </w:r>
    </w:p>
    <w:p w14:paraId="3DBD72F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售价：</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00.00元</w:t>
      </w:r>
      <w:r>
        <w:rPr>
          <w:rFonts w:hint="eastAsia" w:asciiTheme="minorEastAsia" w:hAnsiTheme="minorEastAsia" w:cstheme="minorEastAsia"/>
          <w:color w:val="auto"/>
          <w:sz w:val="24"/>
          <w:szCs w:val="24"/>
          <w:highlight w:val="none"/>
          <w:lang w:val="en-US" w:eastAsia="zh-CN"/>
        </w:rPr>
        <w:t>/标段，本公告包含的招标（采购）文件售价总和。</w:t>
      </w:r>
    </w:p>
    <w:p w14:paraId="1E06A0A9">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五、投标文件的递交</w:t>
      </w:r>
    </w:p>
    <w:p w14:paraId="41AAAEC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递交截止时间：202</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X</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X</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cstheme="minorEastAsia"/>
          <w:color w:val="auto"/>
          <w:sz w:val="24"/>
          <w:szCs w:val="24"/>
          <w:highlight w:val="none"/>
          <w:lang w:val="en-US" w:eastAsia="zh-CN"/>
        </w:rPr>
        <w:t>X</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X</w:t>
      </w:r>
      <w:r>
        <w:rPr>
          <w:rFonts w:hint="eastAsia" w:asciiTheme="minorEastAsia" w:hAnsiTheme="minorEastAsia" w:eastAsiaTheme="minorEastAsia" w:cstheme="minorEastAsia"/>
          <w:color w:val="auto"/>
          <w:sz w:val="24"/>
          <w:szCs w:val="24"/>
          <w:highlight w:val="none"/>
        </w:rPr>
        <w:t>分</w:t>
      </w:r>
    </w:p>
    <w:p w14:paraId="5B4A62F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递交方式：南京市鼓楼区中山路99号12楼1212室</w:t>
      </w:r>
      <w:r>
        <w:rPr>
          <w:rFonts w:hint="eastAsia" w:asciiTheme="minorEastAsia" w:hAnsiTheme="minorEastAsia" w:eastAsiaTheme="minorEastAsia" w:cstheme="minorEastAsia"/>
          <w:color w:val="auto"/>
          <w:sz w:val="24"/>
          <w:szCs w:val="24"/>
          <w:highlight w:val="none"/>
          <w:lang w:val="en-US" w:eastAsia="zh-CN"/>
        </w:rPr>
        <w:t>二楼会议室</w:t>
      </w:r>
      <w:r>
        <w:rPr>
          <w:rFonts w:hint="eastAsia" w:asciiTheme="minorEastAsia" w:hAnsiTheme="minorEastAsia" w:eastAsiaTheme="minorEastAsia" w:cstheme="minorEastAsia"/>
          <w:color w:val="auto"/>
          <w:sz w:val="24"/>
          <w:szCs w:val="24"/>
          <w:highlight w:val="none"/>
        </w:rPr>
        <w:t>纸质文件递交</w:t>
      </w:r>
    </w:p>
    <w:p w14:paraId="39CB1B9B">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六、开标时间及地点</w:t>
      </w:r>
    </w:p>
    <w:p w14:paraId="76AFB05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开标时间：202</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X</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X</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cstheme="minorEastAsia"/>
          <w:color w:val="auto"/>
          <w:sz w:val="24"/>
          <w:szCs w:val="24"/>
          <w:highlight w:val="none"/>
          <w:lang w:val="en-US" w:eastAsia="zh-CN"/>
        </w:rPr>
        <w:t>X</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X</w:t>
      </w:r>
      <w:r>
        <w:rPr>
          <w:rFonts w:hint="eastAsia" w:asciiTheme="minorEastAsia" w:hAnsiTheme="minorEastAsia" w:eastAsiaTheme="minorEastAsia" w:cstheme="minorEastAsia"/>
          <w:color w:val="auto"/>
          <w:sz w:val="24"/>
          <w:szCs w:val="24"/>
          <w:highlight w:val="none"/>
        </w:rPr>
        <w:t>分</w:t>
      </w:r>
    </w:p>
    <w:p w14:paraId="65E256E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开标地点：南京市鼓楼区中山路99号12楼1212室</w:t>
      </w:r>
      <w:r>
        <w:rPr>
          <w:rFonts w:hint="eastAsia" w:asciiTheme="minorEastAsia" w:hAnsiTheme="minorEastAsia" w:eastAsiaTheme="minorEastAsia" w:cstheme="minorEastAsia"/>
          <w:color w:val="auto"/>
          <w:sz w:val="24"/>
          <w:szCs w:val="24"/>
          <w:highlight w:val="none"/>
          <w:lang w:val="en-US" w:eastAsia="zh-CN"/>
        </w:rPr>
        <w:t>二楼会议室</w:t>
      </w:r>
    </w:p>
    <w:p w14:paraId="24EA1C0D">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七、其他</w:t>
      </w:r>
    </w:p>
    <w:p w14:paraId="45ED49D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项目信息</w:t>
      </w:r>
    </w:p>
    <w:p w14:paraId="22075B45">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1.项目名称：</w:t>
      </w:r>
      <w:r>
        <w:rPr>
          <w:rFonts w:hint="eastAsia" w:asciiTheme="minorEastAsia" w:hAnsiTheme="minorEastAsia" w:cstheme="minorEastAsia"/>
          <w:color w:val="auto"/>
          <w:sz w:val="24"/>
          <w:szCs w:val="24"/>
          <w:highlight w:val="none"/>
          <w:lang w:eastAsia="zh-CN"/>
        </w:rPr>
        <w:t>南京校区三楼教工食堂食材采购</w:t>
      </w:r>
    </w:p>
    <w:p w14:paraId="17296F42">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cstheme="minorEastAsia"/>
          <w:color w:val="auto"/>
          <w:sz w:val="24"/>
          <w:szCs w:val="24"/>
          <w:highlight w:val="none"/>
          <w:lang w:eastAsia="zh-CN"/>
        </w:rPr>
        <w:t>金学问-JY-2025-001</w:t>
      </w:r>
    </w:p>
    <w:p w14:paraId="185ECCEA">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预算金额：</w:t>
      </w:r>
      <w:r>
        <w:rPr>
          <w:rFonts w:hint="eastAsia" w:asciiTheme="minorEastAsia" w:hAnsiTheme="minorEastAsia" w:cstheme="minorEastAsia"/>
          <w:color w:val="auto"/>
          <w:sz w:val="24"/>
          <w:szCs w:val="24"/>
          <w:highlight w:val="none"/>
          <w:lang w:val="en-US" w:eastAsia="zh-CN"/>
        </w:rPr>
        <w:t>317.96521万元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标段一</w:t>
      </w:r>
      <w:r>
        <w:rPr>
          <w:rFonts w:hint="eastAsia" w:asciiTheme="minorEastAsia" w:hAnsiTheme="minorEastAsia" w:eastAsiaTheme="minorEastAsia" w:cstheme="minorEastAsia"/>
          <w:color w:val="auto"/>
          <w:sz w:val="24"/>
          <w:szCs w:val="24"/>
          <w:highlight w:val="none"/>
          <w:lang w:val="en-US" w:eastAsia="zh-CN"/>
        </w:rPr>
        <w:t>：116</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954</w:t>
      </w:r>
      <w:r>
        <w:rPr>
          <w:rFonts w:hint="eastAsia" w:asciiTheme="minorEastAsia" w:hAnsiTheme="minorEastAsia" w:cstheme="minorEastAsia"/>
          <w:color w:val="auto"/>
          <w:sz w:val="24"/>
          <w:szCs w:val="24"/>
          <w:highlight w:val="none"/>
          <w:lang w:val="en-US" w:eastAsia="zh-CN"/>
        </w:rPr>
        <w:t>万</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cstheme="minorEastAsia"/>
          <w:color w:val="auto"/>
          <w:sz w:val="24"/>
          <w:szCs w:val="24"/>
          <w:highlight w:val="none"/>
          <w:lang w:val="en-US" w:eastAsia="zh-CN"/>
        </w:rPr>
        <w:t>标段二</w:t>
      </w:r>
      <w:r>
        <w:rPr>
          <w:rFonts w:hint="eastAsia" w:asciiTheme="minorEastAsia" w:hAnsiTheme="minorEastAsia" w:eastAsiaTheme="minorEastAsia" w:cstheme="minorEastAsia"/>
          <w:color w:val="auto"/>
          <w:sz w:val="24"/>
          <w:szCs w:val="24"/>
          <w:highlight w:val="none"/>
          <w:lang w:val="en-US" w:eastAsia="zh-CN"/>
        </w:rPr>
        <w:t>：81</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018元万元；</w:t>
      </w:r>
      <w:r>
        <w:rPr>
          <w:rFonts w:hint="eastAsia" w:asciiTheme="minorEastAsia" w:hAnsiTheme="minorEastAsia" w:cstheme="minorEastAsia"/>
          <w:color w:val="auto"/>
          <w:sz w:val="24"/>
          <w:szCs w:val="24"/>
          <w:highlight w:val="none"/>
          <w:lang w:val="en-US" w:eastAsia="zh-CN"/>
        </w:rPr>
        <w:t>标段三</w:t>
      </w:r>
      <w:r>
        <w:rPr>
          <w:rFonts w:hint="eastAsia" w:asciiTheme="minorEastAsia" w:hAnsiTheme="minorEastAsia" w:eastAsiaTheme="minorEastAsia" w:cstheme="minorEastAsia"/>
          <w:color w:val="auto"/>
          <w:sz w:val="24"/>
          <w:szCs w:val="24"/>
          <w:highlight w:val="none"/>
          <w:lang w:val="en-US" w:eastAsia="zh-CN"/>
        </w:rPr>
        <w:t>：70.30521万元</w:t>
      </w:r>
      <w:r>
        <w:rPr>
          <w:rFonts w:hint="eastAsia" w:asciiTheme="minorEastAsia" w:hAnsiTheme="minorEastAsia" w:cstheme="minorEastAsia"/>
          <w:color w:val="auto"/>
          <w:sz w:val="24"/>
          <w:szCs w:val="24"/>
          <w:highlight w:val="none"/>
          <w:lang w:val="en-US" w:eastAsia="zh-CN"/>
        </w:rPr>
        <w:t>；标段四：49.6880万元</w:t>
      </w:r>
      <w:r>
        <w:rPr>
          <w:rFonts w:hint="eastAsia" w:asciiTheme="minorEastAsia" w:hAnsiTheme="minorEastAsia" w:eastAsiaTheme="minorEastAsia" w:cstheme="minorEastAsia"/>
          <w:color w:val="auto"/>
          <w:sz w:val="24"/>
          <w:szCs w:val="24"/>
          <w:highlight w:val="none"/>
          <w:lang w:eastAsia="zh-CN"/>
        </w:rPr>
        <w:t>）</w:t>
      </w:r>
    </w:p>
    <w:p w14:paraId="0A0E5E55">
      <w:pPr>
        <w:spacing w:line="360" w:lineRule="auto"/>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最高限价：</w:t>
      </w:r>
      <w:r>
        <w:rPr>
          <w:rFonts w:hint="eastAsia" w:asciiTheme="minorEastAsia" w:hAnsiTheme="minorEastAsia" w:cstheme="minorEastAsia"/>
          <w:color w:val="auto"/>
          <w:sz w:val="24"/>
          <w:szCs w:val="24"/>
          <w:highlight w:val="none"/>
          <w:lang w:val="en-US" w:eastAsia="zh-CN"/>
        </w:rPr>
        <w:t>本项目采用折扣报价方式，投标折扣超过100%的视为无效投标。</w:t>
      </w:r>
    </w:p>
    <w:p w14:paraId="25AE05EF">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采购需求：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南京校区三楼教工食堂食材采购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具体内容详见</w:t>
      </w:r>
      <w:r>
        <w:rPr>
          <w:rFonts w:hint="eastAsia" w:asciiTheme="minorEastAsia" w:hAnsi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lang w:val="en-US" w:eastAsia="zh-CN"/>
        </w:rPr>
        <w:t>文件第四章</w:t>
      </w:r>
      <w:r>
        <w:rPr>
          <w:rFonts w:hint="eastAsia" w:asciiTheme="minorEastAsia" w:hAnsiTheme="minorEastAsia" w:eastAsiaTheme="minorEastAsia" w:cstheme="minorEastAsia"/>
          <w:color w:val="auto"/>
          <w:sz w:val="24"/>
          <w:szCs w:val="24"/>
          <w:highlight w:val="none"/>
        </w:rPr>
        <w:t>项目需求。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）本项目共计</w:t>
      </w: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个</w:t>
      </w:r>
      <w:r>
        <w:rPr>
          <w:rFonts w:hint="eastAsia" w:asciiTheme="minorEastAsia" w:hAnsiTheme="minorEastAsia" w:cstheme="minorEastAsia"/>
          <w:color w:val="auto"/>
          <w:sz w:val="24"/>
          <w:szCs w:val="24"/>
          <w:highlight w:val="none"/>
          <w:lang w:val="en-US" w:eastAsia="zh-CN"/>
        </w:rPr>
        <w:t>标段</w:t>
      </w:r>
      <w:r>
        <w:rPr>
          <w:rFonts w:hint="eastAsia" w:asciiTheme="minorEastAsia" w:hAnsiTheme="minorEastAsia" w:eastAsiaTheme="minorEastAsia" w:cstheme="minorEastAsia"/>
          <w:color w:val="auto"/>
          <w:sz w:val="24"/>
          <w:szCs w:val="24"/>
          <w:highlight w:val="none"/>
          <w:lang w:eastAsia="zh-CN"/>
        </w:rPr>
        <w:t>，标段一：肉、禽类、水产品类</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标段编号：金学问-JY-2025-001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标段</w:t>
      </w:r>
      <w:r>
        <w:rPr>
          <w:rFonts w:hint="eastAsia" w:asciiTheme="minorEastAsia" w:hAnsi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：蔬菜、豆制品、水果类</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标段编号：金学问-JY-2025-001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标段</w:t>
      </w:r>
      <w:r>
        <w:rPr>
          <w:rFonts w:hint="eastAsia" w:asciiTheme="minorEastAsia" w:hAnsi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eastAsia="zh-CN"/>
        </w:rPr>
        <w:t>粮油、调味料、干货、牛奶饮料类</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标段编号：金学问-JY-2025-001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标段</w:t>
      </w:r>
      <w:r>
        <w:rPr>
          <w:rFonts w:hint="eastAsia" w:asciiTheme="minorEastAsia" w:hAnsi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eastAsia="zh-CN"/>
        </w:rPr>
        <w:t>：冷冻制品类</w:t>
      </w:r>
      <w:r>
        <w:rPr>
          <w:rFonts w:hint="eastAsia" w:asciiTheme="minorEastAsia" w:hAnsiTheme="minorEastAsia" w:cstheme="minorEastAsia"/>
          <w:color w:val="auto"/>
          <w:sz w:val="24"/>
          <w:szCs w:val="24"/>
          <w:highlight w:val="none"/>
          <w:lang w:eastAsia="zh-CN"/>
        </w:rPr>
        <w:t>（标段编号：金学问-JY-2025-001/</w:t>
      </w: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lang w:eastAsia="zh-CN"/>
        </w:rPr>
        <w:t>可参加任意</w:t>
      </w:r>
      <w:r>
        <w:rPr>
          <w:rFonts w:hint="eastAsia" w:asciiTheme="minorEastAsia" w:hAnsiTheme="minorEastAsia" w:cstheme="minorEastAsia"/>
          <w:color w:val="auto"/>
          <w:sz w:val="24"/>
          <w:szCs w:val="24"/>
          <w:highlight w:val="none"/>
          <w:lang w:val="en-US" w:eastAsia="zh-CN"/>
        </w:rPr>
        <w:t>标段</w:t>
      </w:r>
      <w:r>
        <w:rPr>
          <w:rFonts w:hint="eastAsia" w:asciiTheme="minorEastAsia" w:hAnsiTheme="minorEastAsia" w:eastAsiaTheme="minorEastAsia" w:cstheme="minorEastAsia"/>
          <w:color w:val="auto"/>
          <w:sz w:val="24"/>
          <w:szCs w:val="24"/>
          <w:highlight w:val="none"/>
          <w:lang w:eastAsia="zh-CN"/>
        </w:rPr>
        <w:t>或全部</w:t>
      </w:r>
      <w:r>
        <w:rPr>
          <w:rFonts w:hint="eastAsia" w:asciiTheme="minorEastAsia" w:hAnsiTheme="minorEastAsia" w:cstheme="minorEastAsia"/>
          <w:color w:val="auto"/>
          <w:sz w:val="24"/>
          <w:szCs w:val="24"/>
          <w:highlight w:val="none"/>
          <w:lang w:val="en-US" w:eastAsia="zh-CN"/>
        </w:rPr>
        <w:t>标段</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参加多</w:t>
      </w:r>
      <w:r>
        <w:rPr>
          <w:rFonts w:hint="eastAsia" w:asciiTheme="minorEastAsia" w:hAnsiTheme="minorEastAsia" w:cstheme="minorEastAsia"/>
          <w:color w:val="auto"/>
          <w:sz w:val="24"/>
          <w:szCs w:val="24"/>
          <w:highlight w:val="none"/>
          <w:lang w:val="en-US" w:eastAsia="zh-CN"/>
        </w:rPr>
        <w:t>标段投标</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z w:val="24"/>
          <w:szCs w:val="24"/>
          <w:highlight w:val="none"/>
          <w:lang w:val="en-US" w:eastAsia="zh-CN"/>
        </w:rPr>
        <w:t>按标段</w:t>
      </w:r>
      <w:r>
        <w:rPr>
          <w:rFonts w:hint="eastAsia" w:asciiTheme="minorEastAsia" w:hAnsiTheme="minorEastAsia" w:eastAsiaTheme="minorEastAsia" w:cstheme="minorEastAsia"/>
          <w:color w:val="auto"/>
          <w:sz w:val="24"/>
          <w:szCs w:val="24"/>
          <w:highlight w:val="none"/>
          <w:lang w:eastAsia="zh-CN"/>
        </w:rPr>
        <w:t>分别制作</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文件，但</w:t>
      </w:r>
      <w:r>
        <w:rPr>
          <w:rFonts w:hint="eastAsia" w:asciiTheme="minorEastAsia" w:hAnsiTheme="minorEastAsia" w:cstheme="minorEastAsia"/>
          <w:color w:val="auto"/>
          <w:sz w:val="24"/>
          <w:szCs w:val="24"/>
          <w:highlight w:val="none"/>
          <w:lang w:val="en-US" w:eastAsia="zh-CN"/>
        </w:rPr>
        <w:t>最多</w:t>
      </w:r>
      <w:r>
        <w:rPr>
          <w:rFonts w:hint="eastAsia" w:asciiTheme="minorEastAsia" w:hAnsiTheme="minorEastAsia" w:eastAsiaTheme="minorEastAsia" w:cstheme="minorEastAsia"/>
          <w:color w:val="auto"/>
          <w:sz w:val="24"/>
          <w:szCs w:val="24"/>
          <w:highlight w:val="none"/>
          <w:lang w:eastAsia="zh-CN"/>
        </w:rPr>
        <w:t>只能</w:t>
      </w:r>
      <w:r>
        <w:rPr>
          <w:rFonts w:hint="eastAsia" w:asciiTheme="minorEastAsia" w:hAnsiTheme="minorEastAsia" w:cstheme="minorEastAsia"/>
          <w:color w:val="auto"/>
          <w:sz w:val="24"/>
          <w:szCs w:val="24"/>
          <w:highlight w:val="none"/>
          <w:lang w:val="en-US" w:eastAsia="zh-CN"/>
        </w:rPr>
        <w:t>中标其中两个标段</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标段</w:t>
      </w:r>
      <w:r>
        <w:rPr>
          <w:rFonts w:hint="eastAsia" w:asciiTheme="minorEastAsia" w:hAnsiTheme="minorEastAsia" w:eastAsiaTheme="minorEastAsia" w:cstheme="minorEastAsia"/>
          <w:color w:val="auto"/>
          <w:sz w:val="24"/>
          <w:szCs w:val="24"/>
          <w:highlight w:val="none"/>
          <w:lang w:eastAsia="zh-CN"/>
        </w:rPr>
        <w:t>评审顺序按</w:t>
      </w:r>
      <w:r>
        <w:rPr>
          <w:rFonts w:hint="eastAsia" w:asciiTheme="minorEastAsia" w:hAnsiTheme="minorEastAsia" w:cstheme="minorEastAsia"/>
          <w:color w:val="auto"/>
          <w:sz w:val="24"/>
          <w:szCs w:val="24"/>
          <w:highlight w:val="none"/>
          <w:lang w:val="en-US" w:eastAsia="zh-CN"/>
        </w:rPr>
        <w:t>标段一至标段四的</w:t>
      </w:r>
      <w:r>
        <w:rPr>
          <w:rFonts w:hint="eastAsia" w:asciiTheme="minorEastAsia" w:hAnsiTheme="minorEastAsia" w:eastAsiaTheme="minorEastAsia" w:cstheme="minorEastAsia"/>
          <w:color w:val="auto"/>
          <w:sz w:val="24"/>
          <w:szCs w:val="24"/>
          <w:highlight w:val="none"/>
          <w:lang w:eastAsia="zh-CN"/>
        </w:rPr>
        <w:t>顺序进行，</w:t>
      </w:r>
      <w:r>
        <w:rPr>
          <w:rFonts w:hint="eastAsia" w:asciiTheme="minorEastAsia" w:hAnsiTheme="minorEastAsia" w:cstheme="minorEastAsia"/>
          <w:color w:val="auto"/>
          <w:sz w:val="24"/>
          <w:szCs w:val="24"/>
          <w:highlight w:val="none"/>
          <w:lang w:val="en-US" w:eastAsia="zh-CN"/>
        </w:rPr>
        <w:t>如投标人已</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cstheme="minorEastAsia"/>
          <w:color w:val="auto"/>
          <w:sz w:val="24"/>
          <w:szCs w:val="24"/>
          <w:highlight w:val="none"/>
          <w:lang w:val="en-US" w:eastAsia="zh-CN"/>
        </w:rPr>
        <w:t>两个标段</w:t>
      </w:r>
      <w:r>
        <w:rPr>
          <w:rFonts w:hint="eastAsia" w:asciiTheme="minorEastAsia" w:hAnsiTheme="minorEastAsia" w:eastAsiaTheme="minorEastAsia" w:cstheme="minorEastAsia"/>
          <w:color w:val="auto"/>
          <w:sz w:val="24"/>
          <w:szCs w:val="24"/>
          <w:highlight w:val="none"/>
          <w:lang w:eastAsia="zh-CN"/>
        </w:rPr>
        <w:t>中被推荐为第一</w:t>
      </w:r>
      <w:r>
        <w:rPr>
          <w:rFonts w:hint="eastAsia" w:asciiTheme="minorEastAsia" w:hAnsi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lang w:eastAsia="zh-CN"/>
        </w:rPr>
        <w:t>候选人之后，仍然参加后续其他</w:t>
      </w:r>
      <w:r>
        <w:rPr>
          <w:rFonts w:hint="eastAsia" w:asciiTheme="minorEastAsia" w:hAnsiTheme="minorEastAsia" w:cstheme="minorEastAsia"/>
          <w:color w:val="auto"/>
          <w:sz w:val="24"/>
          <w:szCs w:val="24"/>
          <w:highlight w:val="none"/>
          <w:lang w:val="en-US" w:eastAsia="zh-CN"/>
        </w:rPr>
        <w:t>标段</w:t>
      </w:r>
      <w:r>
        <w:rPr>
          <w:rFonts w:hint="eastAsia" w:asciiTheme="minorEastAsia" w:hAnsiTheme="minorEastAsia" w:eastAsiaTheme="minorEastAsia" w:cstheme="minorEastAsia"/>
          <w:color w:val="auto"/>
          <w:sz w:val="24"/>
          <w:szCs w:val="24"/>
          <w:highlight w:val="none"/>
          <w:lang w:eastAsia="zh-CN"/>
        </w:rPr>
        <w:t>的评审，但是在后续其他</w:t>
      </w:r>
      <w:r>
        <w:rPr>
          <w:rFonts w:hint="eastAsia" w:asciiTheme="minorEastAsia" w:hAnsiTheme="minorEastAsia" w:cstheme="minorEastAsia"/>
          <w:color w:val="auto"/>
          <w:sz w:val="24"/>
          <w:szCs w:val="24"/>
          <w:highlight w:val="none"/>
          <w:lang w:val="en-US" w:eastAsia="zh-CN"/>
        </w:rPr>
        <w:t>标段</w:t>
      </w:r>
      <w:r>
        <w:rPr>
          <w:rFonts w:hint="eastAsia" w:asciiTheme="minorEastAsia" w:hAnsiTheme="minorEastAsia" w:eastAsiaTheme="minorEastAsia" w:cstheme="minorEastAsia"/>
          <w:color w:val="auto"/>
          <w:sz w:val="24"/>
          <w:szCs w:val="24"/>
          <w:highlight w:val="none"/>
          <w:lang w:eastAsia="zh-CN"/>
        </w:rPr>
        <w:t>中不能被推荐为</w:t>
      </w:r>
      <w:r>
        <w:rPr>
          <w:rFonts w:hint="eastAsia" w:asciiTheme="minorEastAsia" w:hAnsi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lang w:eastAsia="zh-CN"/>
        </w:rPr>
        <w:t>候选人。</w:t>
      </w:r>
    </w:p>
    <w:p w14:paraId="501DB785">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合同履行期限：</w:t>
      </w:r>
      <w:r>
        <w:rPr>
          <w:rFonts w:hint="eastAsia" w:asciiTheme="minorEastAsia" w:hAnsiTheme="minorEastAsia" w:cstheme="minorEastAsia"/>
          <w:b w:val="0"/>
          <w:bCs w:val="0"/>
          <w:color w:val="auto"/>
          <w:kern w:val="0"/>
          <w:sz w:val="24"/>
          <w:szCs w:val="24"/>
          <w:highlight w:val="none"/>
          <w:u w:val="none"/>
          <w:lang w:val="en-US" w:eastAsia="zh-CN" w:bidi="ar-SA"/>
        </w:rPr>
        <w:t>标段一：两年（2025年4月30日至2027年4月29日），合同一年一签；标段二：两年（2025年4月30日至2027年4月29日），合同一年一签；标段三：两年零一个月（2025年3月30日至2027年4月29日），合同一年一签；标段四：两年（2025年4月30日至2027年4月29日），合同一年一签。</w:t>
      </w:r>
    </w:p>
    <w:p w14:paraId="3D9C580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公告期限：自本公告发布之日起</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w:t>
      </w:r>
    </w:p>
    <w:p w14:paraId="6A9C333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本项目以</w:t>
      </w:r>
      <w:r>
        <w:rPr>
          <w:rFonts w:hint="eastAsia" w:asciiTheme="minorEastAsia" w:hAnsiTheme="minorEastAsia" w:eastAsiaTheme="minorEastAsia" w:cstheme="minorEastAsia"/>
          <w:color w:val="auto"/>
          <w:sz w:val="24"/>
          <w:szCs w:val="24"/>
          <w:highlight w:val="none"/>
        </w:rPr>
        <w:t>江苏招标投标公共服务平台（https://www.jszbtb.com/）</w:t>
      </w:r>
      <w:r>
        <w:rPr>
          <w:rFonts w:hint="eastAsia" w:asciiTheme="minorEastAsia" w:hAnsiTheme="minorEastAsia" w:cstheme="minorEastAsia"/>
          <w:color w:val="auto"/>
          <w:sz w:val="24"/>
          <w:szCs w:val="24"/>
          <w:highlight w:val="none"/>
          <w:lang w:val="en-US" w:eastAsia="zh-CN"/>
        </w:rPr>
        <w:t>发布的公告为准</w:t>
      </w:r>
      <w:r>
        <w:rPr>
          <w:rFonts w:hint="eastAsia" w:asciiTheme="minorEastAsia" w:hAnsiTheme="minorEastAsia" w:eastAsiaTheme="minorEastAsia" w:cstheme="minorEastAsia"/>
          <w:color w:val="auto"/>
          <w:sz w:val="24"/>
          <w:szCs w:val="24"/>
          <w:highlight w:val="none"/>
        </w:rPr>
        <w:t>。</w:t>
      </w:r>
    </w:p>
    <w:p w14:paraId="7C8BAD29">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集中考察或答疑：本项目不组织集中考察或答疑</w:t>
      </w:r>
      <w:r>
        <w:rPr>
          <w:rFonts w:hint="eastAsia" w:asciiTheme="minorEastAsia" w:hAnsiTheme="minorEastAsia" w:eastAsiaTheme="minorEastAsia" w:cstheme="minorEastAsia"/>
          <w:color w:val="auto"/>
          <w:sz w:val="24"/>
          <w:szCs w:val="24"/>
          <w:highlight w:val="none"/>
          <w:lang w:eastAsia="zh-CN"/>
        </w:rPr>
        <w:t>。</w:t>
      </w:r>
    </w:p>
    <w:p w14:paraId="5E1108E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rPr>
        <w:t>文件份数：一式</w:t>
      </w:r>
      <w:r>
        <w:rPr>
          <w:rFonts w:hint="eastAsia" w:asciiTheme="minorEastAsia" w:hAnsiTheme="minorEastAsia" w:cstheme="minorEastAsia"/>
          <w:color w:val="auto"/>
          <w:sz w:val="24"/>
          <w:szCs w:val="24"/>
          <w:highlight w:val="none"/>
          <w:lang w:val="en-US" w:eastAsia="zh-CN"/>
        </w:rPr>
        <w:t>伍</w:t>
      </w:r>
      <w:r>
        <w:rPr>
          <w:rFonts w:hint="eastAsia" w:asciiTheme="minorEastAsia" w:hAnsiTheme="minorEastAsia" w:eastAsiaTheme="minorEastAsia" w:cstheme="minorEastAsia"/>
          <w:color w:val="auto"/>
          <w:sz w:val="24"/>
          <w:szCs w:val="24"/>
          <w:highlight w:val="none"/>
        </w:rPr>
        <w:t>份（壹份正本、</w:t>
      </w:r>
      <w:r>
        <w:rPr>
          <w:rFonts w:hint="eastAsia" w:asciiTheme="minorEastAsia" w:hAnsiTheme="minorEastAsia" w:cstheme="minorEastAsia"/>
          <w:color w:val="auto"/>
          <w:sz w:val="24"/>
          <w:szCs w:val="24"/>
          <w:highlight w:val="none"/>
          <w:lang w:val="en-US" w:eastAsia="zh-CN"/>
        </w:rPr>
        <w:t>肆</w:t>
      </w:r>
      <w:r>
        <w:rPr>
          <w:rFonts w:hint="eastAsia" w:asciiTheme="minorEastAsia" w:hAnsiTheme="minorEastAsia" w:eastAsiaTheme="minorEastAsia" w:cstheme="minorEastAsia"/>
          <w:color w:val="auto"/>
          <w:sz w:val="24"/>
          <w:szCs w:val="24"/>
          <w:highlight w:val="none"/>
        </w:rPr>
        <w:t>份副本），电子版</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rPr>
        <w:t>文件壹份（一般应为PDF格式、U盘形式或光盘形式，随纸质正本文件一并提交）。当纸质正本文件和电子版文件不一致时，以纸质正本文件为准。电子版文件用于存档，</w:t>
      </w: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需承担前述不一致造成的不利后果。每份纸质文件须清</w:t>
      </w:r>
      <w:r>
        <w:rPr>
          <w:rFonts w:hint="eastAsia" w:asciiTheme="minorEastAsia" w:hAnsiTheme="minorEastAsia" w:cstheme="minorEastAsia"/>
          <w:color w:val="auto"/>
          <w:sz w:val="24"/>
          <w:szCs w:val="24"/>
          <w:highlight w:val="none"/>
          <w:lang w:eastAsia="zh-CN"/>
        </w:rPr>
        <w:t>楚地</w:t>
      </w:r>
      <w:r>
        <w:rPr>
          <w:rFonts w:hint="eastAsia" w:asciiTheme="minorEastAsia" w:hAnsiTheme="minorEastAsia" w:eastAsiaTheme="minorEastAsia" w:cstheme="minorEastAsia"/>
          <w:color w:val="auto"/>
          <w:sz w:val="24"/>
          <w:szCs w:val="24"/>
          <w:highlight w:val="none"/>
        </w:rPr>
        <w:t>标明“正本”或“副本”字样。一旦正本和副本不符，以正本为准。</w:t>
      </w:r>
    </w:p>
    <w:p w14:paraId="30EB1077">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八、监督部门</w:t>
      </w:r>
    </w:p>
    <w:p w14:paraId="3958DDE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本招标项目的监督部门为/。</w:t>
      </w:r>
    </w:p>
    <w:p w14:paraId="6B0FEAD7">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九、联系方式</w:t>
      </w:r>
    </w:p>
    <w:p w14:paraId="69405B18">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招标人：</w:t>
      </w:r>
      <w:r>
        <w:rPr>
          <w:rFonts w:hint="eastAsia" w:asciiTheme="minorEastAsia" w:hAnsiTheme="minorEastAsia" w:cstheme="minorEastAsia"/>
          <w:color w:val="auto"/>
          <w:sz w:val="24"/>
          <w:szCs w:val="24"/>
          <w:highlight w:val="none"/>
          <w:lang w:eastAsia="zh-CN"/>
        </w:rPr>
        <w:t>镇江金学问教育培训有限公司</w:t>
      </w:r>
    </w:p>
    <w:p w14:paraId="07CD9E1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地址：南京市浦口区百合路248号</w:t>
      </w:r>
    </w:p>
    <w:p w14:paraId="656E490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联系人：张老师</w:t>
      </w:r>
    </w:p>
    <w:p w14:paraId="1727E19E">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电话：025-69882150</w:t>
      </w:r>
    </w:p>
    <w:p w14:paraId="11DA873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招标代理机构：南京苏宁工程咨询有限公司</w:t>
      </w:r>
    </w:p>
    <w:p w14:paraId="254C327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地址：南京市鼓楼区中山路99号12楼1212室</w:t>
      </w:r>
    </w:p>
    <w:p w14:paraId="652E32F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联系人：陆工</w:t>
      </w:r>
    </w:p>
    <w:p w14:paraId="7201829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val="en-US" w:eastAsia="zh-CN"/>
        </w:rPr>
        <w:t>025-</w:t>
      </w:r>
      <w:r>
        <w:rPr>
          <w:rFonts w:hint="eastAsia" w:asciiTheme="minorEastAsia" w:hAnsiTheme="minorEastAsia" w:eastAsiaTheme="minorEastAsia" w:cstheme="minorEastAsia"/>
          <w:color w:val="auto"/>
          <w:sz w:val="24"/>
          <w:szCs w:val="24"/>
          <w:highlight w:val="none"/>
        </w:rPr>
        <w:t>84205129</w:t>
      </w:r>
    </w:p>
    <w:p w14:paraId="7300E95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highlight w:val="none"/>
        </w:rPr>
        <w:t>请贵单位领取本次招标文件后，认真阅读各项内容，进行必要的投标准备，按文件的要求详细填写和编制投标文件，并按以上确定的时间、地点准时参加投标。</w:t>
      </w:r>
      <w:bookmarkStart w:id="0" w:name="_Toc35393627"/>
      <w:bookmarkStart w:id="1" w:name="_Toc28359085"/>
      <w:bookmarkStart w:id="2" w:name="_Toc28359008"/>
      <w:bookmarkStart w:id="3" w:name="_Toc35393796"/>
    </w:p>
    <w:bookmarkEnd w:id="0"/>
    <w:bookmarkEnd w:id="1"/>
    <w:bookmarkEnd w:id="2"/>
    <w:bookmarkEnd w:id="3"/>
    <w:p w14:paraId="42634493">
      <w:pPr>
        <w:rPr>
          <w:rFonts w:cs="黑体" w:asciiTheme="minorEastAsia" w:hAnsiTheme="minorEastAsia"/>
          <w:color w:val="auto"/>
          <w:sz w:val="36"/>
          <w:highlight w:val="none"/>
        </w:rPr>
      </w:pPr>
      <w:r>
        <w:rPr>
          <w:rFonts w:cs="黑体" w:asciiTheme="minorEastAsia" w:hAnsiTheme="minorEastAsia"/>
          <w:color w:val="auto"/>
          <w:sz w:val="36"/>
          <w:highlight w:val="none"/>
        </w:rPr>
        <w:br w:type="page"/>
      </w:r>
    </w:p>
    <w:p w14:paraId="2B8BB0B3">
      <w:pPr>
        <w:pStyle w:val="16"/>
        <w:jc w:val="center"/>
        <w:outlineLvl w:val="0"/>
        <w:rPr>
          <w:rFonts w:cs="黑体" w:asciiTheme="minorEastAsia" w:hAnsiTheme="minorEastAsia" w:eastAsiaTheme="minorEastAsia"/>
          <w:b/>
          <w:color w:val="auto"/>
          <w:sz w:val="36"/>
          <w:highlight w:val="none"/>
          <w:lang w:val="zh-CN"/>
        </w:rPr>
      </w:pPr>
      <w:r>
        <w:rPr>
          <w:rFonts w:hint="eastAsia" w:cs="黑体" w:asciiTheme="minorEastAsia" w:hAnsiTheme="minorEastAsia" w:eastAsiaTheme="minorEastAsia"/>
          <w:b/>
          <w:color w:val="auto"/>
          <w:sz w:val="36"/>
          <w:highlight w:val="none"/>
          <w:lang w:val="zh-CN"/>
        </w:rPr>
        <w:t>第二章</w:t>
      </w:r>
      <w:r>
        <w:rPr>
          <w:rFonts w:hint="eastAsia" w:cs="黑体" w:asciiTheme="minorEastAsia" w:hAnsiTheme="minorEastAsia" w:eastAsiaTheme="minorEastAsia"/>
          <w:b/>
          <w:color w:val="auto"/>
          <w:sz w:val="36"/>
          <w:highlight w:val="none"/>
        </w:rPr>
        <w:t xml:space="preserve">  </w:t>
      </w:r>
      <w:r>
        <w:rPr>
          <w:rFonts w:hint="eastAsia" w:cs="黑体" w:asciiTheme="minorEastAsia" w:hAnsiTheme="minorEastAsia" w:eastAsiaTheme="minorEastAsia"/>
          <w:b/>
          <w:color w:val="auto"/>
          <w:sz w:val="36"/>
          <w:highlight w:val="none"/>
          <w:lang w:val="zh-CN"/>
        </w:rPr>
        <w:t>投标人须知</w:t>
      </w:r>
    </w:p>
    <w:p w14:paraId="5430F28A">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一、总则</w:t>
      </w:r>
    </w:p>
    <w:p w14:paraId="3858FACB">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1、</w:t>
      </w:r>
      <w:r>
        <w:rPr>
          <w:rFonts w:hint="eastAsia" w:ascii="宋体" w:hAnsi="宋体" w:cs="宋体"/>
          <w:b/>
          <w:bCs/>
          <w:color w:val="auto"/>
          <w:szCs w:val="21"/>
          <w:highlight w:val="none"/>
        </w:rPr>
        <w:t>适用范围</w:t>
      </w:r>
    </w:p>
    <w:p w14:paraId="64A3D388">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 xml:space="preserve">1.1 </w:t>
      </w:r>
      <w:r>
        <w:rPr>
          <w:rFonts w:hint="eastAsia" w:ascii="宋体" w:hAnsi="宋体" w:cs="宋体"/>
          <w:color w:val="auto"/>
          <w:szCs w:val="21"/>
          <w:highlight w:val="none"/>
        </w:rPr>
        <w:t>本招标文件仅适用此项目。</w:t>
      </w:r>
    </w:p>
    <w:p w14:paraId="7E9B90BD">
      <w:pPr>
        <w:autoSpaceDE w:val="0"/>
        <w:autoSpaceDN w:val="0"/>
        <w:adjustRightInd w:val="0"/>
        <w:spacing w:line="440" w:lineRule="exact"/>
        <w:ind w:firstLine="422" w:firstLineChars="200"/>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2、定义</w:t>
      </w:r>
    </w:p>
    <w:p w14:paraId="5A66C18A">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2.1 “招标人”是指镇江金学问教育培训有限公司。</w:t>
      </w:r>
    </w:p>
    <w:p w14:paraId="5DF5CFDA">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rPr>
        <w:t xml:space="preserve">2.2 </w:t>
      </w:r>
      <w:r>
        <w:rPr>
          <w:rFonts w:hint="eastAsia" w:ascii="宋体" w:hAnsi="宋体" w:cs="宋体"/>
          <w:color w:val="auto"/>
          <w:szCs w:val="21"/>
          <w:highlight w:val="none"/>
          <w:lang w:val="zh-CN"/>
        </w:rPr>
        <w:t>“</w:t>
      </w:r>
      <w:r>
        <w:rPr>
          <w:rFonts w:hint="eastAsia" w:ascii="宋体" w:hAnsi="宋体" w:cs="宋体"/>
          <w:color w:val="auto"/>
          <w:szCs w:val="21"/>
          <w:highlight w:val="none"/>
        </w:rPr>
        <w:t>投标人</w:t>
      </w:r>
      <w:r>
        <w:rPr>
          <w:rFonts w:hint="eastAsia" w:ascii="宋体" w:hAnsi="宋体" w:cs="宋体"/>
          <w:color w:val="auto"/>
          <w:szCs w:val="21"/>
          <w:highlight w:val="none"/>
          <w:lang w:val="zh-CN"/>
        </w:rPr>
        <w:t>”“</w:t>
      </w:r>
      <w:r>
        <w:rPr>
          <w:rFonts w:hint="eastAsia" w:ascii="宋体" w:hAnsi="宋体" w:cs="宋体"/>
          <w:color w:val="auto"/>
          <w:szCs w:val="21"/>
          <w:highlight w:val="none"/>
        </w:rPr>
        <w:t>供应商”</w:t>
      </w:r>
      <w:r>
        <w:rPr>
          <w:rFonts w:hint="eastAsia" w:ascii="宋体" w:hAnsi="宋体" w:cs="宋体"/>
          <w:color w:val="auto"/>
          <w:szCs w:val="21"/>
          <w:highlight w:val="none"/>
          <w:lang w:val="zh-CN"/>
        </w:rPr>
        <w:t>是指参加投标竞争，并符合招标文件规定资格条件的法人、其他组织或者自然人。</w:t>
      </w:r>
    </w:p>
    <w:p w14:paraId="4573A756">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2.3</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招标代理机构”是指南京苏宁工程咨询有限公司。</w:t>
      </w:r>
    </w:p>
    <w:p w14:paraId="6395DD13">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rPr>
        <w:t>2.4</w:t>
      </w:r>
      <w:r>
        <w:rPr>
          <w:rFonts w:hint="eastAsia" w:ascii="宋体" w:hAnsi="宋体" w:cs="宋体"/>
          <w:color w:val="auto"/>
          <w:szCs w:val="21"/>
          <w:highlight w:val="none"/>
          <w:lang w:val="zh-CN"/>
        </w:rPr>
        <w:t xml:space="preserve"> “用户或使用单位”是指使用服务的单位。</w:t>
      </w:r>
    </w:p>
    <w:p w14:paraId="4E76889A">
      <w:pPr>
        <w:autoSpaceDE w:val="0"/>
        <w:autoSpaceDN w:val="0"/>
        <w:adjustRightInd w:val="0"/>
        <w:spacing w:line="440" w:lineRule="exact"/>
        <w:ind w:firstLine="422" w:firstLineChars="200"/>
        <w:jc w:val="left"/>
        <w:rPr>
          <w:rFonts w:ascii="宋体" w:hAnsi="宋体" w:cs="宋体"/>
          <w:color w:val="auto"/>
          <w:szCs w:val="21"/>
          <w:highlight w:val="none"/>
        </w:rPr>
      </w:pPr>
      <w:r>
        <w:rPr>
          <w:rFonts w:hint="eastAsia" w:ascii="宋体" w:hAnsi="宋体" w:cs="宋体"/>
          <w:b/>
          <w:color w:val="auto"/>
          <w:szCs w:val="21"/>
          <w:highlight w:val="none"/>
          <w:lang w:val="zh-CN"/>
        </w:rPr>
        <w:t>3、政策功能：</w:t>
      </w:r>
      <w:r>
        <w:rPr>
          <w:rFonts w:hint="eastAsia" w:ascii="宋体" w:hAnsi="宋体" w:cs="宋体"/>
          <w:b/>
          <w:color w:val="auto"/>
          <w:szCs w:val="21"/>
          <w:highlight w:val="none"/>
        </w:rPr>
        <w:t>无</w:t>
      </w:r>
    </w:p>
    <w:p w14:paraId="33C7B37E">
      <w:pPr>
        <w:spacing w:line="440" w:lineRule="exact"/>
        <w:ind w:firstLine="422" w:firstLineChars="200"/>
        <w:jc w:val="left"/>
        <w:rPr>
          <w:rFonts w:ascii="宋体" w:hAnsi="宋体" w:cs="宋体"/>
          <w:b/>
          <w:color w:val="auto"/>
          <w:highlight w:val="none"/>
        </w:rPr>
      </w:pPr>
      <w:r>
        <w:rPr>
          <w:rFonts w:hint="eastAsia" w:ascii="宋体" w:hAnsi="宋体" w:cs="宋体"/>
          <w:b/>
          <w:color w:val="auto"/>
          <w:highlight w:val="none"/>
        </w:rPr>
        <w:t>二、招标文件</w:t>
      </w:r>
    </w:p>
    <w:p w14:paraId="2C1C3FA6">
      <w:pPr>
        <w:autoSpaceDE w:val="0"/>
        <w:autoSpaceDN w:val="0"/>
        <w:adjustRightInd w:val="0"/>
        <w:spacing w:line="440" w:lineRule="exact"/>
        <w:ind w:firstLine="422" w:firstLineChars="200"/>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4、招标文件组成</w:t>
      </w:r>
    </w:p>
    <w:p w14:paraId="4760393E">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zh-CN"/>
        </w:rPr>
        <w:t>4.1 招标文件组成：投标邀请、投标人须知、评标标准、采购需求、合同主要条款及格式、投标文件格式及附件等。</w:t>
      </w:r>
    </w:p>
    <w:p w14:paraId="1196D204">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4.2 招标的最小单位是</w:t>
      </w:r>
      <w:r>
        <w:rPr>
          <w:rFonts w:hint="eastAsia" w:ascii="宋体" w:hAnsi="宋体" w:cs="宋体"/>
          <w:color w:val="auto"/>
          <w:szCs w:val="21"/>
          <w:highlight w:val="none"/>
          <w:lang w:val="en-US" w:eastAsia="zh-CN"/>
        </w:rPr>
        <w:t>标段</w:t>
      </w:r>
      <w:r>
        <w:rPr>
          <w:rFonts w:hint="eastAsia" w:ascii="宋体" w:hAnsi="宋体" w:cs="宋体"/>
          <w:color w:val="auto"/>
          <w:szCs w:val="21"/>
          <w:highlight w:val="none"/>
          <w:lang w:val="zh-CN"/>
        </w:rPr>
        <w:t>。招标货物数量及技术要求中未分</w:t>
      </w:r>
      <w:r>
        <w:rPr>
          <w:rFonts w:hint="eastAsia" w:ascii="宋体" w:hAnsi="宋体" w:cs="宋体"/>
          <w:color w:val="auto"/>
          <w:szCs w:val="21"/>
          <w:highlight w:val="none"/>
          <w:lang w:val="en-US" w:eastAsia="zh-CN"/>
        </w:rPr>
        <w:t>标段</w:t>
      </w:r>
      <w:r>
        <w:rPr>
          <w:rFonts w:hint="eastAsia" w:ascii="宋体" w:hAnsi="宋体" w:cs="宋体"/>
          <w:color w:val="auto"/>
          <w:szCs w:val="21"/>
          <w:highlight w:val="none"/>
          <w:lang w:val="zh-CN"/>
        </w:rPr>
        <w:t>的，投标人对要求提供的货物不得部分投标；招标货物数量及技术要求中已经分</w:t>
      </w:r>
      <w:r>
        <w:rPr>
          <w:rFonts w:hint="eastAsia" w:ascii="宋体" w:hAnsi="宋体" w:cs="宋体"/>
          <w:color w:val="auto"/>
          <w:szCs w:val="21"/>
          <w:highlight w:val="none"/>
          <w:lang w:val="en-US" w:eastAsia="zh-CN"/>
        </w:rPr>
        <w:t>标段</w:t>
      </w:r>
      <w:r>
        <w:rPr>
          <w:rFonts w:hint="eastAsia" w:ascii="宋体" w:hAnsi="宋体" w:cs="宋体"/>
          <w:color w:val="auto"/>
          <w:szCs w:val="21"/>
          <w:highlight w:val="none"/>
          <w:lang w:val="zh-CN"/>
        </w:rPr>
        <w:t>的，应当以</w:t>
      </w:r>
      <w:r>
        <w:rPr>
          <w:rFonts w:hint="eastAsia" w:ascii="宋体" w:hAnsi="宋体" w:cs="宋体"/>
          <w:color w:val="auto"/>
          <w:szCs w:val="21"/>
          <w:highlight w:val="none"/>
          <w:lang w:val="en-US" w:eastAsia="zh-CN"/>
        </w:rPr>
        <w:t>标段</w:t>
      </w:r>
      <w:r>
        <w:rPr>
          <w:rFonts w:hint="eastAsia" w:ascii="宋体" w:hAnsi="宋体" w:cs="宋体"/>
          <w:color w:val="auto"/>
          <w:szCs w:val="21"/>
          <w:highlight w:val="none"/>
          <w:lang w:val="zh-CN"/>
        </w:rPr>
        <w:t>为单位投标。</w:t>
      </w:r>
    </w:p>
    <w:p w14:paraId="69C68203">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4.3 招标文件如果要求投标人提交备选投标方案的，投标人可以提交备选方案；否则，备选方案将被拒绝。</w:t>
      </w:r>
    </w:p>
    <w:p w14:paraId="0C0C2335">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5、招标文件的澄清、修改</w:t>
      </w:r>
    </w:p>
    <w:p w14:paraId="7808C755">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5.1 招标代理机构对已发出的招标文件进行必要澄清或者修改的，将在招标文件要求提交投标文件截止时间</w:t>
      </w:r>
      <w:r>
        <w:rPr>
          <w:rFonts w:hint="eastAsia" w:ascii="宋体" w:hAnsi="宋体" w:cs="宋体"/>
          <w:b/>
          <w:bCs/>
          <w:iCs/>
          <w:color w:val="auto"/>
          <w:szCs w:val="21"/>
          <w:highlight w:val="none"/>
          <w:u w:val="single"/>
          <w:lang w:val="zh-CN"/>
        </w:rPr>
        <w:t>十五日</w:t>
      </w:r>
      <w:r>
        <w:rPr>
          <w:rFonts w:hint="eastAsia" w:ascii="宋体" w:hAnsi="宋体" w:cs="宋体"/>
          <w:color w:val="auto"/>
          <w:szCs w:val="21"/>
          <w:highlight w:val="none"/>
          <w:lang w:val="zh-CN"/>
        </w:rPr>
        <w:t>前，在原招标公告媒体发布更正公告，该澄清或者修改的内容为招标文件的组成部分。</w:t>
      </w:r>
    </w:p>
    <w:p w14:paraId="1DA41B41">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szCs w:val="21"/>
          <w:highlight w:val="none"/>
          <w:lang w:val="zh-CN"/>
        </w:rPr>
        <w:t>5.2 招标代理机构在招标文件要求提交投标文件截止时间前，有权决定延长投标截止时间和开标时间，并</w:t>
      </w:r>
      <w:r>
        <w:rPr>
          <w:rFonts w:hint="eastAsia" w:ascii="宋体" w:hAnsi="宋体" w:cs="宋体"/>
          <w:color w:val="auto"/>
          <w:highlight w:val="none"/>
        </w:rPr>
        <w:t>在原采购信息发布媒体上发布</w:t>
      </w:r>
      <w:r>
        <w:rPr>
          <w:rFonts w:hint="eastAsia" w:ascii="宋体" w:hAnsi="宋体" w:cs="宋体"/>
          <w:color w:val="auto"/>
          <w:szCs w:val="21"/>
          <w:highlight w:val="none"/>
          <w:lang w:val="zh-CN"/>
        </w:rPr>
        <w:t>更正公告</w:t>
      </w:r>
      <w:r>
        <w:rPr>
          <w:rFonts w:hint="eastAsia" w:ascii="宋体" w:hAnsi="宋体" w:cs="宋体"/>
          <w:color w:val="auto"/>
          <w:highlight w:val="none"/>
        </w:rPr>
        <w:t>。</w:t>
      </w:r>
    </w:p>
    <w:p w14:paraId="1ED49AAE">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zh-CN"/>
        </w:rPr>
        <w:t>.3 投标人应在投标截止时间前关注</w:t>
      </w:r>
      <w:r>
        <w:rPr>
          <w:rFonts w:hint="eastAsia" w:ascii="宋体" w:hAnsi="宋体" w:cs="宋体"/>
          <w:color w:val="auto"/>
          <w:highlight w:val="none"/>
        </w:rPr>
        <w:t>原采购信息发布媒体上</w:t>
      </w:r>
      <w:r>
        <w:rPr>
          <w:rFonts w:hint="eastAsia" w:ascii="宋体" w:hAnsi="宋体" w:cs="宋体"/>
          <w:color w:val="auto"/>
          <w:szCs w:val="21"/>
          <w:highlight w:val="none"/>
          <w:lang w:val="zh-CN"/>
        </w:rPr>
        <w:t>有关本招标项目有无更正公告。</w:t>
      </w:r>
    </w:p>
    <w:p w14:paraId="2F003919">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三、投标</w:t>
      </w:r>
    </w:p>
    <w:p w14:paraId="3A262830">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6、投标文件的语言、计量单位、货币和编制</w:t>
      </w:r>
    </w:p>
    <w:p w14:paraId="691799FE">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6.1 投标人提交的投标文件、技术文件和资料，包括图纸中的说明，以及投标人与招标代理机构就有关投标的所有来往函电均应使用中文。投标文件中若有英文或其他语言文字的资料，应提供相应的中文翻译资料。对不同文本投标文件的解释发生异议的，以中文文本为准。</w:t>
      </w:r>
    </w:p>
    <w:p w14:paraId="604D757B">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6.2 投标人所使用的计量单位应为国家法定计量单位。</w:t>
      </w:r>
    </w:p>
    <w:p w14:paraId="51BFA81C">
      <w:pPr>
        <w:shd w:val="clear" w:color="auto" w:fill="FFFFFF"/>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zh-CN"/>
        </w:rPr>
        <w:t>6.3 投标人应用人民币报价。</w:t>
      </w:r>
    </w:p>
    <w:p w14:paraId="1AA81B96">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6.4 投标文件应字迹清楚、内容齐全、不得涂改。如有修改，修改处须有投标人公章和法定代表人（负责人）或其授权的投标人代表签字。</w:t>
      </w:r>
    </w:p>
    <w:p w14:paraId="5D9E5CA9">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6.5 投标文件应按照招标文件规定的顺序，统一用A4规格幅面双面打印、装订成册并编制目录，由于编排混乱导致投标文件被误读或查找不到，责任由投标人承担。</w:t>
      </w:r>
    </w:p>
    <w:p w14:paraId="1928D726">
      <w:pPr>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6.6 投标人应在投标文件中写清相应的项目编号、项目名称、投标人全称、地址、电话、传真等。</w:t>
      </w:r>
    </w:p>
    <w:p w14:paraId="5351D493">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7</w:t>
      </w:r>
      <w:r>
        <w:rPr>
          <w:rFonts w:hint="eastAsia" w:ascii="宋体" w:hAnsi="宋体" w:cs="宋体"/>
          <w:b/>
          <w:bCs/>
          <w:color w:val="auto"/>
          <w:szCs w:val="21"/>
          <w:highlight w:val="none"/>
          <w:lang w:val="zh-CN"/>
        </w:rPr>
        <w:t>、联合投标</w:t>
      </w:r>
    </w:p>
    <w:p w14:paraId="0426DD4F">
      <w:pPr>
        <w:autoSpaceDE w:val="0"/>
        <w:autoSpaceDN w:val="0"/>
        <w:adjustRightInd w:val="0"/>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本次招标不接受联合体投标</w:t>
      </w:r>
      <w:r>
        <w:rPr>
          <w:rFonts w:hint="eastAsia" w:ascii="宋体" w:hAnsi="宋体" w:cs="宋体"/>
          <w:bCs/>
          <w:color w:val="auto"/>
          <w:szCs w:val="21"/>
          <w:highlight w:val="none"/>
          <w:lang w:eastAsia="zh-CN"/>
        </w:rPr>
        <w:t>，不接受分包、转包。</w:t>
      </w:r>
    </w:p>
    <w:p w14:paraId="680307E2">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8、投标费用</w:t>
      </w:r>
    </w:p>
    <w:p w14:paraId="68A0756E">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8.1 投标人应自行承担所有与准备和参加投标有关的费用。</w:t>
      </w:r>
    </w:p>
    <w:p w14:paraId="6E0B0A1D">
      <w:pPr>
        <w:autoSpaceDE w:val="0"/>
        <w:autoSpaceDN w:val="0"/>
        <w:adjustRightInd w:val="0"/>
        <w:spacing w:line="4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8.2 代理费用按《江苏省招标代理服务收费的指导意见》（苏招协【2022】002号）招标代理服务费率计算方法的基准价乘以40%计算。</w:t>
      </w:r>
    </w:p>
    <w:p w14:paraId="3901B0A5">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.3 代理服务费</w:t>
      </w:r>
      <w:r>
        <w:rPr>
          <w:rFonts w:hint="eastAsia" w:ascii="宋体" w:hAnsi="宋体" w:cs="宋体"/>
          <w:color w:val="auto"/>
          <w:highlight w:val="none"/>
          <w:lang w:val="en-US" w:eastAsia="zh-CN"/>
        </w:rPr>
        <w:t>由各标段中标人</w:t>
      </w:r>
      <w:r>
        <w:rPr>
          <w:rFonts w:hint="eastAsia" w:ascii="宋体" w:hAnsi="宋体" w:cs="宋体"/>
          <w:color w:val="auto"/>
          <w:highlight w:val="none"/>
        </w:rPr>
        <w:t>在收到采购代理发放的</w:t>
      </w:r>
      <w:r>
        <w:rPr>
          <w:rFonts w:hint="eastAsia" w:ascii="宋体" w:hAnsi="宋体" w:cs="宋体"/>
          <w:color w:val="auto"/>
          <w:highlight w:val="none"/>
          <w:lang w:val="en-US" w:eastAsia="zh-CN"/>
        </w:rPr>
        <w:t>中标</w:t>
      </w:r>
      <w:r>
        <w:rPr>
          <w:rFonts w:hint="eastAsia" w:ascii="宋体" w:hAnsi="宋体" w:cs="宋体"/>
          <w:color w:val="auto"/>
          <w:highlight w:val="none"/>
        </w:rPr>
        <w:t>通知书之前需将</w:t>
      </w:r>
      <w:r>
        <w:rPr>
          <w:rFonts w:hint="eastAsia" w:ascii="宋体" w:hAnsi="宋体" w:cs="宋体"/>
          <w:color w:val="auto"/>
          <w:highlight w:val="none"/>
          <w:lang w:val="en-US" w:eastAsia="zh-CN"/>
        </w:rPr>
        <w:t>代理</w:t>
      </w:r>
      <w:r>
        <w:rPr>
          <w:rFonts w:hint="eastAsia" w:ascii="宋体" w:hAnsi="宋体" w:cs="宋体"/>
          <w:color w:val="auto"/>
          <w:highlight w:val="none"/>
        </w:rPr>
        <w:t>服务费支付到</w:t>
      </w:r>
      <w:r>
        <w:rPr>
          <w:rFonts w:hint="eastAsia" w:ascii="宋体" w:hAnsi="宋体" w:cs="宋体"/>
          <w:color w:val="auto"/>
          <w:highlight w:val="none"/>
          <w:lang w:val="en-US" w:eastAsia="zh-CN"/>
        </w:rPr>
        <w:t>招标</w:t>
      </w:r>
      <w:r>
        <w:rPr>
          <w:rFonts w:hint="eastAsia" w:ascii="宋体" w:hAnsi="宋体" w:cs="宋体"/>
          <w:color w:val="auto"/>
          <w:highlight w:val="none"/>
        </w:rPr>
        <w:t>代理机构。</w:t>
      </w:r>
    </w:p>
    <w:p w14:paraId="434E218D">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9、投标文件组成</w:t>
      </w:r>
    </w:p>
    <w:p w14:paraId="167C393F">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 xml:space="preserve">9.1 </w:t>
      </w:r>
      <w:r>
        <w:rPr>
          <w:rFonts w:hint="eastAsia" w:ascii="宋体" w:hAnsi="宋体" w:cs="宋体"/>
          <w:color w:val="auto"/>
          <w:szCs w:val="21"/>
          <w:highlight w:val="none"/>
        </w:rPr>
        <w:t>投标人应当根据招标文件要求编制投标文件，投标文件应对招标文件提出的要求和条件作出实质性响应，并在</w:t>
      </w:r>
      <w:r>
        <w:rPr>
          <w:rFonts w:hint="eastAsia" w:ascii="宋体" w:hAnsi="宋体" w:cs="宋体"/>
          <w:color w:val="auto"/>
          <w:szCs w:val="21"/>
          <w:highlight w:val="none"/>
          <w:lang w:val="zh-CN"/>
        </w:rPr>
        <w:t>《商务条款偏离表》和《技术条款偏离表》等处</w:t>
      </w:r>
      <w:r>
        <w:rPr>
          <w:rFonts w:hint="eastAsia" w:ascii="宋体" w:hAnsi="宋体" w:cs="宋体"/>
          <w:color w:val="auto"/>
          <w:szCs w:val="21"/>
          <w:highlight w:val="none"/>
        </w:rPr>
        <w:t>逐条标明满足与否。</w:t>
      </w:r>
    </w:p>
    <w:p w14:paraId="1124AE28">
      <w:pPr>
        <w:spacing w:line="440" w:lineRule="exact"/>
        <w:ind w:firstLine="420" w:firstLineChars="200"/>
        <w:jc w:val="left"/>
        <w:rPr>
          <w:rFonts w:ascii="宋体" w:hAnsi="宋体" w:cs="宋体"/>
          <w:b/>
          <w:color w:val="auto"/>
          <w:highlight w:val="none"/>
        </w:rPr>
      </w:pPr>
      <w:r>
        <w:rPr>
          <w:rFonts w:hint="eastAsia" w:ascii="宋体" w:hAnsi="宋体" w:cs="宋体"/>
          <w:color w:val="auto"/>
          <w:szCs w:val="21"/>
          <w:highlight w:val="none"/>
          <w:lang w:val="zh-CN"/>
        </w:rPr>
        <w:t>9.2 投标人根据招标文件载明的标的采购项目实际情况，拟在中标后将中标项目的非主体、非关键性工作交由他人完成的，应当在投标文件中载明。</w:t>
      </w:r>
    </w:p>
    <w:p w14:paraId="0FA87456">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rPr>
        <w:t>9</w:t>
      </w:r>
      <w:r>
        <w:rPr>
          <w:rFonts w:hint="eastAsia" w:ascii="宋体" w:hAnsi="宋体" w:cs="宋体"/>
          <w:color w:val="auto"/>
          <w:szCs w:val="21"/>
          <w:highlight w:val="none"/>
          <w:lang w:val="zh-CN"/>
        </w:rPr>
        <w:t>.3 投标文件由商务部分、技术部分、价格部分，以及其他部分组成。</w:t>
      </w:r>
    </w:p>
    <w:p w14:paraId="20A06670">
      <w:pPr>
        <w:spacing w:line="440" w:lineRule="exact"/>
        <w:ind w:firstLine="422" w:firstLineChars="200"/>
        <w:jc w:val="left"/>
        <w:rPr>
          <w:rFonts w:ascii="宋体" w:hAnsi="宋体" w:cs="宋体"/>
          <w:b/>
          <w:color w:val="auto"/>
          <w:highlight w:val="none"/>
        </w:rPr>
      </w:pPr>
      <w:r>
        <w:rPr>
          <w:rFonts w:hint="eastAsia" w:ascii="宋体" w:hAnsi="宋体" w:cs="宋体"/>
          <w:b/>
          <w:color w:val="auto"/>
          <w:highlight w:val="none"/>
        </w:rPr>
        <w:t>10、投标文件的商务部分</w:t>
      </w:r>
    </w:p>
    <w:p w14:paraId="005B122F">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10.1 商务部分是证明投标人有资格参加投标和中标后有能力履行合同的文件，</w:t>
      </w:r>
      <w:r>
        <w:rPr>
          <w:rFonts w:hint="eastAsia" w:ascii="宋体" w:hAnsi="宋体" w:cs="宋体"/>
          <w:color w:val="auto"/>
          <w:szCs w:val="21"/>
          <w:highlight w:val="none"/>
        </w:rPr>
        <w:t>这些文件应能满足招标的要求</w:t>
      </w:r>
      <w:r>
        <w:rPr>
          <w:rFonts w:hint="eastAsia" w:ascii="宋体" w:hAnsi="宋体" w:cs="宋体"/>
          <w:color w:val="auto"/>
          <w:szCs w:val="21"/>
          <w:highlight w:val="none"/>
          <w:lang w:val="zh-CN"/>
        </w:rPr>
        <w:t>，包括但不限于下列文件，其中加</w:t>
      </w:r>
      <w:r>
        <w:rPr>
          <w:rFonts w:hint="eastAsia" w:ascii="宋体" w:hAnsi="宋体" w:cs="宋体"/>
          <w:b/>
          <w:color w:val="auto"/>
          <w:szCs w:val="21"/>
          <w:highlight w:val="none"/>
        </w:rPr>
        <w:t>“★”</w:t>
      </w:r>
      <w:r>
        <w:rPr>
          <w:rFonts w:hint="eastAsia" w:ascii="宋体" w:hAnsi="宋体" w:cs="宋体"/>
          <w:color w:val="auto"/>
          <w:szCs w:val="21"/>
          <w:highlight w:val="none"/>
          <w:lang w:val="zh-CN"/>
        </w:rPr>
        <w:t>项目不得有缺失或无效。</w:t>
      </w:r>
    </w:p>
    <w:p w14:paraId="0FFB70C0">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（1）★投标函（投标申请及声明）；</w:t>
      </w:r>
    </w:p>
    <w:p w14:paraId="02B2C735">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（2）★法定代表人授权委托书及委托代理人的身份证复印件；</w:t>
      </w:r>
    </w:p>
    <w:p w14:paraId="7BEEF090">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（3）★第一章投标邀请中三、投标人资格要求规定的证明文件；</w:t>
      </w:r>
    </w:p>
    <w:p w14:paraId="23DFFBC7">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（4）★《商务条款偏离表》；</w:t>
      </w:r>
    </w:p>
    <w:p w14:paraId="7E9B85D5">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（5）投标人认为需要提供的其他资格证明文件和商务资料。</w:t>
      </w:r>
    </w:p>
    <w:p w14:paraId="619ABE73">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11、投标文件的技术部分</w:t>
      </w:r>
    </w:p>
    <w:p w14:paraId="4E3817BA">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11.1 技术部分是证明</w:t>
      </w:r>
      <w:r>
        <w:rPr>
          <w:rFonts w:hint="eastAsia" w:ascii="宋体" w:hAnsi="宋体" w:cs="宋体"/>
          <w:color w:val="auto"/>
          <w:szCs w:val="21"/>
          <w:highlight w:val="none"/>
        </w:rPr>
        <w:t>投标人提供的服务是合格的、并符合招标文件要求的证明文件，以及</w:t>
      </w:r>
      <w:r>
        <w:rPr>
          <w:rFonts w:hint="eastAsia" w:ascii="宋体" w:hAnsi="宋体" w:cs="宋体"/>
          <w:color w:val="auto"/>
          <w:szCs w:val="21"/>
          <w:highlight w:val="none"/>
          <w:lang w:val="zh-CN"/>
        </w:rPr>
        <w:t>对投标报价表中的服务的详细说明，这些文件可以是文字资料、图纸和数据等。</w:t>
      </w:r>
    </w:p>
    <w:p w14:paraId="32533525">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11.2 若技术性能无特殊说明，则按国家有关部门最新颁布的标准及规范为准；</w:t>
      </w:r>
    </w:p>
    <w:p w14:paraId="01BA46B3">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11.3 提供的服务如与招标文件要求有不符之处，应说明其差别之所在，并在《技术条款偏离表》中逐条予以说明。</w:t>
      </w:r>
    </w:p>
    <w:p w14:paraId="0E4B7B77">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11.4 投标文件应按照招标文件要求提供技术资料、文件和有关证明，包括但不限于下列文件，其中加</w:t>
      </w:r>
      <w:r>
        <w:rPr>
          <w:rFonts w:hint="eastAsia" w:ascii="宋体" w:hAnsi="宋体" w:cs="宋体"/>
          <w:b/>
          <w:color w:val="auto"/>
          <w:szCs w:val="21"/>
          <w:highlight w:val="none"/>
        </w:rPr>
        <w:t>“★”</w:t>
      </w:r>
      <w:r>
        <w:rPr>
          <w:rFonts w:hint="eastAsia" w:ascii="宋体" w:hAnsi="宋体" w:cs="宋体"/>
          <w:color w:val="auto"/>
          <w:szCs w:val="21"/>
          <w:highlight w:val="none"/>
          <w:lang w:val="zh-CN"/>
        </w:rPr>
        <w:t>项目不得有缺失或无效：</w:t>
      </w:r>
    </w:p>
    <w:p w14:paraId="42D21247">
      <w:pPr>
        <w:autoSpaceDE w:val="0"/>
        <w:autoSpaceDN w:val="0"/>
        <w:adjustRightInd w:val="0"/>
        <w:spacing w:line="440" w:lineRule="exact"/>
        <w:ind w:firstLine="420" w:firstLineChars="200"/>
        <w:jc w:val="left"/>
        <w:rPr>
          <w:rFonts w:ascii="宋体" w:hAnsi="宋体" w:cs="宋体"/>
          <w:bCs/>
          <w:color w:val="auto"/>
          <w:szCs w:val="21"/>
          <w:highlight w:val="none"/>
          <w:lang w:val="zh-CN"/>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rPr>
        <w:t>1</w:t>
      </w:r>
      <w:r>
        <w:rPr>
          <w:rFonts w:hint="eastAsia" w:ascii="宋体" w:hAnsi="宋体" w:cs="宋体"/>
          <w:bCs/>
          <w:color w:val="auto"/>
          <w:szCs w:val="21"/>
          <w:highlight w:val="none"/>
          <w:lang w:val="zh-CN"/>
        </w:rPr>
        <w:t>）</w:t>
      </w:r>
      <w:r>
        <w:rPr>
          <w:rFonts w:hint="eastAsia" w:ascii="宋体" w:hAnsi="宋体" w:cs="宋体"/>
          <w:color w:val="auto"/>
          <w:highlight w:val="none"/>
        </w:rPr>
        <w:t>★</w:t>
      </w:r>
      <w:r>
        <w:rPr>
          <w:rFonts w:hint="eastAsia" w:ascii="宋体" w:hAnsi="宋体" w:cs="宋体"/>
          <w:bCs/>
          <w:color w:val="auto"/>
          <w:szCs w:val="21"/>
          <w:highlight w:val="none"/>
          <w:lang w:val="zh-CN"/>
        </w:rPr>
        <w:t>《技术条款偏离表》；</w:t>
      </w:r>
    </w:p>
    <w:p w14:paraId="40BC3680">
      <w:pPr>
        <w:autoSpaceDE w:val="0"/>
        <w:autoSpaceDN w:val="0"/>
        <w:adjustRightInd w:val="0"/>
        <w:spacing w:line="440" w:lineRule="exact"/>
        <w:ind w:firstLine="420" w:firstLineChars="200"/>
        <w:jc w:val="left"/>
        <w:rPr>
          <w:rFonts w:ascii="宋体" w:hAnsi="宋体" w:cs="宋体"/>
          <w:bCs/>
          <w:color w:val="auto"/>
          <w:szCs w:val="21"/>
          <w:highlight w:val="none"/>
          <w:lang w:val="zh-CN"/>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rPr>
        <w:t>2</w:t>
      </w:r>
      <w:r>
        <w:rPr>
          <w:rFonts w:hint="eastAsia" w:ascii="宋体" w:hAnsi="宋体" w:cs="宋体"/>
          <w:bCs/>
          <w:color w:val="auto"/>
          <w:szCs w:val="21"/>
          <w:highlight w:val="none"/>
          <w:lang w:val="zh-CN"/>
        </w:rPr>
        <w:t>）技术说明或服务方案；</w:t>
      </w:r>
    </w:p>
    <w:p w14:paraId="79CCEC90">
      <w:pPr>
        <w:autoSpaceDE w:val="0"/>
        <w:autoSpaceDN w:val="0"/>
        <w:adjustRightInd w:val="0"/>
        <w:spacing w:line="440" w:lineRule="exact"/>
        <w:ind w:firstLine="420" w:firstLineChars="200"/>
        <w:jc w:val="left"/>
        <w:rPr>
          <w:rFonts w:ascii="宋体" w:hAnsi="宋体" w:cs="宋体"/>
          <w:bCs/>
          <w:color w:val="auto"/>
          <w:szCs w:val="21"/>
          <w:highlight w:val="none"/>
          <w:lang w:val="zh-CN"/>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rPr>
        <w:t>3</w:t>
      </w:r>
      <w:r>
        <w:rPr>
          <w:rFonts w:hint="eastAsia" w:ascii="宋体" w:hAnsi="宋体" w:cs="宋体"/>
          <w:bCs/>
          <w:color w:val="auto"/>
          <w:szCs w:val="21"/>
          <w:highlight w:val="none"/>
          <w:lang w:val="zh-CN"/>
        </w:rPr>
        <w:t>）投标人拟投入本项目的设备、人员情况一览表；</w:t>
      </w:r>
    </w:p>
    <w:p w14:paraId="7E4262A1">
      <w:pPr>
        <w:autoSpaceDE w:val="0"/>
        <w:autoSpaceDN w:val="0"/>
        <w:adjustRightInd w:val="0"/>
        <w:spacing w:line="440" w:lineRule="exact"/>
        <w:ind w:firstLine="420" w:firstLineChars="200"/>
        <w:jc w:val="left"/>
        <w:rPr>
          <w:rFonts w:ascii="宋体" w:hAnsi="宋体" w:cs="宋体"/>
          <w:bCs/>
          <w:color w:val="auto"/>
          <w:szCs w:val="21"/>
          <w:highlight w:val="none"/>
          <w:lang w:val="zh-CN"/>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rPr>
        <w:t>4</w:t>
      </w:r>
      <w:r>
        <w:rPr>
          <w:rFonts w:hint="eastAsia" w:ascii="宋体" w:hAnsi="宋体" w:cs="宋体"/>
          <w:bCs/>
          <w:color w:val="auto"/>
          <w:szCs w:val="21"/>
          <w:highlight w:val="none"/>
          <w:lang w:val="zh-CN"/>
        </w:rPr>
        <w:t>）投标人认为需要提供的其他技术资料。</w:t>
      </w:r>
    </w:p>
    <w:p w14:paraId="52F1E60C">
      <w:pPr>
        <w:autoSpaceDE w:val="0"/>
        <w:autoSpaceDN w:val="0"/>
        <w:adjustRightInd w:val="0"/>
        <w:spacing w:line="440" w:lineRule="exact"/>
        <w:ind w:firstLine="422" w:firstLineChars="200"/>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12、投标文件的价格部分</w:t>
      </w:r>
    </w:p>
    <w:p w14:paraId="2A04D8CC">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12.1价格部分是对投标服务价格构成的说明，每一项服务仅接受一个价格。</w:t>
      </w:r>
    </w:p>
    <w:p w14:paraId="5660257E">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12.2报价应包含完成本服务项目发生的所有含税费用、支付给员工的工资和国家强制缴纳的各种社会保障资金，以及投标人认为需要的其他费用等。</w:t>
      </w:r>
    </w:p>
    <w:p w14:paraId="7E5B443E">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12.3投标人的任何错漏、优惠、竞争性报价不得作为减轻责任、减少服务、增加收费、降低质量的理由。</w:t>
      </w:r>
    </w:p>
    <w:p w14:paraId="5DF323FD">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12.4投标人应在《开标一览表》、《分项报价</w:t>
      </w:r>
      <w:r>
        <w:rPr>
          <w:rFonts w:hint="eastAsia" w:ascii="宋体" w:hAnsi="宋体" w:cs="宋体"/>
          <w:color w:val="auto"/>
          <w:szCs w:val="21"/>
          <w:highlight w:val="none"/>
        </w:rPr>
        <w:t>表</w:t>
      </w:r>
      <w:r>
        <w:rPr>
          <w:rFonts w:hint="eastAsia" w:ascii="宋体" w:hAnsi="宋体" w:cs="宋体"/>
          <w:color w:val="auto"/>
          <w:szCs w:val="21"/>
          <w:highlight w:val="none"/>
          <w:lang w:val="zh-CN"/>
        </w:rPr>
        <w:t>》等标明提供服务的单价、总价以及分项报价。投标人系小企业（含小型、微型企业），并由本企业提供服务，须在《开标一览表》、《分项报价</w:t>
      </w:r>
      <w:r>
        <w:rPr>
          <w:rFonts w:hint="eastAsia" w:ascii="宋体" w:hAnsi="宋体" w:cs="宋体"/>
          <w:color w:val="auto"/>
          <w:szCs w:val="21"/>
          <w:highlight w:val="none"/>
        </w:rPr>
        <w:t>表</w:t>
      </w:r>
      <w:r>
        <w:rPr>
          <w:rFonts w:hint="eastAsia" w:ascii="宋体" w:hAnsi="宋体" w:cs="宋体"/>
          <w:color w:val="auto"/>
          <w:szCs w:val="21"/>
          <w:highlight w:val="none"/>
          <w:lang w:val="zh-CN"/>
        </w:rPr>
        <w:t>》中注明，投标人应当如实申报，否则评标委员会有权取消其小微企业优惠政策。</w:t>
      </w:r>
    </w:p>
    <w:p w14:paraId="46F14842">
      <w:pPr>
        <w:autoSpaceDE w:val="0"/>
        <w:autoSpaceDN w:val="0"/>
        <w:adjustRightInd w:val="0"/>
        <w:spacing w:line="440" w:lineRule="exact"/>
        <w:ind w:firstLine="422" w:firstLineChars="200"/>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13、投标文件的其他部分</w:t>
      </w:r>
    </w:p>
    <w:p w14:paraId="66E74ABD">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13.1其他部分由投标人根据编制投标文件需要提供的其他相关文件。</w:t>
      </w:r>
    </w:p>
    <w:p w14:paraId="3D46C336">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14、投标保证金</w:t>
      </w:r>
    </w:p>
    <w:p w14:paraId="21DFCBDE">
      <w:pPr>
        <w:autoSpaceDE w:val="0"/>
        <w:autoSpaceDN w:val="0"/>
        <w:adjustRightInd w:val="0"/>
        <w:spacing w:line="440" w:lineRule="exact"/>
        <w:ind w:firstLine="420" w:firstLineChars="200"/>
        <w:jc w:val="left"/>
        <w:rPr>
          <w:rFonts w:hint="eastAsia" w:cs="Times New Roman" w:asciiTheme="minorEastAsia" w:hAnsiTheme="minorEastAsia"/>
          <w:caps/>
          <w:color w:val="auto"/>
          <w:szCs w:val="20"/>
          <w:highlight w:val="none"/>
          <w:lang w:val="en-US" w:eastAsia="zh-CN"/>
        </w:rPr>
      </w:pPr>
      <w:r>
        <w:rPr>
          <w:rFonts w:hint="eastAsia" w:cs="Times New Roman" w:asciiTheme="minorEastAsia" w:hAnsiTheme="minorEastAsia"/>
          <w:caps/>
          <w:color w:val="auto"/>
          <w:szCs w:val="20"/>
          <w:highlight w:val="none"/>
          <w:lang w:val="en-US" w:eastAsia="zh-CN"/>
        </w:rPr>
        <w:t>无</w:t>
      </w:r>
    </w:p>
    <w:p w14:paraId="73C99A24">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15、投标有效期</w:t>
      </w:r>
    </w:p>
    <w:p w14:paraId="405B459A">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15.1 自开标之日起</w:t>
      </w:r>
      <w:r>
        <w:rPr>
          <w:rFonts w:hint="eastAsia" w:ascii="宋体" w:hAnsi="宋体" w:cs="宋体"/>
          <w:b/>
          <w:bCs/>
          <w:color w:val="auto"/>
          <w:szCs w:val="21"/>
          <w:highlight w:val="none"/>
        </w:rPr>
        <w:t>90</w:t>
      </w:r>
      <w:r>
        <w:rPr>
          <w:rFonts w:hint="eastAsia" w:ascii="宋体" w:hAnsi="宋体" w:cs="宋体"/>
          <w:b/>
          <w:bCs/>
          <w:color w:val="auto"/>
          <w:szCs w:val="21"/>
          <w:highlight w:val="none"/>
          <w:lang w:val="zh-CN"/>
        </w:rPr>
        <w:t>天内投标有效。</w:t>
      </w:r>
    </w:p>
    <w:p w14:paraId="59BAEE46">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15.2 在特殊情况下，在原投标有效期截止之前，招标代理机构可要求投标人同意延长投标有效期，这种要求与答复均以书面形式提交。</w:t>
      </w:r>
    </w:p>
    <w:p w14:paraId="04902D56">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16、投标文件的份数、签署</w:t>
      </w:r>
    </w:p>
    <w:p w14:paraId="21F73D0B">
      <w:pPr>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16.1 投标人应严格按照招标文件要求的份数准备投标文件，每份投标文件须清楚地标明“正本”或“副本”字样。一旦正本和副本不符，以正本为准。</w:t>
      </w:r>
    </w:p>
    <w:p w14:paraId="0A2024E8">
      <w:pPr>
        <w:spacing w:line="440" w:lineRule="exact"/>
        <w:ind w:firstLine="420" w:firstLineChars="200"/>
        <w:jc w:val="left"/>
        <w:rPr>
          <w:rFonts w:ascii="宋体" w:hAnsi="宋体" w:cs="宋体"/>
          <w:bCs/>
          <w:color w:val="auto"/>
          <w:highlight w:val="none"/>
        </w:rPr>
      </w:pPr>
      <w:r>
        <w:rPr>
          <w:rFonts w:hint="eastAsia" w:ascii="宋体" w:hAnsi="宋体" w:cs="宋体"/>
          <w:color w:val="auto"/>
          <w:szCs w:val="21"/>
          <w:highlight w:val="none"/>
          <w:lang w:val="zh-CN"/>
        </w:rPr>
        <w:t>16.2 投</w:t>
      </w:r>
      <w:r>
        <w:rPr>
          <w:rFonts w:hint="eastAsia" w:ascii="宋体" w:hAnsi="宋体" w:cs="宋体"/>
          <w:color w:val="auto"/>
          <w:highlight w:val="none"/>
        </w:rPr>
        <w:t>标文件正本中，除招标文件规定的可提交复印件外，其他文件均须提交原件，文字材料需打印或用不褪色墨水书写。投标文件的正本须经法定代表人或经正式授权</w:t>
      </w:r>
      <w:r>
        <w:rPr>
          <w:rFonts w:hint="eastAsia" w:ascii="宋体" w:hAnsi="宋体" w:cs="宋体"/>
          <w:color w:val="auto"/>
          <w:szCs w:val="21"/>
          <w:highlight w:val="none"/>
          <w:lang w:val="zh-CN"/>
        </w:rPr>
        <w:t>并对投标人有约束力的委托代理人签字</w:t>
      </w:r>
      <w:r>
        <w:rPr>
          <w:rFonts w:hint="eastAsia" w:ascii="宋体" w:hAnsi="宋体" w:cs="宋体"/>
          <w:color w:val="auto"/>
          <w:highlight w:val="none"/>
        </w:rPr>
        <w:t>和加盖投标人公章。本招标文件所表述（指定）的公章是指法定名称章，不包括合同专用章、业务专用章等印章。</w:t>
      </w:r>
    </w:p>
    <w:p w14:paraId="4433E69D">
      <w:pPr>
        <w:spacing w:line="440" w:lineRule="exact"/>
        <w:ind w:firstLine="420" w:firstLineChars="200"/>
        <w:jc w:val="left"/>
        <w:rPr>
          <w:rFonts w:ascii="宋体" w:hAnsi="宋体" w:cs="宋体"/>
          <w:bCs/>
          <w:color w:val="auto"/>
          <w:highlight w:val="none"/>
        </w:rPr>
      </w:pPr>
      <w:r>
        <w:rPr>
          <w:rFonts w:hint="eastAsia" w:ascii="宋体" w:hAnsi="宋体" w:cs="宋体"/>
          <w:color w:val="auto"/>
          <w:szCs w:val="21"/>
          <w:highlight w:val="none"/>
          <w:lang w:val="zh-CN"/>
        </w:rPr>
        <w:t xml:space="preserve">16.3 </w:t>
      </w:r>
      <w:r>
        <w:rPr>
          <w:rFonts w:hint="eastAsia" w:ascii="宋体" w:hAnsi="宋体" w:cs="宋体"/>
          <w:bCs/>
          <w:color w:val="auto"/>
          <w:highlight w:val="none"/>
        </w:rPr>
        <w:t>除投标人对错处做必要修改外，投标文件不得行间插字、涂改或增删。如有修改错漏处，必须由投标文件签署人签字或盖章。</w:t>
      </w:r>
    </w:p>
    <w:p w14:paraId="368FF17A">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17、投标文件的密封和递交</w:t>
      </w:r>
    </w:p>
    <w:p w14:paraId="2462DD89">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17.1 投标人应当将投标文件密封；</w:t>
      </w:r>
    </w:p>
    <w:p w14:paraId="3334908D">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17.2 投标人应当在招标文件要求提交投标文件的截止时间前，将密封的投标文件送达投标地点。</w:t>
      </w:r>
    </w:p>
    <w:p w14:paraId="398E9ED7">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18、有下列情形之一的投标文件将拒收：</w:t>
      </w:r>
    </w:p>
    <w:p w14:paraId="21DC590D">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 xml:space="preserve">18.1 </w:t>
      </w:r>
      <w:r>
        <w:rPr>
          <w:rFonts w:hint="eastAsia" w:ascii="宋体" w:hAnsi="宋体" w:cs="宋体"/>
          <w:color w:val="auto"/>
          <w:szCs w:val="21"/>
          <w:highlight w:val="none"/>
        </w:rPr>
        <w:t>逾期送达或者未按照招标文件要求密封的投标文件，招标人、招标代理机构将拒收。</w:t>
      </w:r>
    </w:p>
    <w:p w14:paraId="12DC486A">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19、投标文件的修改和撤回</w:t>
      </w:r>
    </w:p>
    <w:p w14:paraId="7FEC4987">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19.1 投标人在投标截止时间前，可以对所递交的投标文件进行补充、修改或撤回，并书面通知招标代理机构。补充、修改的内容应当按照招标文件要求签署、盖章、</w:t>
      </w:r>
      <w:r>
        <w:rPr>
          <w:rFonts w:hint="eastAsia" w:ascii="宋体" w:hAnsi="宋体" w:cs="宋体"/>
          <w:color w:val="auto"/>
          <w:szCs w:val="21"/>
          <w:highlight w:val="none"/>
        </w:rPr>
        <w:t>密封后</w:t>
      </w:r>
      <w:r>
        <w:rPr>
          <w:rFonts w:hint="eastAsia" w:ascii="宋体" w:hAnsi="宋体" w:cs="宋体"/>
          <w:color w:val="auto"/>
          <w:szCs w:val="21"/>
          <w:highlight w:val="none"/>
          <w:lang w:val="zh-CN"/>
        </w:rPr>
        <w:t>，并作为投标文件的组成部分。</w:t>
      </w:r>
    </w:p>
    <w:p w14:paraId="7AAA4F38">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19.2 投标截止时间之后，投标文件不得撤回。</w:t>
      </w:r>
    </w:p>
    <w:p w14:paraId="0CD7D1B1">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四、开标、评标与</w:t>
      </w:r>
      <w:r>
        <w:rPr>
          <w:rFonts w:hint="eastAsia" w:ascii="宋体" w:hAnsi="宋体" w:cs="宋体"/>
          <w:b/>
          <w:bCs/>
          <w:color w:val="auto"/>
          <w:highlight w:val="none"/>
          <w:lang w:val="zh-CN"/>
        </w:rPr>
        <w:t>确定中标人</w:t>
      </w:r>
    </w:p>
    <w:p w14:paraId="60D70578">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20、开标</w:t>
      </w:r>
    </w:p>
    <w:p w14:paraId="62EB775D">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20.1 招标代理机构将在招标文件确定的时间和地点进行公开开标。投标人应委派代表准时参加，参加开标的代表须签名报到以证明其出席。</w:t>
      </w:r>
    </w:p>
    <w:p w14:paraId="2016CD16">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20.2 开标时，招标代理机构将邀请投标人代表检查投标文件的密封情况，经确认无误后，由招标代理机构工作人员当众拆封，宣读投标人名称、投标价格（</w:t>
      </w:r>
      <w:r>
        <w:rPr>
          <w:rFonts w:hint="eastAsia" w:ascii="宋体" w:hAnsi="宋体" w:cs="宋体"/>
          <w:color w:val="auto"/>
          <w:szCs w:val="21"/>
          <w:highlight w:val="none"/>
        </w:rPr>
        <w:t>或投标费率</w:t>
      </w:r>
      <w:r>
        <w:rPr>
          <w:rFonts w:hint="eastAsia" w:ascii="宋体" w:hAnsi="宋体" w:cs="宋体"/>
          <w:color w:val="auto"/>
          <w:szCs w:val="21"/>
          <w:highlight w:val="none"/>
          <w:lang w:val="zh-CN"/>
        </w:rPr>
        <w:t>）、招标文件允许提供的备选投标方案和投标文件规定的其他主要内容。</w:t>
      </w:r>
    </w:p>
    <w:p w14:paraId="10C8A87D">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rPr>
        <w:t>20</w:t>
      </w:r>
      <w:r>
        <w:rPr>
          <w:rFonts w:hint="eastAsia" w:ascii="宋体" w:hAnsi="宋体" w:cs="宋体"/>
          <w:color w:val="auto"/>
          <w:szCs w:val="21"/>
          <w:highlight w:val="none"/>
          <w:lang w:val="zh-CN"/>
        </w:rPr>
        <w:t>.3 未宣读的投标价格、价格折扣和招标文件允许提供的备选投标方案等实质性内容，评标时不予承认。</w:t>
      </w:r>
    </w:p>
    <w:p w14:paraId="05C07375">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20.4 开标时，《开标一览表》（报价表）内容与投标文件中相应内容不一致的，以《开标一览表》（报价表）为准。</w:t>
      </w:r>
    </w:p>
    <w:p w14:paraId="1CF42F2C">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20.5 投标文件、《开标一览表》（报价表）中报价的大写金额与小写金额不一致的，以大写金额为准。</w:t>
      </w:r>
    </w:p>
    <w:p w14:paraId="2ABF431B">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20.6 单价金额小数点或者百分比有明显错位的，以《开标一览表》（报价表）的总价为准，并修改单价；</w:t>
      </w:r>
    </w:p>
    <w:p w14:paraId="5E0E99BA">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20.7 总价金额与按单价汇总金额不一致的，以单价金额计算结果为准；</w:t>
      </w:r>
    </w:p>
    <w:p w14:paraId="6D79B59E">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20.8 同时出现20.4-20.7中两种以上不一致的，按照20.4-20.7的顺序修正。修正后的报价由法定代表人或其授权的代表签字确认后产生约束力，投标人不确认的，投标无效。</w:t>
      </w:r>
    </w:p>
    <w:p w14:paraId="780C9CF3">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20.9 对不同文字文本投标文件的解释发生异议的，以中文文本为准。</w:t>
      </w:r>
    </w:p>
    <w:p w14:paraId="1C983EC9">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 xml:space="preserve">20.10 </w:t>
      </w:r>
      <w:r>
        <w:rPr>
          <w:rFonts w:hint="eastAsia" w:ascii="宋体" w:hAnsi="宋体" w:cs="宋体"/>
          <w:color w:val="auto"/>
          <w:szCs w:val="21"/>
          <w:highlight w:val="none"/>
        </w:rPr>
        <w:t>重新招标二次后</w:t>
      </w:r>
      <w:r>
        <w:rPr>
          <w:rFonts w:hint="eastAsia" w:ascii="宋体" w:hAnsi="宋体" w:cs="宋体"/>
          <w:color w:val="auto"/>
          <w:szCs w:val="21"/>
          <w:highlight w:val="none"/>
          <w:lang w:val="zh-CN"/>
        </w:rPr>
        <w:t>投标截止时间结束后参加投标的投标人不足三家的，除采购任务取消情形外，招标人报</w:t>
      </w:r>
      <w:r>
        <w:rPr>
          <w:rFonts w:hint="eastAsia" w:ascii="宋体" w:hAnsi="宋体" w:cs="宋体"/>
          <w:color w:val="auto"/>
          <w:szCs w:val="21"/>
          <w:highlight w:val="none"/>
        </w:rPr>
        <w:t>相关</w:t>
      </w:r>
      <w:r>
        <w:rPr>
          <w:rFonts w:hint="eastAsia" w:ascii="宋体" w:hAnsi="宋体" w:cs="宋体"/>
          <w:color w:val="auto"/>
          <w:szCs w:val="21"/>
          <w:highlight w:val="none"/>
          <w:lang w:val="zh-CN"/>
        </w:rPr>
        <w:t>部门批准后，可变更为竞争性谈判、竞争性磋商或者单一来源方式采购。如果变更为竞争性谈判或竞争性磋商采购的，招标代理机构根据招标文件中的采购需求编制竞争性谈判文件或竞争性磋商文件，只与该两家投标人进行竞争性谈判采购或竞争性磋商。</w:t>
      </w:r>
    </w:p>
    <w:p w14:paraId="7E724053">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21、评标</w:t>
      </w:r>
    </w:p>
    <w:p w14:paraId="3383D6C2">
      <w:pPr>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21.1 评标组织</w:t>
      </w:r>
    </w:p>
    <w:p w14:paraId="25754CE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zh-CN"/>
        </w:rPr>
        <w:t>21.1.1评标工作由招标代理机构负责组织，具体评标事务由依法组建的评标委员会负责，并独立履行</w:t>
      </w:r>
      <w:r>
        <w:rPr>
          <w:rFonts w:hint="eastAsia" w:ascii="宋体" w:hAnsi="宋体" w:cs="宋体"/>
          <w:color w:val="auto"/>
          <w:szCs w:val="21"/>
          <w:highlight w:val="none"/>
        </w:rPr>
        <w:t>下列职责：</w:t>
      </w:r>
    </w:p>
    <w:p w14:paraId="591DA4B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（1）审查、评价投标文件是否符合招标文件的商务、技术等实质性要求；</w:t>
      </w:r>
    </w:p>
    <w:p w14:paraId="3EC5278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（2）要求投标人对投标文件有关事项作出澄清或者说明；</w:t>
      </w:r>
    </w:p>
    <w:p w14:paraId="736175B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（3）对投标文件进行比较和评价；</w:t>
      </w:r>
    </w:p>
    <w:p w14:paraId="266342A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（4）根据招标人委托协议直接确定中标人；</w:t>
      </w:r>
    </w:p>
    <w:p w14:paraId="61C2A99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（5）向招标人、监督部门报告评标中发现的违法行为。</w:t>
      </w:r>
    </w:p>
    <w:p w14:paraId="38D8E535">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21.1.2 评标委员会由招标人代表和有关技术、经济等方面的专家组成，独立开展评审工作。</w:t>
      </w:r>
    </w:p>
    <w:p w14:paraId="4DCC3A74">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21.2 评标程序</w:t>
      </w:r>
    </w:p>
    <w:p w14:paraId="33BEE256">
      <w:pPr>
        <w:autoSpaceDE w:val="0"/>
        <w:autoSpaceDN w:val="0"/>
        <w:adjustRightInd w:val="0"/>
        <w:spacing w:line="440" w:lineRule="exact"/>
        <w:ind w:firstLine="422" w:firstLineChars="200"/>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21.2.1 投标文件的资格审查。</w:t>
      </w:r>
    </w:p>
    <w:p w14:paraId="212F321D">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21.2.1.1 招标人代表或者招标代理机构将依法对投标人的资格进行审查。</w:t>
      </w:r>
    </w:p>
    <w:p w14:paraId="2F3DFBCC">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21.2.1.2 资格审查：依据法律法规和招标文件的规定，对投标文件中的资格证明文件进行审查，以确定投标人是否具备投标资格。</w:t>
      </w:r>
    </w:p>
    <w:p w14:paraId="6ED853C5">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21.2.1.3 在进行资格审查的同时，将在信用中国网站（www.creditchina.gov.cn）对投标人是否被列入失信被执行人、重大税收违法失信主体、政府采购严重违法失信行为记录名单的情况进行查询，以确定投标人是否具备投标资格。查询结果将以网页打印的形式留存并归档。</w:t>
      </w:r>
    </w:p>
    <w:p w14:paraId="454F4AA7">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21.2.1.4 投标文件有下列情况之一的，在资格审查时按照无效投标处理：</w:t>
      </w:r>
    </w:p>
    <w:p w14:paraId="29BF288C">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（1）不具备招标文件中规定的资格条件的；</w:t>
      </w:r>
    </w:p>
    <w:p w14:paraId="612B94A2">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（2）</w:t>
      </w:r>
      <w:r>
        <w:rPr>
          <w:rFonts w:hint="eastAsia" w:ascii="宋体" w:hAnsi="宋体" w:cs="宋体"/>
          <w:color w:val="auto"/>
          <w:szCs w:val="21"/>
          <w:highlight w:val="none"/>
        </w:rPr>
        <w:t>投标人被信用中国网站（www.creditchina.gov.cn）列入失信被执行人、重大税收违法失信主体、政府采购严重违法失信行为记录名单的。</w:t>
      </w:r>
    </w:p>
    <w:p w14:paraId="54D825F3">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21.2.2 投标文件的符合性审查。</w:t>
      </w:r>
    </w:p>
    <w:p w14:paraId="1AC7D669">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21.2.2.1 评标委员会将依据法律法规和招标文件的规定，对投标文件的有效性、完整性和对招标文件的响应程度进行审查，以确定是否对招标文件的实质性要求作出响应。</w:t>
      </w:r>
    </w:p>
    <w:p w14:paraId="4DFDA8CE">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21.2.2.2 实质性要求是指本招标文件中用带星号（“★”）的商务和技术要求。</w:t>
      </w:r>
    </w:p>
    <w:p w14:paraId="075DBBC2">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21.2.2.3 如果投标文件实质上没有响应招标文件的要求，评标委员会将予以拒绝，投标人不得通过修改或撤销不合要求的偏离或保留而使其投标成为实质性响应的投标。</w:t>
      </w:r>
    </w:p>
    <w:p w14:paraId="582CB01A">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21.2.2.4 投标文件有下列情况之一的，在符合性审查时按照无效投标处理：</w:t>
      </w:r>
    </w:p>
    <w:p w14:paraId="295358AA">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（1）未按照招标文件规定要求密封、签署、盖章的；</w:t>
      </w:r>
    </w:p>
    <w:p w14:paraId="7D95DE43">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（2）投标总价超出采购预算金额或者最高限价的；</w:t>
      </w:r>
    </w:p>
    <w:p w14:paraId="20A3D161">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（3）不同投标人的投标文件由同一单位或者个人编制；</w:t>
      </w:r>
    </w:p>
    <w:p w14:paraId="088D6A3E">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（4）不同投标人委托同一单位或者个人办理投标事宜；</w:t>
      </w:r>
    </w:p>
    <w:p w14:paraId="7DE10FA9">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（5）不同投标人的投标文件载明的项目管理成员或者联系人员为同一人；</w:t>
      </w:r>
    </w:p>
    <w:p w14:paraId="597ACC2C">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（6）不同投标人的投标文件异常一致或者投标报价呈规律性差异；</w:t>
      </w:r>
    </w:p>
    <w:p w14:paraId="3C78A3B8">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（7）不同投标人的投标文件相互混装；</w:t>
      </w:r>
    </w:p>
    <w:p w14:paraId="3BF6A5A3">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（8）投标文件含有招标人不能接受的附加条件的；</w:t>
      </w:r>
    </w:p>
    <w:p w14:paraId="2D71AAC7">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（9）评标委员会认为投标人的报价明显低于其他通过符合性审查投标人的报价，有可能影响产品质量或者不能诚信履约的，未在评标现场合理的时间内提供书面说明或相关证明材料，不能证明其报价合理的；</w:t>
      </w:r>
    </w:p>
    <w:p w14:paraId="71E5E041">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（10）同一法人公司下的两家或多家分公司不得同时参与本项目投标；</w:t>
      </w:r>
    </w:p>
    <w:p w14:paraId="3432A80C">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（11）投标文件没有响应招标文件实质性要求的。</w:t>
      </w:r>
    </w:p>
    <w:p w14:paraId="58D8C803">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（11）不符合法律、法规和招标文件规定的其他无效情形。</w:t>
      </w:r>
    </w:p>
    <w:p w14:paraId="01B16D84">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21.2.2.5 在评标期间，出现符合专业条件的投标人或者对招标文件作出实质性响应的投标人不足三家情形的，比照 20.10 款执行。</w:t>
      </w:r>
    </w:p>
    <w:p w14:paraId="5C596490">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21.2.2.6 有下列情形之一的予以废标，同时将废标理由通知所有投标人：</w:t>
      </w:r>
    </w:p>
    <w:p w14:paraId="003376E4">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（1）符合专业条件的投标人或者对招标文件作实质性响应的投标人不足三家的；</w:t>
      </w:r>
    </w:p>
    <w:p w14:paraId="1E093C4F">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（2）出现影响采购公正的违法、违规行为的；</w:t>
      </w:r>
    </w:p>
    <w:p w14:paraId="738085E8">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（3）投标人的报价均超过了采购预算或最高限价的，招标人不能支付的；</w:t>
      </w:r>
    </w:p>
    <w:p w14:paraId="40775982">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（4）因重大变故，采购任务取消的；</w:t>
      </w:r>
    </w:p>
    <w:p w14:paraId="02078E66">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（5）投标文件存在歧义、重大缺陷，或者招标文件内容违反国家有关强制性规定的。</w:t>
      </w:r>
    </w:p>
    <w:p w14:paraId="2044C654">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21.2.3 投标文件的进一步评审。</w:t>
      </w:r>
    </w:p>
    <w:p w14:paraId="195727AD">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21.2.3.1 评标委员会将对确定为实质性响应的投标文件进行进一步评审，看其是否有计算上或累加上的算术错误，修正错误的原则如下：</w:t>
      </w:r>
    </w:p>
    <w:p w14:paraId="5733D03D">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（1）如果用数字表示的金额和用文字表示的金额不一致时，应以文字表示的金额为准进行修正；</w:t>
      </w:r>
    </w:p>
    <w:p w14:paraId="60E5ADAC">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（2）当单价与数量的乘积和总价不一致时，以单价为准进行修正。只有在评委会认为单价有明显的小数点错误时，才能以标出的总价为准，并修改单价。</w:t>
      </w:r>
    </w:p>
    <w:p w14:paraId="572AEEB3">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21.2.3.2 评标委员会将按上述修正错误的方法调整投标文件中的投标价，调整后的价格应对投标人具有约束力。如果投标人不接受修正后的价格，则其投标将被拒绝。</w:t>
      </w:r>
    </w:p>
    <w:p w14:paraId="748FDE10">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21.2.3.3 评委会将允许修正投标文件中不构成重大偏离的、微小的、非正规的、不一致的或不规则的地方，但这些修改不能影响任何投标人相应的名次排列。</w:t>
      </w:r>
    </w:p>
    <w:p w14:paraId="353CCF88">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21.2.3.4 澄清有关问题。对投标文件中含义不明确、同类问题表述不一致或者明显文字错误的内容，评标委员会可以要求投标人作出必要的澄清、说明或者补正。投标人的澄清、说明、补正应当采用书面形式，由其授权代表签字，但不得超出投标文件的范围或者改变投标文件的实质性内容。</w:t>
      </w:r>
    </w:p>
    <w:p w14:paraId="2FED8503">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21.2.3.5 比较与评价。按照招标文件中规定的评标方法和标准，对资格性检查和符合性检查合格的投 标文件进行商务和技术评估，综合比较与评价。</w:t>
      </w:r>
    </w:p>
    <w:p w14:paraId="7B651848">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21.3 评标方法和标准</w:t>
      </w:r>
    </w:p>
    <w:p w14:paraId="32790BFA">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21.3.1 采用综合评分法。是指投标文件满足招标文件全部实质性要求且按照评审因素的量化指标评审得分最高的投标人为中标候选人的评标方法。</w:t>
      </w:r>
    </w:p>
    <w:p w14:paraId="706FB548">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21.3.2 综合评分的主要因素是：价格、技术、商务等。</w:t>
      </w:r>
    </w:p>
    <w:p w14:paraId="11D03890">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21.3.3 评分标准详见文件第三章。</w:t>
      </w:r>
    </w:p>
    <w:p w14:paraId="5A1FBB4D">
      <w:pPr>
        <w:autoSpaceDE w:val="0"/>
        <w:autoSpaceDN w:val="0"/>
        <w:adjustRightInd w:val="0"/>
        <w:spacing w:line="440" w:lineRule="exact"/>
        <w:ind w:firstLine="422" w:firstLineChars="200"/>
        <w:jc w:val="left"/>
        <w:rPr>
          <w:rFonts w:ascii="宋体" w:hAnsi="宋体" w:cs="宋体"/>
          <w:b/>
          <w:bCs/>
          <w:color w:val="auto"/>
          <w:highlight w:val="none"/>
          <w:lang w:val="zh-CN"/>
        </w:rPr>
      </w:pPr>
      <w:r>
        <w:rPr>
          <w:rFonts w:hint="eastAsia" w:ascii="宋体" w:hAnsi="宋体" w:cs="宋体"/>
          <w:b/>
          <w:bCs/>
          <w:color w:val="auto"/>
          <w:highlight w:val="none"/>
          <w:lang w:val="zh-CN"/>
        </w:rPr>
        <w:t>22、确定中标人</w:t>
      </w:r>
    </w:p>
    <w:p w14:paraId="09912363">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highlight w:val="none"/>
          <w:lang w:val="zh-CN"/>
        </w:rPr>
        <w:t xml:space="preserve">22.1 </w:t>
      </w:r>
      <w:r>
        <w:rPr>
          <w:rFonts w:hint="eastAsia" w:ascii="宋体" w:hAnsi="宋体" w:cs="宋体"/>
          <w:color w:val="auto"/>
          <w:highlight w:val="none"/>
          <w:lang w:val="en-US" w:eastAsia="zh-CN"/>
        </w:rPr>
        <w:t>每个标段，</w:t>
      </w:r>
      <w:r>
        <w:rPr>
          <w:rFonts w:hint="eastAsia" w:ascii="宋体" w:hAnsi="宋体" w:cs="宋体"/>
          <w:color w:val="auto"/>
          <w:szCs w:val="21"/>
          <w:highlight w:val="none"/>
        </w:rPr>
        <w:t>评标委员会根据投标人总得分由高到低的顺序推荐前三名作为中标候选人。总得分相同的，按投标报价由低到高顺序排列。总得分及投标报价相同的，按技术得分由高到低顺序排列。总得分及投标报价相同，且技术得分仍相同的，由评标委员会采取随机抽取方式确定中标候选人，招标人或评标委员会经招标人授权后按中标候选人顺序确定一名中标人。投标人可参加任意标段或全部标段的投标，投标人参加多标段投标的须按标段分别制作投标文件，但最多只能中标其中两个标段。标段评审顺序按标段一至标段四的顺序进行，如投标人已在两个标段中被推荐为第一中标候选人之后，仍然参加后续其他标段的评审，但是在后续其他标段中不能被推荐为中标候选人。</w:t>
      </w:r>
    </w:p>
    <w:p w14:paraId="3922A53B">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22.2 中标人将在采购信息发布媒体上公告，中标人及时到招标代理机构领取《中标通知书》。</w:t>
      </w:r>
    </w:p>
    <w:p w14:paraId="7968C35E">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22.3 中标通知书对招标人和中标人具有同等法律效力。</w:t>
      </w:r>
    </w:p>
    <w:p w14:paraId="0AEB7B0C">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szCs w:val="21"/>
          <w:highlight w:val="none"/>
          <w:lang w:val="zh-CN"/>
        </w:rPr>
        <w:t xml:space="preserve">22.4 </w:t>
      </w:r>
      <w:r>
        <w:rPr>
          <w:rFonts w:hint="eastAsia" w:ascii="宋体" w:hAnsi="宋体" w:cs="宋体"/>
          <w:color w:val="auto"/>
          <w:highlight w:val="none"/>
        </w:rPr>
        <w:t>中标通知书发出后，中标人无正当理由不与招标人签订合同的；情节严重的，招标人将其列入不良行为记录名单，在一至三年内禁止参加招标人组织的采购活动，并予以通报。</w:t>
      </w:r>
    </w:p>
    <w:p w14:paraId="301463AC">
      <w:pPr>
        <w:tabs>
          <w:tab w:val="left" w:pos="1260"/>
        </w:tabs>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 xml:space="preserve">22.5 </w:t>
      </w:r>
      <w:r>
        <w:rPr>
          <w:rFonts w:hint="eastAsia" w:ascii="宋体" w:hAnsi="宋体" w:cs="宋体"/>
          <w:color w:val="auto"/>
          <w:szCs w:val="21"/>
          <w:highlight w:val="none"/>
          <w:lang w:val="zh-CN"/>
        </w:rPr>
        <w:t>招标代理机构和评标委员会</w:t>
      </w:r>
      <w:r>
        <w:rPr>
          <w:rFonts w:hint="eastAsia" w:ascii="宋体" w:hAnsi="宋体" w:cs="宋体"/>
          <w:color w:val="auto"/>
          <w:highlight w:val="none"/>
        </w:rPr>
        <w:t>对未中标的投标人不作未中标原因的解释。</w:t>
      </w:r>
    </w:p>
    <w:p w14:paraId="677951EC">
      <w:pPr>
        <w:autoSpaceDE w:val="0"/>
        <w:autoSpaceDN w:val="0"/>
        <w:adjustRightIn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22.6 所有投标文件都将作为档案保存，不论中标与否，</w:t>
      </w:r>
      <w:r>
        <w:rPr>
          <w:rFonts w:hint="eastAsia" w:ascii="宋体" w:hAnsi="宋体" w:cs="宋体"/>
          <w:color w:val="auto"/>
          <w:szCs w:val="21"/>
          <w:highlight w:val="none"/>
          <w:lang w:val="zh-CN"/>
        </w:rPr>
        <w:t>招标代理机构</w:t>
      </w:r>
      <w:r>
        <w:rPr>
          <w:rFonts w:hint="eastAsia" w:ascii="宋体" w:hAnsi="宋体" w:cs="宋体"/>
          <w:color w:val="auto"/>
          <w:highlight w:val="none"/>
        </w:rPr>
        <w:t>均不退回。</w:t>
      </w:r>
    </w:p>
    <w:p w14:paraId="42E43FB8">
      <w:pPr>
        <w:autoSpaceDE w:val="0"/>
        <w:autoSpaceDN w:val="0"/>
        <w:adjustRightInd w:val="0"/>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23</w:t>
      </w:r>
      <w:r>
        <w:rPr>
          <w:rFonts w:hint="eastAsia" w:ascii="宋体" w:hAnsi="宋体" w:cs="宋体"/>
          <w:b/>
          <w:bCs/>
          <w:color w:val="auto"/>
          <w:szCs w:val="21"/>
          <w:highlight w:val="none"/>
          <w:lang w:val="zh-CN"/>
        </w:rPr>
        <w:t>、</w:t>
      </w:r>
      <w:r>
        <w:rPr>
          <w:rFonts w:hint="eastAsia" w:ascii="宋体" w:hAnsi="宋体" w:cs="宋体"/>
          <w:b/>
          <w:color w:val="auto"/>
          <w:szCs w:val="21"/>
          <w:highlight w:val="none"/>
        </w:rPr>
        <w:t>编写评标报告</w:t>
      </w:r>
    </w:p>
    <w:p w14:paraId="19100702">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 评标委员会根据全体评标成员签字的原始评标记录和评标结果编写评标报告。</w:t>
      </w:r>
    </w:p>
    <w:p w14:paraId="70A748EE">
      <w:pPr>
        <w:autoSpaceDE w:val="0"/>
        <w:autoSpaceDN w:val="0"/>
        <w:adjustRightInd w:val="0"/>
        <w:spacing w:line="440" w:lineRule="exact"/>
        <w:ind w:firstLine="422" w:firstLineChars="200"/>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24、评标过程的保密性</w:t>
      </w:r>
    </w:p>
    <w:p w14:paraId="6EA2CF83">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24.1 招标代理机构将采取必要措施，保证评标在严格保密的情况下进行。</w:t>
      </w:r>
    </w:p>
    <w:p w14:paraId="1047923C">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24.2 任何单位和个人不得非法干预、影响评标办法的确定，以及评标过程和结果。</w:t>
      </w:r>
    </w:p>
    <w:p w14:paraId="663B3DCC">
      <w:pPr>
        <w:autoSpaceDE w:val="0"/>
        <w:autoSpaceDN w:val="0"/>
        <w:adjustRightInd w:val="0"/>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lang w:val="zh-CN"/>
        </w:rPr>
        <w:t>24.3 凡是与审查、澄清、评价和比较投标的有关资料等，均不向投标人及与评标无关的其他人员透露。</w:t>
      </w:r>
    </w:p>
    <w:p w14:paraId="3DE23C90">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五、签订合同</w:t>
      </w:r>
    </w:p>
    <w:p w14:paraId="7E296DAB">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25、签订合同</w:t>
      </w:r>
    </w:p>
    <w:p w14:paraId="2147C595">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25.1 招标人应当自中标通知书发出之日起30日内，按照招标文件和中标人投标文件的规定与中标人签订书面合同。所签订的合同不得对招标文件确定事项和中标人投标文件作实质性修改。</w:t>
      </w:r>
    </w:p>
    <w:p w14:paraId="0052AC1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zh-CN"/>
        </w:rPr>
        <w:t>25.2</w:t>
      </w:r>
      <w:r>
        <w:rPr>
          <w:rFonts w:hint="eastAsia" w:ascii="宋体" w:hAnsi="宋体" w:cs="宋体"/>
          <w:color w:val="auto"/>
          <w:szCs w:val="21"/>
          <w:highlight w:val="none"/>
        </w:rPr>
        <w:t xml:space="preserve"> 招标人不得向中标人提出任何不合理的要求作为签订合同的条件，不得与中标人私下订立背离合同实质性内容的协议。</w:t>
      </w:r>
    </w:p>
    <w:p w14:paraId="5063DC2C">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25.3</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中标人拒绝与招标人签订合同，或因不可抗力或者自身原因不能履行采购合同的，招标人可以按照评审报告中的得分高低顺序，确定下一顺序投标人为中标人，也可以重新开展采购活动。</w:t>
      </w:r>
    </w:p>
    <w:p w14:paraId="1D29C3BD">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25.4 采购合同履行中，招标人需追加合同标的</w:t>
      </w:r>
      <w:r>
        <w:rPr>
          <w:rFonts w:hint="eastAsia" w:ascii="宋体" w:hAnsi="宋体" w:cs="宋体"/>
          <w:color w:val="auto"/>
          <w:szCs w:val="21"/>
          <w:highlight w:val="none"/>
        </w:rPr>
        <w:t>项下服务</w:t>
      </w:r>
      <w:r>
        <w:rPr>
          <w:rFonts w:hint="eastAsia" w:ascii="宋体" w:hAnsi="宋体" w:cs="宋体"/>
          <w:color w:val="auto"/>
          <w:szCs w:val="21"/>
          <w:highlight w:val="none"/>
          <w:lang w:val="zh-CN"/>
        </w:rPr>
        <w:t>的，在不改变合同其他条款的前提下，可以与投标人协商签订补充合同，但所有补充合同的采购金额不得超过原合同采购金额的百分之十。</w:t>
      </w:r>
    </w:p>
    <w:p w14:paraId="7A2688C7">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六、询问、质疑、投诉和诚实信用</w:t>
      </w:r>
    </w:p>
    <w:p w14:paraId="1CE14F64">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26、询问</w:t>
      </w:r>
    </w:p>
    <w:p w14:paraId="616D02B1">
      <w:pPr>
        <w:autoSpaceDE w:val="0"/>
        <w:autoSpaceDN w:val="0"/>
        <w:adjustRightInd w:val="0"/>
        <w:spacing w:line="440" w:lineRule="exact"/>
        <w:ind w:firstLine="420" w:firstLineChars="200"/>
        <w:jc w:val="left"/>
        <w:rPr>
          <w:rFonts w:ascii="宋体" w:hAnsi="宋体" w:cs="宋体"/>
          <w:b/>
          <w:color w:val="auto"/>
          <w:szCs w:val="21"/>
          <w:highlight w:val="none"/>
          <w:lang w:val="zh-CN"/>
        </w:rPr>
      </w:pPr>
      <w:r>
        <w:rPr>
          <w:rFonts w:hint="eastAsia" w:ascii="宋体" w:hAnsi="宋体" w:cs="宋体"/>
          <w:color w:val="auto"/>
          <w:szCs w:val="21"/>
          <w:highlight w:val="none"/>
          <w:lang w:val="zh-CN"/>
        </w:rPr>
        <w:t>26.1 投标人对招标活动事项有疑问的，可以向招标代理机构或招标人提出询问，招标代理机构或招标人将在两个工作日内作出答复，但答复的内容不涉及商业秘密</w:t>
      </w:r>
      <w:r>
        <w:rPr>
          <w:rFonts w:hint="eastAsia" w:ascii="宋体" w:hAnsi="宋体" w:cs="宋体"/>
          <w:b/>
          <w:color w:val="auto"/>
          <w:szCs w:val="21"/>
          <w:highlight w:val="none"/>
          <w:lang w:val="zh-CN"/>
        </w:rPr>
        <w:t>。</w:t>
      </w:r>
    </w:p>
    <w:p w14:paraId="25EACF41">
      <w:pPr>
        <w:autoSpaceDE w:val="0"/>
        <w:autoSpaceDN w:val="0"/>
        <w:adjustRightInd w:val="0"/>
        <w:spacing w:line="440" w:lineRule="exact"/>
        <w:ind w:firstLine="422" w:firstLineChars="200"/>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27、质疑</w:t>
      </w:r>
    </w:p>
    <w:p w14:paraId="353E72F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zh-CN"/>
        </w:rPr>
        <w:t>27.1 投标人认为</w:t>
      </w:r>
      <w:r>
        <w:rPr>
          <w:rFonts w:hint="eastAsia" w:ascii="宋体" w:hAnsi="宋体" w:cs="宋体"/>
          <w:color w:val="auto"/>
          <w:szCs w:val="21"/>
          <w:highlight w:val="none"/>
        </w:rPr>
        <w:t>招标</w:t>
      </w:r>
      <w:r>
        <w:rPr>
          <w:rFonts w:hint="eastAsia" w:ascii="宋体" w:hAnsi="宋体" w:cs="宋体"/>
          <w:color w:val="auto"/>
          <w:szCs w:val="21"/>
          <w:highlight w:val="none"/>
          <w:lang w:val="zh-CN"/>
        </w:rPr>
        <w:t>文件、采购过程和中标结果使自己的合法权益受到损害的，可以在知道或者应当知道其权益受到损害之日起七个工作日内，将质疑文件原件以书面形式送达招标代理机构。质疑投标人在法定质疑期内应当一次性提出针对同一招标环节的质疑事项，</w:t>
      </w:r>
      <w:r>
        <w:rPr>
          <w:rFonts w:hint="eastAsia" w:ascii="宋体" w:hAnsi="宋体" w:cs="宋体"/>
          <w:color w:val="auto"/>
          <w:szCs w:val="21"/>
          <w:highlight w:val="none"/>
        </w:rPr>
        <w:t>否则</w:t>
      </w:r>
      <w:r>
        <w:rPr>
          <w:rFonts w:hint="eastAsia" w:ascii="宋体" w:hAnsi="宋体" w:cs="宋体"/>
          <w:color w:val="auto"/>
          <w:szCs w:val="21"/>
          <w:highlight w:val="none"/>
          <w:lang w:val="zh-CN"/>
        </w:rPr>
        <w:t>招标代理机构</w:t>
      </w:r>
      <w:r>
        <w:rPr>
          <w:rFonts w:hint="eastAsia" w:ascii="宋体" w:hAnsi="宋体" w:cs="宋体"/>
          <w:color w:val="auto"/>
          <w:szCs w:val="21"/>
          <w:highlight w:val="none"/>
        </w:rPr>
        <w:t>将拒绝受理。</w:t>
      </w:r>
    </w:p>
    <w:p w14:paraId="330E8668">
      <w:pPr>
        <w:snapToGri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27.2 质疑投标人是指直接参加本次投标活动</w:t>
      </w:r>
      <w:r>
        <w:rPr>
          <w:rFonts w:hint="eastAsia" w:ascii="宋体" w:hAnsi="宋体" w:cs="宋体"/>
          <w:color w:val="auto"/>
          <w:szCs w:val="21"/>
          <w:highlight w:val="none"/>
          <w:lang w:val="en-US" w:eastAsia="zh-CN"/>
        </w:rPr>
        <w:t>对应标段</w:t>
      </w:r>
      <w:r>
        <w:rPr>
          <w:rFonts w:hint="eastAsia" w:ascii="宋体" w:hAnsi="宋体" w:cs="宋体"/>
          <w:color w:val="auto"/>
          <w:szCs w:val="21"/>
          <w:highlight w:val="none"/>
          <w:lang w:val="zh-CN"/>
        </w:rPr>
        <w:t>的投标人，未参加投标活动的投标人或在投标活动中自身权益未受到损害的投标人所提出的质疑不予受理。</w:t>
      </w:r>
    </w:p>
    <w:p w14:paraId="4B6EFF67">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27.3 质疑必须以参加投标</w:t>
      </w:r>
      <w:r>
        <w:rPr>
          <w:rFonts w:hint="eastAsia" w:ascii="宋体" w:hAnsi="宋体" w:cs="宋体"/>
          <w:color w:val="auto"/>
          <w:szCs w:val="21"/>
          <w:highlight w:val="none"/>
        </w:rPr>
        <w:t>的投标人</w:t>
      </w:r>
      <w:r>
        <w:rPr>
          <w:rFonts w:hint="eastAsia" w:ascii="宋体" w:hAnsi="宋体" w:cs="宋体"/>
          <w:color w:val="auto"/>
          <w:szCs w:val="21"/>
          <w:highlight w:val="none"/>
          <w:lang w:val="zh-CN"/>
        </w:rPr>
        <w:t>法定代表人（负责人）或授权代表（投标文件中所确定的）原件送达的方式提交，否则，招标代理机构有权不予受理。</w:t>
      </w:r>
    </w:p>
    <w:p w14:paraId="5B8B5308">
      <w:pPr>
        <w:snapToGri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27.4</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上述应知其权益受到损害之日是指：</w:t>
      </w:r>
    </w:p>
    <w:p w14:paraId="1F6A4926">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（1）对招标文件提出质疑的，为</w:t>
      </w:r>
      <w:r>
        <w:rPr>
          <w:rFonts w:hint="eastAsia" w:ascii="宋体" w:hAnsi="宋体" w:cs="宋体"/>
          <w:color w:val="auto"/>
          <w:szCs w:val="21"/>
          <w:highlight w:val="none"/>
        </w:rPr>
        <w:t>招标</w:t>
      </w:r>
      <w:r>
        <w:rPr>
          <w:rFonts w:hint="eastAsia" w:ascii="宋体" w:hAnsi="宋体" w:cs="宋体"/>
          <w:color w:val="auto"/>
          <w:szCs w:val="21"/>
          <w:highlight w:val="none"/>
          <w:lang w:val="zh-CN"/>
        </w:rPr>
        <w:t>文件公告期限届满之日起计算；</w:t>
      </w:r>
    </w:p>
    <w:p w14:paraId="1D2685C6">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（2）对采购过程提出质疑的，自采购程序环节结束之日起计算；</w:t>
      </w:r>
    </w:p>
    <w:p w14:paraId="1E485F5E">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（3）对中标结果提出质疑的，自中标结果公告期限届满之日起计算。</w:t>
      </w:r>
    </w:p>
    <w:p w14:paraId="34EACB82">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27.5 质疑文件应包括以下主要内容，并按照“谁主张、谁举证”的原则，附上相关证明材料。否则，招标代理机构或招标人不予受理：</w:t>
      </w:r>
    </w:p>
    <w:p w14:paraId="0CECFF70">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（1）质疑项目名称、项目编号、</w:t>
      </w:r>
      <w:r>
        <w:rPr>
          <w:rFonts w:hint="eastAsia" w:ascii="宋体" w:hAnsi="宋体" w:cs="宋体"/>
          <w:color w:val="auto"/>
          <w:szCs w:val="21"/>
          <w:highlight w:val="none"/>
          <w:lang w:val="en-US" w:eastAsia="zh-CN"/>
        </w:rPr>
        <w:t>标段</w:t>
      </w:r>
      <w:r>
        <w:rPr>
          <w:rFonts w:hint="eastAsia" w:ascii="宋体" w:hAnsi="宋体" w:cs="宋体"/>
          <w:color w:val="auto"/>
          <w:szCs w:val="21"/>
          <w:highlight w:val="none"/>
          <w:lang w:val="zh-CN"/>
        </w:rPr>
        <w:t>号、招标公告发布时间、开标时间；</w:t>
      </w:r>
    </w:p>
    <w:p w14:paraId="4B72D036">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（2）提起质疑的日期、具体的质疑事项及事实根据（具体条款）；</w:t>
      </w:r>
    </w:p>
    <w:p w14:paraId="07E5E5CC">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（3）认为自己合法权益受到损害或可能受到损害的相关证据材料。质疑相关证明材料中如涉及到产品功能或技术指标的，应出具相关证明文件；</w:t>
      </w:r>
    </w:p>
    <w:p w14:paraId="6CBA7C25">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（4）质疑投标人名称、地址、邮编、联系人、联系电话（包括座机、手机、传真号码等）；</w:t>
      </w:r>
    </w:p>
    <w:p w14:paraId="4BDA3C76">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（5）质疑文件应当署名，质疑人为自然人的，应当由本人签字并附有效身份证明；质疑人为法人或</w:t>
      </w:r>
      <w:r>
        <w:rPr>
          <w:rFonts w:hint="eastAsia" w:ascii="宋体" w:hAnsi="宋体" w:cs="宋体"/>
          <w:color w:val="auto"/>
          <w:szCs w:val="21"/>
          <w:highlight w:val="none"/>
        </w:rPr>
        <w:t>分支机构或</w:t>
      </w:r>
      <w:r>
        <w:rPr>
          <w:rFonts w:hint="eastAsia" w:ascii="宋体" w:hAnsi="宋体" w:cs="宋体"/>
          <w:color w:val="auto"/>
          <w:szCs w:val="21"/>
          <w:highlight w:val="none"/>
          <w:lang w:val="zh-CN"/>
        </w:rPr>
        <w:t>其他组织的，应当由法定代表人（负责人）签字并加盖单位公章。</w:t>
      </w:r>
    </w:p>
    <w:p w14:paraId="335B4BCB">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（6）投标人委托代理质疑的，应当向被质疑人提交授权委托书，并载明委托代理的具体权限和事项。</w:t>
      </w:r>
    </w:p>
    <w:p w14:paraId="43B98426">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27.6 招标代理机构在收到投标人的书面质疑后将及时组织调查核实，在七个工作日内作出答复，并以书面或在网站公告形式通知质疑投标人和其他有关投标人，答复的内容不涉及商业秘密。招标代理机构遵循“谁过错谁负担”的原则，有过错的一方承担调查论证费用。</w:t>
      </w:r>
    </w:p>
    <w:p w14:paraId="2872BB61">
      <w:pPr>
        <w:autoSpaceDE w:val="0"/>
        <w:autoSpaceDN w:val="0"/>
        <w:adjustRightInd w:val="0"/>
        <w:spacing w:line="440" w:lineRule="exact"/>
        <w:ind w:firstLine="422" w:firstLineChars="200"/>
        <w:jc w:val="left"/>
        <w:rPr>
          <w:rFonts w:ascii="宋体" w:hAnsi="宋体" w:cs="宋体"/>
          <w:color w:val="auto"/>
          <w:szCs w:val="21"/>
          <w:highlight w:val="none"/>
          <w:lang w:val="zh-CN"/>
        </w:rPr>
      </w:pPr>
      <w:r>
        <w:rPr>
          <w:rFonts w:hint="eastAsia" w:ascii="宋体" w:hAnsi="宋体" w:cs="宋体"/>
          <w:b/>
          <w:bCs/>
          <w:color w:val="auto"/>
          <w:szCs w:val="21"/>
          <w:highlight w:val="none"/>
          <w:lang w:val="zh-CN"/>
        </w:rPr>
        <w:t>28、投诉</w:t>
      </w:r>
    </w:p>
    <w:p w14:paraId="24F03377">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28.1 质疑投标人对招标代理机构的答复不满意，或招标代理机构未在规定的时间内作出答复的，可以在答复期满后</w:t>
      </w:r>
      <w:r>
        <w:rPr>
          <w:rFonts w:hint="eastAsia" w:ascii="宋体" w:hAnsi="宋体" w:cs="宋体"/>
          <w:b/>
          <w:bCs/>
          <w:color w:val="auto"/>
          <w:szCs w:val="21"/>
          <w:highlight w:val="none"/>
          <w:lang w:val="zh-CN"/>
        </w:rPr>
        <w:t>十五个工作日内</w:t>
      </w:r>
      <w:r>
        <w:rPr>
          <w:rFonts w:hint="eastAsia" w:ascii="宋体" w:hAnsi="宋体" w:cs="宋体"/>
          <w:color w:val="auto"/>
          <w:szCs w:val="21"/>
          <w:highlight w:val="none"/>
          <w:lang w:val="zh-CN"/>
        </w:rPr>
        <w:t>向</w:t>
      </w:r>
      <w:r>
        <w:rPr>
          <w:rFonts w:hint="eastAsia" w:ascii="宋体" w:hAnsi="宋体" w:cs="宋体"/>
          <w:color w:val="auto"/>
          <w:szCs w:val="21"/>
          <w:highlight w:val="none"/>
        </w:rPr>
        <w:t>相关</w:t>
      </w:r>
      <w:r>
        <w:rPr>
          <w:rFonts w:hint="eastAsia" w:ascii="宋体" w:hAnsi="宋体" w:cs="宋体"/>
          <w:color w:val="auto"/>
          <w:szCs w:val="21"/>
          <w:highlight w:val="none"/>
          <w:lang w:val="zh-CN"/>
        </w:rPr>
        <w:t>部门投诉。</w:t>
      </w:r>
    </w:p>
    <w:p w14:paraId="58A67EE4">
      <w:pPr>
        <w:autoSpaceDE w:val="0"/>
        <w:autoSpaceDN w:val="0"/>
        <w:adjustRightInd w:val="0"/>
        <w:spacing w:line="44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29、诚实信用</w:t>
      </w:r>
    </w:p>
    <w:p w14:paraId="657A9C64">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29.1 投标人之间不得相互串通投标报价，不得妨碍其他投标人的公平竞争，不得损害招标人和其他投标人的合法权益。</w:t>
      </w:r>
    </w:p>
    <w:p w14:paraId="7E3B046B">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29.2 投标人不得以向招标代理机构工作人员、评标委员会成员行贿或者采取其他不正当手段谋取中标。经查实投标人有此行为的，</w:t>
      </w:r>
      <w:r>
        <w:rPr>
          <w:rFonts w:hint="eastAsia" w:ascii="宋体" w:hAnsi="宋体" w:cs="宋体"/>
          <w:color w:val="auto"/>
          <w:highlight w:val="none"/>
        </w:rPr>
        <w:t>管理部门将投标人列入不良行为记录名单，按照有关规定处理。</w:t>
      </w:r>
    </w:p>
    <w:p w14:paraId="1BB3B258">
      <w:pPr>
        <w:autoSpaceDE w:val="0"/>
        <w:autoSpaceDN w:val="0"/>
        <w:adjustRightInd w:val="0"/>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29.3 投标人提出书面质疑必须有理、有据，不得虚假质疑和恶意质疑，并对质疑内容的真实性承担责任。一经查实，招标代理机构有权依据有关规定，报请监管部门对该投标人进行相应的行政处罚并在网站上予以公示。如果投标人或者其他利害关系人通过捏造事实、伪造证明材料等方式提出质疑，干扰采购活动正常进行的，属于严重不良行为，招标代理机构将提请</w:t>
      </w:r>
      <w:r>
        <w:rPr>
          <w:rFonts w:hint="eastAsia" w:ascii="宋体" w:hAnsi="宋体" w:cs="宋体"/>
          <w:color w:val="auto"/>
          <w:szCs w:val="21"/>
          <w:highlight w:val="none"/>
        </w:rPr>
        <w:t>相关</w:t>
      </w:r>
      <w:r>
        <w:rPr>
          <w:rFonts w:hint="eastAsia" w:ascii="宋体" w:hAnsi="宋体" w:cs="宋体"/>
          <w:color w:val="auto"/>
          <w:szCs w:val="21"/>
          <w:highlight w:val="none"/>
          <w:lang w:val="zh-CN"/>
        </w:rPr>
        <w:t>部门将其列入不良行为记录名单，并依法予以处罚。</w:t>
      </w:r>
    </w:p>
    <w:p w14:paraId="74651FDB">
      <w:pPr>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29.4 投标人不得虚假承诺，否则，按照提供虚假材料谋取中标处理。</w:t>
      </w:r>
    </w:p>
    <w:p w14:paraId="1F62E749">
      <w:pPr>
        <w:spacing w:line="440" w:lineRule="exact"/>
        <w:ind w:firstLine="420" w:firstLineChars="200"/>
        <w:jc w:val="left"/>
        <w:rPr>
          <w:rFonts w:cs="黑体" w:asciiTheme="minorEastAsia" w:hAnsiTheme="minorEastAsia"/>
          <w:b/>
          <w:color w:val="auto"/>
          <w:sz w:val="36"/>
          <w:highlight w:val="none"/>
        </w:rPr>
      </w:pPr>
      <w:r>
        <w:rPr>
          <w:rFonts w:hint="eastAsia" w:ascii="宋体" w:hAnsi="宋体" w:cs="宋体"/>
          <w:color w:val="auto"/>
          <w:szCs w:val="21"/>
          <w:highlight w:val="none"/>
          <w:lang w:val="zh-CN"/>
        </w:rPr>
        <w:t>29.5 投标人应自觉遵守开标、评标纪律。</w:t>
      </w:r>
    </w:p>
    <w:p w14:paraId="4D6E0437">
      <w:pPr>
        <w:rPr>
          <w:rFonts w:cs="黑体" w:asciiTheme="minorEastAsia" w:hAnsiTheme="minorEastAsia"/>
          <w:b/>
          <w:color w:val="auto"/>
          <w:sz w:val="36"/>
          <w:highlight w:val="none"/>
        </w:rPr>
      </w:pPr>
      <w:r>
        <w:rPr>
          <w:rFonts w:cs="黑体" w:asciiTheme="minorEastAsia" w:hAnsiTheme="minorEastAsia"/>
          <w:b/>
          <w:color w:val="auto"/>
          <w:sz w:val="36"/>
          <w:highlight w:val="none"/>
        </w:rPr>
        <w:br w:type="page"/>
      </w:r>
    </w:p>
    <w:p w14:paraId="632A0551">
      <w:pPr>
        <w:pStyle w:val="16"/>
        <w:jc w:val="center"/>
        <w:outlineLvl w:val="0"/>
        <w:rPr>
          <w:rFonts w:cs="黑体" w:asciiTheme="minorEastAsia" w:hAnsiTheme="minorEastAsia" w:eastAsiaTheme="minorEastAsia"/>
          <w:b/>
          <w:color w:val="auto"/>
          <w:sz w:val="36"/>
          <w:highlight w:val="none"/>
        </w:rPr>
      </w:pPr>
      <w:r>
        <w:rPr>
          <w:rFonts w:cs="黑体" w:asciiTheme="minorEastAsia" w:hAnsiTheme="minorEastAsia" w:eastAsiaTheme="minorEastAsia"/>
          <w:b/>
          <w:color w:val="auto"/>
          <w:sz w:val="36"/>
          <w:highlight w:val="none"/>
        </w:rPr>
        <w:t>第三章</w:t>
      </w:r>
      <w:r>
        <w:rPr>
          <w:rFonts w:hint="eastAsia" w:cs="黑体" w:asciiTheme="minorEastAsia" w:hAnsiTheme="minorEastAsia" w:eastAsiaTheme="minorEastAsia"/>
          <w:b/>
          <w:color w:val="auto"/>
          <w:sz w:val="36"/>
          <w:highlight w:val="none"/>
        </w:rPr>
        <w:t xml:space="preserve">  </w:t>
      </w:r>
      <w:r>
        <w:rPr>
          <w:rFonts w:cs="黑体" w:asciiTheme="minorEastAsia" w:hAnsiTheme="minorEastAsia" w:eastAsiaTheme="minorEastAsia"/>
          <w:b/>
          <w:color w:val="auto"/>
          <w:sz w:val="36"/>
          <w:highlight w:val="none"/>
        </w:rPr>
        <w:t>评标标准</w:t>
      </w:r>
    </w:p>
    <w:p w14:paraId="4E6B050F">
      <w:pPr>
        <w:autoSpaceDE w:val="0"/>
        <w:autoSpaceDN w:val="0"/>
        <w:adjustRightInd w:val="0"/>
        <w:spacing w:line="440" w:lineRule="exact"/>
        <w:ind w:firstLine="482" w:firstLineChars="200"/>
        <w:jc w:val="left"/>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一、评标方法与原则</w:t>
      </w:r>
    </w:p>
    <w:p w14:paraId="5E3407EF">
      <w:pPr>
        <w:autoSpaceDE w:val="0"/>
        <w:autoSpaceDN w:val="0"/>
        <w:adjustRightInd w:val="0"/>
        <w:spacing w:line="440" w:lineRule="exact"/>
        <w:ind w:firstLine="480" w:firstLineChars="200"/>
        <w:jc w:val="left"/>
        <w:rPr>
          <w:rFonts w:ascii="宋体" w:hAnsi="宋体" w:cs="宋体"/>
          <w:color w:val="auto"/>
          <w:szCs w:val="21"/>
          <w:highlight w:val="none"/>
          <w:lang w:val="zh-CN"/>
        </w:rPr>
      </w:pPr>
      <w:r>
        <w:rPr>
          <w:rFonts w:hint="eastAsia" w:asciiTheme="minorEastAsia" w:hAnsiTheme="minorEastAsia" w:cstheme="minorEastAsia"/>
          <w:color w:val="auto"/>
          <w:sz w:val="24"/>
          <w:szCs w:val="24"/>
          <w:highlight w:val="none"/>
        </w:rPr>
        <w:t>本项目采用综合评分法，评分统计方法采用百分制（满分100分），将全部评委评分直接进行算术平均，小数点后保留2位。评标委员会根据投标人总得分由高到低的顺序推荐前三名作为中标候选人。总得分相同的，按投标报价由低到高顺序排列。总得分及投标报价相同的，按技术得分由高到低顺序排列。总得分及投标报价相同，且技术得分仍相同的，由评标委员会采取随机抽取方式确定中标候选人，招标人或评标委员会经招标人授权后按中标候选人顺序确定一名中标人。</w:t>
      </w:r>
    </w:p>
    <w:p w14:paraId="431686BC">
      <w:pPr>
        <w:autoSpaceDE w:val="0"/>
        <w:autoSpaceDN w:val="0"/>
        <w:adjustRightInd w:val="0"/>
        <w:spacing w:line="440" w:lineRule="exact"/>
        <w:ind w:firstLine="480" w:firstLineChars="200"/>
        <w:jc w:val="left"/>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投标人可参加任意标段或全部标段的投标，</w:t>
      </w: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cstheme="minorEastAsia"/>
          <w:color w:val="auto"/>
          <w:sz w:val="24"/>
          <w:szCs w:val="24"/>
          <w:highlight w:val="none"/>
        </w:rPr>
        <w:t>参加多标段投标的须按标段分别制作投标文件，但最多只能中标其中两个标段。标段评审顺序按标段一至标段四的顺序进行，如投标人已在两个标段中被推荐为第一中标候选人之后，仍然参加后续其他标段的评审，但是在后续其他标段中不能被推荐为中标候选人。</w:t>
      </w:r>
    </w:p>
    <w:p w14:paraId="67AA6B7E">
      <w:pPr>
        <w:autoSpaceDE w:val="0"/>
        <w:autoSpaceDN w:val="0"/>
        <w:adjustRightInd w:val="0"/>
        <w:spacing w:line="440" w:lineRule="exact"/>
        <w:ind w:firstLine="482" w:firstLineChars="200"/>
        <w:jc w:val="left"/>
        <w:rPr>
          <w:rFonts w:hint="default"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二、评标标准</w:t>
      </w:r>
    </w:p>
    <w:p w14:paraId="0ECEE0C3">
      <w:pPr>
        <w:autoSpaceDE w:val="0"/>
        <w:autoSpaceDN w:val="0"/>
        <w:adjustRightInd w:val="0"/>
        <w:spacing w:line="440" w:lineRule="exact"/>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标段一：肉、禽类、水产品类</w:t>
      </w:r>
    </w:p>
    <w:tbl>
      <w:tblPr>
        <w:tblStyle w:val="43"/>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215"/>
        <w:gridCol w:w="6858"/>
        <w:gridCol w:w="903"/>
      </w:tblGrid>
      <w:tr w14:paraId="58FC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71D90607">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序号</w:t>
            </w:r>
          </w:p>
        </w:tc>
        <w:tc>
          <w:tcPr>
            <w:tcW w:w="628" w:type="pct"/>
            <w:tcBorders>
              <w:top w:val="single" w:color="auto" w:sz="4" w:space="0"/>
              <w:left w:val="single" w:color="auto" w:sz="4" w:space="0"/>
              <w:bottom w:val="single" w:color="auto" w:sz="4" w:space="0"/>
              <w:right w:val="single" w:color="auto" w:sz="4" w:space="0"/>
            </w:tcBorders>
            <w:vAlign w:val="center"/>
          </w:tcPr>
          <w:p w14:paraId="20C296A7">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评分因素</w:t>
            </w:r>
          </w:p>
        </w:tc>
        <w:tc>
          <w:tcPr>
            <w:tcW w:w="3545" w:type="pct"/>
            <w:tcBorders>
              <w:top w:val="single" w:color="auto" w:sz="4" w:space="0"/>
              <w:left w:val="single" w:color="auto" w:sz="4" w:space="0"/>
              <w:bottom w:val="single" w:color="auto" w:sz="4" w:space="0"/>
              <w:right w:val="single" w:color="auto" w:sz="4" w:space="0"/>
            </w:tcBorders>
            <w:vAlign w:val="center"/>
          </w:tcPr>
          <w:p w14:paraId="24B65973">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评分标准</w:t>
            </w:r>
          </w:p>
        </w:tc>
        <w:tc>
          <w:tcPr>
            <w:tcW w:w="467" w:type="pct"/>
            <w:tcBorders>
              <w:top w:val="single" w:color="auto" w:sz="4" w:space="0"/>
              <w:left w:val="single" w:color="auto" w:sz="4" w:space="0"/>
              <w:bottom w:val="single" w:color="auto" w:sz="4" w:space="0"/>
              <w:right w:val="single" w:color="auto" w:sz="4" w:space="0"/>
            </w:tcBorders>
            <w:vAlign w:val="center"/>
          </w:tcPr>
          <w:p w14:paraId="43F1F1E7">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分值</w:t>
            </w:r>
          </w:p>
        </w:tc>
      </w:tr>
      <w:tr w14:paraId="0C44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3D299B3F">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w:t>
            </w:r>
          </w:p>
        </w:tc>
        <w:tc>
          <w:tcPr>
            <w:tcW w:w="628" w:type="pct"/>
            <w:tcBorders>
              <w:top w:val="single" w:color="auto" w:sz="4" w:space="0"/>
              <w:left w:val="single" w:color="auto" w:sz="4" w:space="0"/>
              <w:right w:val="single" w:color="auto" w:sz="4" w:space="0"/>
            </w:tcBorders>
            <w:vAlign w:val="center"/>
          </w:tcPr>
          <w:p w14:paraId="1EB6F462">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价格</w:t>
            </w:r>
          </w:p>
          <w:p w14:paraId="45FB0FE9">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cstheme="minorEastAsia"/>
                <w:b/>
                <w:color w:val="auto"/>
                <w:sz w:val="22"/>
                <w:szCs w:val="22"/>
                <w:highlight w:val="none"/>
                <w:lang w:val="en-US" w:eastAsia="zh-CN"/>
              </w:rPr>
              <w:t>30</w:t>
            </w:r>
            <w:r>
              <w:rPr>
                <w:rFonts w:hint="eastAsia" w:asciiTheme="minorEastAsia" w:hAnsiTheme="minorEastAsia" w:eastAsiaTheme="minorEastAsia" w:cstheme="minorEastAsia"/>
                <w:b/>
                <w:color w:val="auto"/>
                <w:sz w:val="22"/>
                <w:szCs w:val="22"/>
                <w:highlight w:val="none"/>
              </w:rPr>
              <w:t>分）</w:t>
            </w:r>
          </w:p>
        </w:tc>
        <w:tc>
          <w:tcPr>
            <w:tcW w:w="3545" w:type="pct"/>
            <w:tcBorders>
              <w:top w:val="single" w:color="auto" w:sz="4" w:space="0"/>
              <w:left w:val="single" w:color="auto" w:sz="4" w:space="0"/>
              <w:bottom w:val="single" w:color="auto" w:sz="4" w:space="0"/>
              <w:right w:val="single" w:color="auto" w:sz="4" w:space="0"/>
            </w:tcBorders>
            <w:vAlign w:val="center"/>
          </w:tcPr>
          <w:p w14:paraId="0CFAB270">
            <w:pPr>
              <w:adjustRightInd w:val="0"/>
              <w:snapToGrid w:val="0"/>
              <w:spacing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采用低价优先法计算，即满足招标文件要求且</w:t>
            </w:r>
            <w:r>
              <w:rPr>
                <w:rFonts w:hint="eastAsia" w:asciiTheme="minorEastAsia" w:hAnsiTheme="minorEastAsia" w:eastAsiaTheme="minorEastAsia" w:cstheme="minorEastAsia"/>
                <w:b/>
                <w:bCs/>
                <w:color w:val="auto"/>
                <w:sz w:val="22"/>
                <w:szCs w:val="22"/>
                <w:highlight w:val="none"/>
                <w:lang w:val="en-US" w:eastAsia="zh-CN"/>
              </w:rPr>
              <w:t>投标折扣</w:t>
            </w:r>
            <w:r>
              <w:rPr>
                <w:rFonts w:hint="eastAsia" w:asciiTheme="minorEastAsia" w:hAnsiTheme="minorEastAsia" w:eastAsiaTheme="minorEastAsia" w:cstheme="minorEastAsia"/>
                <w:color w:val="auto"/>
                <w:sz w:val="22"/>
                <w:szCs w:val="22"/>
                <w:highlight w:val="none"/>
              </w:rPr>
              <w:t>最低的投标报价为评标基准价，其价格分为满分。本项目其他投标人的价格分统一按照下列公式计算：投标报价得分=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评标基准价/投标折扣</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cstheme="minorEastAsia"/>
                <w:color w:val="auto"/>
                <w:sz w:val="22"/>
                <w:szCs w:val="22"/>
                <w:highlight w:val="none"/>
                <w:lang w:val="en-US" w:eastAsia="zh-CN"/>
              </w:rPr>
              <w:t>30</w:t>
            </w:r>
            <w:r>
              <w:rPr>
                <w:rFonts w:hint="eastAsia" w:asciiTheme="minorEastAsia" w:hAnsiTheme="minorEastAsia" w:eastAsiaTheme="minorEastAsia" w:cstheme="minorEastAsia"/>
                <w:color w:val="auto"/>
                <w:sz w:val="22"/>
                <w:szCs w:val="22"/>
                <w:highlight w:val="none"/>
              </w:rPr>
              <w:t>（小数点保留两位）。</w:t>
            </w:r>
          </w:p>
        </w:tc>
        <w:tc>
          <w:tcPr>
            <w:tcW w:w="467" w:type="pct"/>
            <w:tcBorders>
              <w:top w:val="single" w:color="auto" w:sz="4" w:space="0"/>
              <w:left w:val="single" w:color="auto" w:sz="4" w:space="0"/>
              <w:bottom w:val="single" w:color="auto" w:sz="4" w:space="0"/>
              <w:right w:val="single" w:color="auto" w:sz="4" w:space="0"/>
            </w:tcBorders>
            <w:vAlign w:val="center"/>
          </w:tcPr>
          <w:p w14:paraId="501C36EE">
            <w:pPr>
              <w:adjustRightInd w:val="0"/>
              <w:snapToGrid w:val="0"/>
              <w:spacing w:line="240" w:lineRule="auto"/>
              <w:jc w:val="center"/>
              <w:rPr>
                <w:rFonts w:hint="default" w:asciiTheme="minorEastAsia" w:hAnsiTheme="minorEastAsia" w:eastAsiaTheme="minorEastAsia" w:cstheme="minorEastAsia"/>
                <w:b/>
                <w:color w:val="auto"/>
                <w:sz w:val="22"/>
                <w:szCs w:val="22"/>
                <w:highlight w:val="none"/>
                <w:lang w:val="en-US"/>
              </w:rPr>
            </w:pPr>
            <w:r>
              <w:rPr>
                <w:rFonts w:hint="eastAsia" w:asciiTheme="minorEastAsia" w:hAnsiTheme="minorEastAsia" w:cstheme="minorEastAsia"/>
                <w:b/>
                <w:color w:val="auto"/>
                <w:sz w:val="22"/>
                <w:szCs w:val="22"/>
                <w:highlight w:val="none"/>
                <w:lang w:val="en-US" w:eastAsia="zh-CN"/>
              </w:rPr>
              <w:t>30</w:t>
            </w:r>
          </w:p>
        </w:tc>
      </w:tr>
      <w:tr w14:paraId="6A1F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532C9648">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2.1</w:t>
            </w:r>
          </w:p>
        </w:tc>
        <w:tc>
          <w:tcPr>
            <w:tcW w:w="628" w:type="pct"/>
            <w:vMerge w:val="restart"/>
            <w:tcBorders>
              <w:left w:val="single" w:color="auto" w:sz="4" w:space="0"/>
              <w:right w:val="single" w:color="auto" w:sz="4" w:space="0"/>
            </w:tcBorders>
            <w:vAlign w:val="center"/>
          </w:tcPr>
          <w:p w14:paraId="25FBAA85">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服务方案</w:t>
            </w:r>
          </w:p>
          <w:p w14:paraId="01BC21A9">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cstheme="minorEastAsia"/>
                <w:b/>
                <w:color w:val="auto"/>
                <w:sz w:val="22"/>
                <w:szCs w:val="22"/>
                <w:highlight w:val="none"/>
                <w:lang w:val="en-US" w:eastAsia="zh-CN"/>
              </w:rPr>
              <w:t>40</w:t>
            </w:r>
            <w:r>
              <w:rPr>
                <w:rFonts w:hint="eastAsia" w:asciiTheme="minorEastAsia" w:hAnsiTheme="minorEastAsia" w:eastAsiaTheme="minorEastAsia" w:cstheme="minorEastAsia"/>
                <w:b/>
                <w:color w:val="auto"/>
                <w:sz w:val="22"/>
                <w:szCs w:val="22"/>
                <w:highlight w:val="none"/>
              </w:rPr>
              <w:t>分）</w:t>
            </w:r>
          </w:p>
        </w:tc>
        <w:tc>
          <w:tcPr>
            <w:tcW w:w="3545" w:type="pct"/>
            <w:tcBorders>
              <w:top w:val="single" w:color="auto" w:sz="4" w:space="0"/>
              <w:left w:val="single" w:color="auto" w:sz="4" w:space="0"/>
              <w:bottom w:val="single" w:color="auto" w:sz="4" w:space="0"/>
              <w:right w:val="single" w:color="auto" w:sz="4" w:space="0"/>
            </w:tcBorders>
            <w:vAlign w:val="center"/>
          </w:tcPr>
          <w:p w14:paraId="2CBFE860">
            <w:pPr>
              <w:adjustRightInd w:val="0"/>
              <w:snapToGrid w:val="0"/>
              <w:spacing w:line="240" w:lineRule="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配送管理方案：</w:t>
            </w:r>
          </w:p>
          <w:p w14:paraId="32F7920A">
            <w:pPr>
              <w:adjustRightInd w:val="0"/>
              <w:snapToGrid w:val="0"/>
              <w:spacing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评委根据投标人提供的食材配送管理方案（</w:t>
            </w:r>
            <w:r>
              <w:rPr>
                <w:rFonts w:hint="eastAsia" w:asciiTheme="minorEastAsia" w:hAnsiTheme="minorEastAsia" w:eastAsiaTheme="minorEastAsia" w:cstheme="minorEastAsia"/>
                <w:b/>
                <w:bCs/>
                <w:color w:val="auto"/>
                <w:sz w:val="22"/>
                <w:szCs w:val="22"/>
                <w:highlight w:val="none"/>
                <w:u w:val="single"/>
              </w:rPr>
              <w:t>包括但不限于配送能力、服务流程、特色服务、库存不足解决方案</w:t>
            </w:r>
            <w:r>
              <w:rPr>
                <w:rFonts w:hint="eastAsia" w:asciiTheme="minorEastAsia" w:hAnsiTheme="minorEastAsia" w:cstheme="minorEastAsia"/>
                <w:b/>
                <w:bCs/>
                <w:color w:val="auto"/>
                <w:sz w:val="22"/>
                <w:szCs w:val="22"/>
                <w:highlight w:val="none"/>
                <w:u w:val="single"/>
                <w:lang w:eastAsia="zh-CN"/>
              </w:rPr>
              <w:t>，以及</w:t>
            </w:r>
            <w:r>
              <w:rPr>
                <w:rFonts w:hint="eastAsia" w:asciiTheme="minorEastAsia" w:hAnsiTheme="minorEastAsia" w:eastAsiaTheme="minorEastAsia" w:cstheme="minorEastAsia"/>
                <w:b/>
                <w:bCs/>
                <w:color w:val="auto"/>
                <w:sz w:val="22"/>
                <w:szCs w:val="22"/>
                <w:highlight w:val="none"/>
                <w:u w:val="single"/>
              </w:rPr>
              <w:t>配送过程中安全保障措施等</w:t>
            </w:r>
            <w:r>
              <w:rPr>
                <w:rFonts w:hint="eastAsia" w:asciiTheme="minorEastAsia" w:hAnsiTheme="minorEastAsia" w:eastAsiaTheme="minorEastAsia" w:cstheme="minorEastAsia"/>
                <w:color w:val="auto"/>
                <w:sz w:val="22"/>
                <w:szCs w:val="22"/>
                <w:highlight w:val="none"/>
              </w:rPr>
              <w:t>）进行综合评分：</w:t>
            </w:r>
          </w:p>
          <w:p w14:paraId="61D3A81A">
            <w:pPr>
              <w:pStyle w:val="16"/>
              <w:rPr>
                <w:rFonts w:hint="eastAsia" w:asciiTheme="minorEastAsia" w:hAnsiTheme="minorEastAsia" w:eastAsiaTheme="minorEastAsia" w:cstheme="minorEastAsia"/>
                <w:color w:val="auto"/>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bidi="ar-SA"/>
              </w:rPr>
              <w:t>方案全面、合理、可操作性强的得10 分；</w:t>
            </w:r>
          </w:p>
          <w:p w14:paraId="521E6EBC">
            <w:pPr>
              <w:pStyle w:val="16"/>
              <w:rPr>
                <w:rFonts w:hint="eastAsia" w:asciiTheme="minorEastAsia" w:hAnsiTheme="minorEastAsia" w:eastAsiaTheme="minorEastAsia" w:cstheme="minorEastAsia"/>
                <w:color w:val="auto"/>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bidi="ar-SA"/>
              </w:rPr>
              <w:t>方案齐全、具有实际可操作性的得7分；</w:t>
            </w:r>
          </w:p>
          <w:p w14:paraId="53579569">
            <w:pPr>
              <w:pStyle w:val="16"/>
              <w:rPr>
                <w:rFonts w:hint="eastAsia" w:asciiTheme="minorEastAsia" w:hAnsiTheme="minorEastAsia" w:eastAsiaTheme="minorEastAsia" w:cstheme="minorEastAsia"/>
                <w:color w:val="auto"/>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bidi="ar-SA"/>
              </w:rPr>
              <w:t>方案考虑的相对不够全面，但依旧具备可行性的得4分；</w:t>
            </w:r>
          </w:p>
          <w:p w14:paraId="7EF150C9">
            <w:pPr>
              <w:pStyle w:val="16"/>
              <w:rPr>
                <w:rFonts w:hint="eastAsia" w:asciiTheme="minorEastAsia" w:hAnsiTheme="minorEastAsia" w:eastAsiaTheme="minorEastAsia" w:cstheme="minorEastAsia"/>
                <w:color w:val="auto"/>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bidi="ar-SA"/>
              </w:rPr>
              <w:t>方案不全面，可操作性较低的得1分；</w:t>
            </w:r>
          </w:p>
          <w:p w14:paraId="3B711CDD">
            <w:pPr>
              <w:pStyle w:val="16"/>
              <w:rPr>
                <w:rFonts w:hint="eastAsia"/>
                <w:color w:val="auto"/>
                <w:highlight w:val="none"/>
              </w:rPr>
            </w:pPr>
            <w:r>
              <w:rPr>
                <w:rFonts w:hint="eastAsia" w:asciiTheme="minorEastAsia" w:hAnsiTheme="minorEastAsia" w:eastAsiaTheme="minorEastAsia" w:cstheme="minorEastAsia"/>
                <w:color w:val="auto"/>
                <w:sz w:val="22"/>
                <w:szCs w:val="22"/>
                <w:highlight w:val="none"/>
                <w:lang w:val="en-US" w:eastAsia="zh-CN" w:bidi="ar-SA"/>
              </w:rPr>
              <w:t>未提供方案的不得分。</w:t>
            </w:r>
          </w:p>
        </w:tc>
        <w:tc>
          <w:tcPr>
            <w:tcW w:w="467" w:type="pct"/>
            <w:tcBorders>
              <w:top w:val="single" w:color="auto" w:sz="4" w:space="0"/>
              <w:left w:val="single" w:color="auto" w:sz="4" w:space="0"/>
              <w:bottom w:val="single" w:color="auto" w:sz="4" w:space="0"/>
              <w:right w:val="single" w:color="auto" w:sz="4" w:space="0"/>
            </w:tcBorders>
            <w:vAlign w:val="center"/>
          </w:tcPr>
          <w:p w14:paraId="1B6125E5">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10</w:t>
            </w:r>
          </w:p>
        </w:tc>
      </w:tr>
      <w:tr w14:paraId="255D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6BC02281">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2.2</w:t>
            </w:r>
          </w:p>
        </w:tc>
        <w:tc>
          <w:tcPr>
            <w:tcW w:w="628" w:type="pct"/>
            <w:vMerge w:val="continue"/>
            <w:tcBorders>
              <w:left w:val="single" w:color="auto" w:sz="4" w:space="0"/>
              <w:right w:val="single" w:color="auto" w:sz="4" w:space="0"/>
            </w:tcBorders>
            <w:vAlign w:val="center"/>
          </w:tcPr>
          <w:p w14:paraId="2EA18E0E">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p>
        </w:tc>
        <w:tc>
          <w:tcPr>
            <w:tcW w:w="3545" w:type="pct"/>
            <w:tcBorders>
              <w:top w:val="single" w:color="auto" w:sz="4" w:space="0"/>
              <w:left w:val="single" w:color="auto" w:sz="4" w:space="0"/>
              <w:bottom w:val="single" w:color="auto" w:sz="4" w:space="0"/>
              <w:right w:val="single" w:color="auto" w:sz="4" w:space="0"/>
            </w:tcBorders>
            <w:vAlign w:val="center"/>
          </w:tcPr>
          <w:p w14:paraId="04FB5006">
            <w:pPr>
              <w:adjustRightInd w:val="0"/>
              <w:snapToGrid w:val="0"/>
              <w:spacing w:line="240" w:lineRule="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应急事件处理方案：</w:t>
            </w:r>
          </w:p>
          <w:p w14:paraId="26669EE7">
            <w:pPr>
              <w:adjustRightInd w:val="0"/>
              <w:snapToGrid w:val="0"/>
              <w:spacing w:line="240" w:lineRule="auto"/>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评委根据投标人提供的应急事件处理方案（</w:t>
            </w:r>
            <w:r>
              <w:rPr>
                <w:rFonts w:hint="eastAsia" w:asciiTheme="minorEastAsia" w:hAnsiTheme="minorEastAsia" w:eastAsiaTheme="minorEastAsia" w:cstheme="minorEastAsia"/>
                <w:b/>
                <w:bCs/>
                <w:color w:val="auto"/>
                <w:sz w:val="22"/>
                <w:szCs w:val="22"/>
                <w:highlight w:val="none"/>
                <w:u w:val="thick"/>
              </w:rPr>
              <w:t>包括但不限于恶劣天气供应、紧急补货处理、食品安全事件处理措施、</w:t>
            </w:r>
            <w:r>
              <w:rPr>
                <w:rFonts w:hint="eastAsia" w:asciiTheme="minorEastAsia" w:hAnsiTheme="minorEastAsia" w:eastAsiaTheme="minorEastAsia" w:cstheme="minorEastAsia"/>
                <w:b/>
                <w:bCs/>
                <w:color w:val="auto"/>
                <w:sz w:val="22"/>
                <w:szCs w:val="22"/>
                <w:highlight w:val="none"/>
                <w:u w:val="thick"/>
                <w:lang w:val="en-US" w:eastAsia="zh-CN"/>
              </w:rPr>
              <w:t>突发食品疫情</w:t>
            </w:r>
            <w:r>
              <w:rPr>
                <w:rFonts w:hint="eastAsia" w:asciiTheme="minorEastAsia" w:hAnsiTheme="minorEastAsia" w:eastAsiaTheme="minorEastAsia" w:cstheme="minorEastAsia"/>
                <w:b/>
                <w:bCs/>
                <w:color w:val="auto"/>
                <w:sz w:val="22"/>
                <w:szCs w:val="22"/>
                <w:highlight w:val="none"/>
                <w:u w:val="thick"/>
              </w:rPr>
              <w:t>防控措施、售后服务等</w:t>
            </w:r>
            <w:r>
              <w:rPr>
                <w:rFonts w:hint="eastAsia" w:asciiTheme="minorEastAsia" w:hAnsiTheme="minorEastAsia" w:eastAsiaTheme="minorEastAsia" w:cstheme="minorEastAsia"/>
                <w:color w:val="auto"/>
                <w:sz w:val="22"/>
                <w:szCs w:val="22"/>
                <w:highlight w:val="none"/>
              </w:rPr>
              <w:t>）进行综合评分：</w:t>
            </w:r>
          </w:p>
          <w:p w14:paraId="2FD8A549">
            <w:pPr>
              <w:pStyle w:val="16"/>
              <w:rPr>
                <w:rFonts w:hint="eastAsia" w:asciiTheme="minorEastAsia" w:hAnsiTheme="minorEastAsia" w:eastAsiaTheme="minorEastAsia" w:cstheme="minorEastAsia"/>
                <w:color w:val="auto"/>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bidi="ar-SA"/>
              </w:rPr>
              <w:t>方案全面、合理、时效性强且有切实可行的保证措施的得10 分；</w:t>
            </w:r>
          </w:p>
          <w:p w14:paraId="00165D6A">
            <w:pPr>
              <w:pStyle w:val="16"/>
              <w:rPr>
                <w:rFonts w:hint="eastAsia" w:asciiTheme="minorEastAsia" w:hAnsiTheme="minorEastAsia" w:eastAsiaTheme="minorEastAsia" w:cstheme="minorEastAsia"/>
                <w:color w:val="auto"/>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bidi="ar-SA"/>
              </w:rPr>
              <w:t>方案齐全、时效性较强、保证措施可行性较强的得7分；</w:t>
            </w:r>
          </w:p>
          <w:p w14:paraId="13E216FE">
            <w:pPr>
              <w:pStyle w:val="16"/>
              <w:rPr>
                <w:rFonts w:hint="eastAsia" w:asciiTheme="minorEastAsia" w:hAnsiTheme="minorEastAsia" w:eastAsiaTheme="minorEastAsia" w:cstheme="minorEastAsia"/>
                <w:color w:val="auto"/>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bidi="ar-SA"/>
              </w:rPr>
              <w:t>方案考虑的相对不够全面，时效性一般但保证措施依旧具备可行性的得4分；</w:t>
            </w:r>
          </w:p>
          <w:p w14:paraId="72390BF9">
            <w:pPr>
              <w:pStyle w:val="16"/>
              <w:rPr>
                <w:rFonts w:hint="eastAsia" w:asciiTheme="minorEastAsia" w:hAnsiTheme="minorEastAsia" w:eastAsiaTheme="minorEastAsia" w:cstheme="minorEastAsia"/>
                <w:color w:val="auto"/>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bidi="ar-SA"/>
              </w:rPr>
              <w:t>方案不全面，时效性、可操作性较低的得1分；</w:t>
            </w:r>
          </w:p>
          <w:p w14:paraId="136935B7">
            <w:pPr>
              <w:adjustRightInd w:val="0"/>
              <w:snapToGrid w:val="0"/>
              <w:spacing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bidi="ar-SA"/>
              </w:rPr>
              <w:t>未提供方案的不得分。</w:t>
            </w:r>
          </w:p>
        </w:tc>
        <w:tc>
          <w:tcPr>
            <w:tcW w:w="467" w:type="pct"/>
            <w:tcBorders>
              <w:top w:val="single" w:color="auto" w:sz="4" w:space="0"/>
              <w:left w:val="single" w:color="auto" w:sz="4" w:space="0"/>
              <w:bottom w:val="single" w:color="auto" w:sz="4" w:space="0"/>
              <w:right w:val="single" w:color="auto" w:sz="4" w:space="0"/>
            </w:tcBorders>
            <w:vAlign w:val="center"/>
          </w:tcPr>
          <w:p w14:paraId="227FE3AA">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10</w:t>
            </w:r>
          </w:p>
        </w:tc>
      </w:tr>
      <w:tr w14:paraId="04E5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3854968A">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2.3</w:t>
            </w:r>
          </w:p>
        </w:tc>
        <w:tc>
          <w:tcPr>
            <w:tcW w:w="628" w:type="pct"/>
            <w:vMerge w:val="continue"/>
            <w:tcBorders>
              <w:left w:val="single" w:color="auto" w:sz="4" w:space="0"/>
              <w:right w:val="single" w:color="auto" w:sz="4" w:space="0"/>
            </w:tcBorders>
            <w:vAlign w:val="center"/>
          </w:tcPr>
          <w:p w14:paraId="276FE577">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p>
        </w:tc>
        <w:tc>
          <w:tcPr>
            <w:tcW w:w="3545" w:type="pct"/>
            <w:tcBorders>
              <w:top w:val="single" w:color="auto" w:sz="4" w:space="0"/>
              <w:left w:val="single" w:color="auto" w:sz="4" w:space="0"/>
              <w:bottom w:val="single" w:color="auto" w:sz="4" w:space="0"/>
              <w:right w:val="single" w:color="auto" w:sz="4" w:space="0"/>
            </w:tcBorders>
            <w:vAlign w:val="center"/>
          </w:tcPr>
          <w:p w14:paraId="0726FE10">
            <w:pPr>
              <w:adjustRightInd w:val="0"/>
              <w:snapToGrid w:val="0"/>
              <w:spacing w:line="240" w:lineRule="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质量保障措施和服务承诺：</w:t>
            </w:r>
          </w:p>
          <w:p w14:paraId="19336744">
            <w:pPr>
              <w:adjustRightInd w:val="0"/>
              <w:snapToGrid w:val="0"/>
              <w:spacing w:line="24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评委根据投标人提供</w:t>
            </w:r>
            <w:r>
              <w:rPr>
                <w:rFonts w:hint="eastAsia" w:asciiTheme="minorEastAsia" w:hAnsiTheme="minorEastAsia" w:eastAsiaTheme="minorEastAsia" w:cstheme="minorEastAsia"/>
                <w:color w:val="auto"/>
                <w:kern w:val="0"/>
                <w:sz w:val="22"/>
                <w:szCs w:val="22"/>
                <w:highlight w:val="none"/>
              </w:rPr>
              <w:t>食材质量保障措施及质量保证服务承诺进行综合评分：</w:t>
            </w:r>
          </w:p>
          <w:p w14:paraId="233D6510">
            <w:pPr>
              <w:adjustRightInd w:val="0"/>
              <w:snapToGrid w:val="0"/>
              <w:spacing w:line="24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对本项目有积极支持的态度、质量保证及服务承诺内容完整明确</w:t>
            </w:r>
            <w:r>
              <w:rPr>
                <w:rFonts w:hint="eastAsia" w:asciiTheme="minorEastAsia" w:hAnsiTheme="minorEastAsia" w:cstheme="minorEastAsia"/>
                <w:color w:val="auto"/>
                <w:kern w:val="0"/>
                <w:sz w:val="22"/>
                <w:szCs w:val="22"/>
                <w:highlight w:val="none"/>
                <w:lang w:eastAsia="zh-CN"/>
              </w:rPr>
              <w:t>且</w:t>
            </w:r>
            <w:r>
              <w:rPr>
                <w:rFonts w:hint="eastAsia" w:asciiTheme="minorEastAsia" w:hAnsiTheme="minorEastAsia" w:eastAsiaTheme="minorEastAsia" w:cstheme="minorEastAsia"/>
                <w:color w:val="auto"/>
                <w:kern w:val="0"/>
                <w:sz w:val="22"/>
                <w:szCs w:val="22"/>
                <w:highlight w:val="none"/>
              </w:rPr>
              <w:t>有较为实际的措施</w:t>
            </w:r>
            <w:r>
              <w:rPr>
                <w:rFonts w:hint="eastAsia" w:asciiTheme="minorEastAsia" w:hAnsiTheme="minorEastAsia" w:cstheme="minorEastAsia"/>
                <w:color w:val="auto"/>
                <w:kern w:val="0"/>
                <w:sz w:val="22"/>
                <w:szCs w:val="22"/>
                <w:highlight w:val="none"/>
                <w:lang w:val="en-US" w:eastAsia="zh-CN"/>
              </w:rPr>
              <w:t>的</w:t>
            </w:r>
            <w:r>
              <w:rPr>
                <w:rFonts w:hint="eastAsia" w:asciiTheme="minorEastAsia" w:hAnsiTheme="minorEastAsia" w:eastAsiaTheme="minorEastAsia" w:cstheme="minorEastAsia"/>
                <w:color w:val="auto"/>
                <w:kern w:val="0"/>
                <w:sz w:val="22"/>
                <w:szCs w:val="22"/>
                <w:highlight w:val="none"/>
              </w:rPr>
              <w:t>得10分；</w:t>
            </w:r>
          </w:p>
          <w:p w14:paraId="0C05DD64">
            <w:pPr>
              <w:adjustRightInd w:val="0"/>
              <w:snapToGrid w:val="0"/>
              <w:spacing w:line="240" w:lineRule="auto"/>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对本项目有</w:t>
            </w:r>
            <w:r>
              <w:rPr>
                <w:rFonts w:hint="eastAsia" w:asciiTheme="minorEastAsia" w:hAnsiTheme="minorEastAsia" w:cstheme="minorEastAsia"/>
                <w:color w:val="auto"/>
                <w:kern w:val="0"/>
                <w:sz w:val="22"/>
                <w:szCs w:val="22"/>
                <w:highlight w:val="none"/>
                <w:lang w:val="en-US" w:eastAsia="zh-CN"/>
              </w:rPr>
              <w:t>较</w:t>
            </w:r>
            <w:r>
              <w:rPr>
                <w:rFonts w:hint="eastAsia" w:asciiTheme="minorEastAsia" w:hAnsiTheme="minorEastAsia" w:eastAsiaTheme="minorEastAsia" w:cstheme="minorEastAsia"/>
                <w:color w:val="auto"/>
                <w:kern w:val="0"/>
                <w:sz w:val="22"/>
                <w:szCs w:val="22"/>
                <w:highlight w:val="none"/>
              </w:rPr>
              <w:t>积极支持的态度、质量保证及服务承诺内容</w:t>
            </w:r>
            <w:r>
              <w:rPr>
                <w:rFonts w:hint="eastAsia" w:asciiTheme="minorEastAsia" w:hAnsiTheme="minorEastAsia" w:cstheme="minorEastAsia"/>
                <w:color w:val="auto"/>
                <w:kern w:val="0"/>
                <w:sz w:val="22"/>
                <w:szCs w:val="22"/>
                <w:highlight w:val="none"/>
                <w:lang w:val="en-US" w:eastAsia="zh-CN"/>
              </w:rPr>
              <w:t>较</w:t>
            </w:r>
            <w:r>
              <w:rPr>
                <w:rFonts w:hint="eastAsia" w:asciiTheme="minorEastAsia" w:hAnsiTheme="minorEastAsia" w:eastAsiaTheme="minorEastAsia" w:cstheme="minorEastAsia"/>
                <w:color w:val="auto"/>
                <w:kern w:val="0"/>
                <w:sz w:val="22"/>
                <w:szCs w:val="22"/>
                <w:highlight w:val="none"/>
              </w:rPr>
              <w:t>完整明确</w:t>
            </w:r>
            <w:r>
              <w:rPr>
                <w:rFonts w:hint="eastAsia" w:asciiTheme="minorEastAsia" w:hAnsiTheme="minorEastAsia" w:cstheme="minorEastAsia"/>
                <w:color w:val="auto"/>
                <w:kern w:val="0"/>
                <w:sz w:val="22"/>
                <w:szCs w:val="22"/>
                <w:highlight w:val="none"/>
                <w:lang w:eastAsia="zh-CN"/>
              </w:rPr>
              <w:t>且</w:t>
            </w:r>
            <w:r>
              <w:rPr>
                <w:rFonts w:hint="eastAsia" w:asciiTheme="minorEastAsia" w:hAnsiTheme="minorEastAsia" w:eastAsiaTheme="minorEastAsia" w:cstheme="minorEastAsia"/>
                <w:color w:val="auto"/>
                <w:kern w:val="0"/>
                <w:sz w:val="22"/>
                <w:szCs w:val="22"/>
                <w:highlight w:val="none"/>
              </w:rPr>
              <w:t>有较为实际的措施</w:t>
            </w:r>
            <w:r>
              <w:rPr>
                <w:rFonts w:hint="eastAsia" w:asciiTheme="minorEastAsia" w:hAnsiTheme="minorEastAsia" w:cstheme="minorEastAsia"/>
                <w:color w:val="auto"/>
                <w:kern w:val="0"/>
                <w:sz w:val="22"/>
                <w:szCs w:val="22"/>
                <w:highlight w:val="none"/>
                <w:lang w:val="en-US" w:eastAsia="zh-CN"/>
              </w:rPr>
              <w:t>的</w:t>
            </w:r>
            <w:r>
              <w:rPr>
                <w:rFonts w:hint="eastAsia" w:asciiTheme="minorEastAsia" w:hAnsiTheme="minorEastAsia" w:eastAsiaTheme="minorEastAsia" w:cstheme="minorEastAsia"/>
                <w:color w:val="auto"/>
                <w:kern w:val="0"/>
                <w:sz w:val="22"/>
                <w:szCs w:val="22"/>
                <w:highlight w:val="none"/>
              </w:rPr>
              <w:t>得</w:t>
            </w:r>
            <w:r>
              <w:rPr>
                <w:rFonts w:hint="eastAsia" w:asciiTheme="minorEastAsia" w:hAnsiTheme="minorEastAsia" w:cstheme="minorEastAsia"/>
                <w:color w:val="auto"/>
                <w:kern w:val="0"/>
                <w:sz w:val="22"/>
                <w:szCs w:val="22"/>
                <w:highlight w:val="none"/>
                <w:lang w:val="en-US" w:eastAsia="zh-CN"/>
              </w:rPr>
              <w:t>7</w:t>
            </w:r>
            <w:r>
              <w:rPr>
                <w:rFonts w:hint="eastAsia" w:asciiTheme="minorEastAsia" w:hAnsiTheme="minorEastAsia" w:eastAsiaTheme="minorEastAsia" w:cstheme="minorEastAsia"/>
                <w:color w:val="auto"/>
                <w:kern w:val="0"/>
                <w:sz w:val="22"/>
                <w:szCs w:val="22"/>
                <w:highlight w:val="none"/>
              </w:rPr>
              <w:t>分</w:t>
            </w:r>
            <w:r>
              <w:rPr>
                <w:rFonts w:hint="eastAsia" w:asciiTheme="minorEastAsia" w:hAnsiTheme="minorEastAsia" w:eastAsiaTheme="minorEastAsia" w:cstheme="minorEastAsia"/>
                <w:color w:val="auto"/>
                <w:kern w:val="0"/>
                <w:sz w:val="22"/>
                <w:szCs w:val="22"/>
                <w:highlight w:val="none"/>
                <w:lang w:eastAsia="zh-CN"/>
              </w:rPr>
              <w:t>；</w:t>
            </w:r>
          </w:p>
          <w:p w14:paraId="6584BBDD">
            <w:pPr>
              <w:adjustRightInd w:val="0"/>
              <w:snapToGrid w:val="0"/>
              <w:spacing w:line="24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质量保证及服务承诺内容一般、可行性一般</w:t>
            </w:r>
            <w:r>
              <w:rPr>
                <w:rFonts w:hint="eastAsia" w:asciiTheme="minorEastAsia" w:hAnsiTheme="minorEastAsia" w:cstheme="minorEastAsia"/>
                <w:color w:val="auto"/>
                <w:kern w:val="0"/>
                <w:sz w:val="22"/>
                <w:szCs w:val="22"/>
                <w:highlight w:val="none"/>
                <w:lang w:val="en-US" w:eastAsia="zh-CN"/>
              </w:rPr>
              <w:t>的</w:t>
            </w:r>
            <w:r>
              <w:rPr>
                <w:rFonts w:hint="eastAsia" w:asciiTheme="minorEastAsia" w:hAnsiTheme="minorEastAsia" w:eastAsiaTheme="minorEastAsia" w:cstheme="minorEastAsia"/>
                <w:color w:val="auto"/>
                <w:kern w:val="0"/>
                <w:sz w:val="22"/>
                <w:szCs w:val="22"/>
                <w:highlight w:val="none"/>
              </w:rPr>
              <w:t>得4分；</w:t>
            </w:r>
          </w:p>
          <w:p w14:paraId="0F404395">
            <w:pPr>
              <w:adjustRightInd w:val="0"/>
              <w:snapToGrid w:val="0"/>
              <w:spacing w:line="24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质量保证及服务承诺不够明确、制度措施不够结合实际</w:t>
            </w:r>
            <w:r>
              <w:rPr>
                <w:rFonts w:hint="eastAsia" w:asciiTheme="minorEastAsia" w:hAnsiTheme="minorEastAsia" w:cstheme="minorEastAsia"/>
                <w:color w:val="auto"/>
                <w:kern w:val="0"/>
                <w:sz w:val="22"/>
                <w:szCs w:val="22"/>
                <w:highlight w:val="none"/>
                <w:lang w:val="en-US" w:eastAsia="zh-CN"/>
              </w:rPr>
              <w:t>的</w:t>
            </w:r>
            <w:r>
              <w:rPr>
                <w:rFonts w:hint="eastAsia" w:asciiTheme="minorEastAsia" w:hAnsiTheme="minorEastAsia" w:eastAsiaTheme="minorEastAsia" w:cstheme="minorEastAsia"/>
                <w:color w:val="auto"/>
                <w:kern w:val="0"/>
                <w:sz w:val="22"/>
                <w:szCs w:val="22"/>
                <w:highlight w:val="none"/>
              </w:rPr>
              <w:t>得1分；</w:t>
            </w:r>
          </w:p>
          <w:p w14:paraId="2FDBE93A">
            <w:pPr>
              <w:adjustRightInd w:val="0"/>
              <w:snapToGrid w:val="0"/>
              <w:spacing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未提供质量保障措施或服务承诺不得分。</w:t>
            </w:r>
          </w:p>
        </w:tc>
        <w:tc>
          <w:tcPr>
            <w:tcW w:w="467" w:type="pct"/>
            <w:tcBorders>
              <w:top w:val="single" w:color="auto" w:sz="4" w:space="0"/>
              <w:left w:val="single" w:color="auto" w:sz="4" w:space="0"/>
              <w:bottom w:val="single" w:color="auto" w:sz="4" w:space="0"/>
              <w:right w:val="single" w:color="auto" w:sz="4" w:space="0"/>
            </w:tcBorders>
            <w:vAlign w:val="center"/>
          </w:tcPr>
          <w:p w14:paraId="4210518A">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10</w:t>
            </w:r>
          </w:p>
        </w:tc>
      </w:tr>
      <w:tr w14:paraId="73BA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58859DE1">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2.4</w:t>
            </w:r>
          </w:p>
        </w:tc>
        <w:tc>
          <w:tcPr>
            <w:tcW w:w="628" w:type="pct"/>
            <w:vMerge w:val="continue"/>
            <w:tcBorders>
              <w:left w:val="single" w:color="auto" w:sz="4" w:space="0"/>
              <w:right w:val="single" w:color="auto" w:sz="4" w:space="0"/>
            </w:tcBorders>
            <w:vAlign w:val="center"/>
          </w:tcPr>
          <w:p w14:paraId="5A36D955">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p>
        </w:tc>
        <w:tc>
          <w:tcPr>
            <w:tcW w:w="3545" w:type="pct"/>
            <w:tcBorders>
              <w:top w:val="single" w:color="auto" w:sz="4" w:space="0"/>
              <w:left w:val="single" w:color="auto" w:sz="4" w:space="0"/>
              <w:bottom w:val="single" w:color="auto" w:sz="4" w:space="0"/>
              <w:right w:val="single" w:color="auto" w:sz="4" w:space="0"/>
            </w:tcBorders>
            <w:vAlign w:val="center"/>
          </w:tcPr>
          <w:p w14:paraId="7C1B162C">
            <w:pPr>
              <w:adjustRightInd w:val="0"/>
              <w:snapToGrid w:val="0"/>
              <w:spacing w:line="240" w:lineRule="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采购渠道方案：</w:t>
            </w:r>
          </w:p>
          <w:p w14:paraId="0A9E8B25">
            <w:pPr>
              <w:adjustRightInd w:val="0"/>
              <w:snapToGrid w:val="0"/>
              <w:spacing w:line="240" w:lineRule="auto"/>
              <w:rPr>
                <w:rFonts w:hint="eastAsia" w:asciiTheme="minorEastAsia" w:hAnsiTheme="minorEastAsia" w:cstheme="minorEastAsia"/>
                <w:color w:val="auto"/>
                <w:kern w:val="0"/>
                <w:sz w:val="22"/>
                <w:szCs w:val="22"/>
                <w:highlight w:val="none"/>
                <w:lang w:eastAsia="zh-CN"/>
              </w:rPr>
            </w:pPr>
            <w:r>
              <w:rPr>
                <w:rFonts w:hint="eastAsia" w:asciiTheme="minorEastAsia" w:hAnsiTheme="minorEastAsia" w:cstheme="minorEastAsia"/>
                <w:color w:val="auto"/>
                <w:kern w:val="0"/>
                <w:sz w:val="22"/>
                <w:szCs w:val="22"/>
                <w:highlight w:val="none"/>
                <w:lang w:val="en-US" w:eastAsia="zh-CN"/>
              </w:rPr>
              <w:t>评委</w:t>
            </w:r>
            <w:r>
              <w:rPr>
                <w:rFonts w:hint="eastAsia" w:asciiTheme="minorEastAsia" w:hAnsiTheme="minorEastAsia" w:eastAsiaTheme="minorEastAsia" w:cstheme="minorEastAsia"/>
                <w:color w:val="auto"/>
                <w:kern w:val="0"/>
                <w:sz w:val="22"/>
                <w:szCs w:val="22"/>
                <w:highlight w:val="none"/>
              </w:rPr>
              <w:t>根据</w:t>
            </w:r>
            <w:r>
              <w:rPr>
                <w:rFonts w:hint="eastAsia" w:asciiTheme="minorEastAsia" w:hAnsiTheme="minorEastAsia" w:cstheme="minorEastAsia"/>
                <w:color w:val="auto"/>
                <w:kern w:val="0"/>
                <w:sz w:val="22"/>
                <w:szCs w:val="22"/>
                <w:highlight w:val="none"/>
                <w:lang w:eastAsia="zh-CN"/>
              </w:rPr>
              <w:t>投标人</w:t>
            </w:r>
            <w:r>
              <w:rPr>
                <w:rFonts w:hint="eastAsia" w:asciiTheme="minorEastAsia" w:hAnsiTheme="minorEastAsia" w:eastAsiaTheme="minorEastAsia" w:cstheme="minorEastAsia"/>
                <w:color w:val="auto"/>
                <w:kern w:val="0"/>
                <w:sz w:val="22"/>
                <w:szCs w:val="22"/>
                <w:highlight w:val="none"/>
              </w:rPr>
              <w:t>提供的供货渠道（可提供产品来源渠道说明或证明、产品品牌质量或经销资质、进货发票或合同等相关证明材料）进行综合评分</w:t>
            </w:r>
            <w:r>
              <w:rPr>
                <w:rFonts w:hint="eastAsia" w:asciiTheme="minorEastAsia" w:hAnsiTheme="minorEastAsia" w:cstheme="minorEastAsia"/>
                <w:color w:val="auto"/>
                <w:kern w:val="0"/>
                <w:sz w:val="22"/>
                <w:szCs w:val="22"/>
                <w:highlight w:val="none"/>
                <w:lang w:eastAsia="zh-CN"/>
              </w:rPr>
              <w:t>：</w:t>
            </w:r>
          </w:p>
          <w:p w14:paraId="207FC223">
            <w:pPr>
              <w:adjustRightInd w:val="0"/>
              <w:snapToGrid w:val="0"/>
              <w:spacing w:line="24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所供货品具有可追溯性供货渠道正规</w:t>
            </w:r>
            <w:r>
              <w:rPr>
                <w:rFonts w:hint="eastAsia" w:asciiTheme="minorEastAsia" w:hAnsiTheme="minorEastAsia" w:cstheme="minorEastAsia"/>
                <w:color w:val="auto"/>
                <w:kern w:val="0"/>
                <w:sz w:val="22"/>
                <w:szCs w:val="22"/>
                <w:highlight w:val="none"/>
                <w:lang w:eastAsia="zh-CN"/>
              </w:rPr>
              <w:t>、</w:t>
            </w:r>
            <w:r>
              <w:rPr>
                <w:rFonts w:hint="eastAsia" w:asciiTheme="minorEastAsia" w:hAnsiTheme="minorEastAsia" w:cstheme="minorEastAsia"/>
                <w:color w:val="auto"/>
                <w:kern w:val="0"/>
                <w:sz w:val="22"/>
                <w:szCs w:val="22"/>
                <w:highlight w:val="none"/>
                <w:lang w:val="en-US" w:eastAsia="zh-CN"/>
              </w:rPr>
              <w:t>证明材料丰富</w:t>
            </w:r>
            <w:r>
              <w:rPr>
                <w:rFonts w:hint="eastAsia" w:asciiTheme="minorEastAsia" w:hAnsiTheme="minorEastAsia" w:eastAsiaTheme="minorEastAsia" w:cstheme="minorEastAsia"/>
                <w:color w:val="auto"/>
                <w:kern w:val="0"/>
                <w:sz w:val="22"/>
                <w:szCs w:val="22"/>
                <w:highlight w:val="none"/>
              </w:rPr>
              <w:t>，质量符合采购要求得5分；</w:t>
            </w:r>
          </w:p>
          <w:p w14:paraId="76CEA568">
            <w:pPr>
              <w:adjustRightInd w:val="0"/>
              <w:snapToGrid w:val="0"/>
              <w:spacing w:line="240" w:lineRule="auto"/>
              <w:rPr>
                <w:rFonts w:hint="eastAsia" w:asciiTheme="minorEastAsia" w:hAnsi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供货渠道较正规</w:t>
            </w:r>
            <w:r>
              <w:rPr>
                <w:rFonts w:hint="eastAsia" w:asciiTheme="minorEastAsia" w:hAnsiTheme="minorEastAsia" w:cstheme="minorEastAsia"/>
                <w:color w:val="auto"/>
                <w:kern w:val="0"/>
                <w:sz w:val="22"/>
                <w:szCs w:val="22"/>
                <w:highlight w:val="none"/>
                <w:lang w:eastAsia="zh-CN"/>
              </w:rPr>
              <w:t>、</w:t>
            </w:r>
            <w:r>
              <w:rPr>
                <w:rFonts w:hint="eastAsia" w:asciiTheme="minorEastAsia" w:hAnsiTheme="minorEastAsia" w:cstheme="minorEastAsia"/>
                <w:color w:val="auto"/>
                <w:kern w:val="0"/>
                <w:sz w:val="22"/>
                <w:szCs w:val="22"/>
                <w:highlight w:val="none"/>
                <w:lang w:val="en-US" w:eastAsia="zh-CN"/>
              </w:rPr>
              <w:t>证明材料较丰富</w:t>
            </w:r>
            <w:r>
              <w:rPr>
                <w:rFonts w:hint="eastAsia" w:asciiTheme="minorEastAsia" w:hAnsiTheme="minorEastAsia" w:eastAsiaTheme="minorEastAsia" w:cstheme="minorEastAsia"/>
                <w:color w:val="auto"/>
                <w:kern w:val="0"/>
                <w:sz w:val="22"/>
                <w:szCs w:val="22"/>
                <w:highlight w:val="none"/>
              </w:rPr>
              <w:t>，质量较符合采购要求得3分</w:t>
            </w:r>
            <w:r>
              <w:rPr>
                <w:rFonts w:hint="eastAsia" w:asciiTheme="minorEastAsia" w:hAnsiTheme="minorEastAsia" w:cstheme="minorEastAsia"/>
                <w:color w:val="auto"/>
                <w:kern w:val="0"/>
                <w:sz w:val="22"/>
                <w:szCs w:val="22"/>
                <w:highlight w:val="none"/>
                <w:lang w:eastAsia="zh-CN"/>
              </w:rPr>
              <w:t>；</w:t>
            </w:r>
          </w:p>
          <w:p w14:paraId="2F605215">
            <w:pPr>
              <w:adjustRightInd w:val="0"/>
              <w:snapToGrid w:val="0"/>
              <w:spacing w:line="240" w:lineRule="auto"/>
              <w:rPr>
                <w:rFonts w:hint="eastAsia" w:asciiTheme="minorEastAsia" w:hAnsi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供货渠道不清晰</w:t>
            </w:r>
            <w:r>
              <w:rPr>
                <w:rFonts w:hint="eastAsia" w:asciiTheme="minorEastAsia" w:hAnsiTheme="minorEastAsia" w:cstheme="minorEastAsia"/>
                <w:color w:val="auto"/>
                <w:kern w:val="0"/>
                <w:sz w:val="22"/>
                <w:szCs w:val="22"/>
                <w:highlight w:val="none"/>
                <w:lang w:eastAsia="zh-CN"/>
              </w:rPr>
              <w:t>、</w:t>
            </w:r>
            <w:r>
              <w:rPr>
                <w:rFonts w:hint="eastAsia" w:asciiTheme="minorEastAsia" w:hAnsiTheme="minorEastAsia" w:cstheme="minorEastAsia"/>
                <w:color w:val="auto"/>
                <w:kern w:val="0"/>
                <w:sz w:val="22"/>
                <w:szCs w:val="22"/>
                <w:highlight w:val="none"/>
                <w:lang w:val="en-US" w:eastAsia="zh-CN"/>
              </w:rPr>
              <w:t>证明材料一般</w:t>
            </w:r>
            <w:r>
              <w:rPr>
                <w:rFonts w:hint="eastAsia" w:asciiTheme="minorEastAsia" w:hAnsiTheme="minorEastAsia" w:eastAsiaTheme="minorEastAsia" w:cstheme="minorEastAsia"/>
                <w:color w:val="auto"/>
                <w:kern w:val="0"/>
                <w:sz w:val="22"/>
                <w:szCs w:val="22"/>
                <w:highlight w:val="none"/>
              </w:rPr>
              <w:t>，质量基本符合采购要求得1分</w:t>
            </w:r>
            <w:r>
              <w:rPr>
                <w:rFonts w:hint="eastAsia" w:asciiTheme="minorEastAsia" w:hAnsiTheme="minorEastAsia" w:cstheme="minorEastAsia"/>
                <w:color w:val="auto"/>
                <w:kern w:val="0"/>
                <w:sz w:val="22"/>
                <w:szCs w:val="22"/>
                <w:highlight w:val="none"/>
                <w:lang w:eastAsia="zh-CN"/>
              </w:rPr>
              <w:t>；</w:t>
            </w:r>
          </w:p>
          <w:p w14:paraId="1A85F91D">
            <w:pPr>
              <w:adjustRightInd w:val="0"/>
              <w:snapToGrid w:val="0"/>
              <w:spacing w:line="240" w:lineRule="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color w:val="auto"/>
                <w:sz w:val="22"/>
                <w:szCs w:val="22"/>
                <w:highlight w:val="none"/>
              </w:rPr>
              <w:t>未提供方案的不得分</w:t>
            </w:r>
            <w:r>
              <w:rPr>
                <w:rFonts w:hint="eastAsia" w:asciiTheme="minorEastAsia" w:hAnsiTheme="minorEastAsia" w:eastAsiaTheme="minorEastAsia" w:cstheme="minorEastAsia"/>
                <w:color w:val="auto"/>
                <w:kern w:val="0"/>
                <w:sz w:val="22"/>
                <w:szCs w:val="22"/>
                <w:highlight w:val="none"/>
              </w:rPr>
              <w:t>。</w:t>
            </w:r>
          </w:p>
        </w:tc>
        <w:tc>
          <w:tcPr>
            <w:tcW w:w="467" w:type="pct"/>
            <w:tcBorders>
              <w:top w:val="single" w:color="auto" w:sz="4" w:space="0"/>
              <w:left w:val="single" w:color="auto" w:sz="4" w:space="0"/>
              <w:bottom w:val="single" w:color="auto" w:sz="4" w:space="0"/>
              <w:right w:val="single" w:color="auto" w:sz="4" w:space="0"/>
            </w:tcBorders>
            <w:vAlign w:val="center"/>
          </w:tcPr>
          <w:p w14:paraId="4AFA4272">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5</w:t>
            </w:r>
          </w:p>
        </w:tc>
      </w:tr>
      <w:tr w14:paraId="4EBA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2BF87A2E">
            <w:pPr>
              <w:adjustRightInd w:val="0"/>
              <w:snapToGrid w:val="0"/>
              <w:spacing w:line="240" w:lineRule="auto"/>
              <w:jc w:val="center"/>
              <w:rPr>
                <w:rFonts w:hint="default"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cstheme="minorEastAsia"/>
                <w:b/>
                <w:color w:val="auto"/>
                <w:sz w:val="22"/>
                <w:szCs w:val="22"/>
                <w:highlight w:val="none"/>
                <w:lang w:val="en-US" w:eastAsia="zh-CN"/>
              </w:rPr>
              <w:t>2.5</w:t>
            </w:r>
          </w:p>
        </w:tc>
        <w:tc>
          <w:tcPr>
            <w:tcW w:w="628" w:type="pct"/>
            <w:vMerge w:val="continue"/>
            <w:tcBorders>
              <w:left w:val="single" w:color="auto" w:sz="4" w:space="0"/>
              <w:right w:val="single" w:color="auto" w:sz="4" w:space="0"/>
            </w:tcBorders>
            <w:vAlign w:val="center"/>
          </w:tcPr>
          <w:p w14:paraId="75EC173C">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p>
        </w:tc>
        <w:tc>
          <w:tcPr>
            <w:tcW w:w="3545" w:type="pct"/>
            <w:tcBorders>
              <w:top w:val="single" w:color="auto" w:sz="4" w:space="0"/>
              <w:left w:val="single" w:color="auto" w:sz="4" w:space="0"/>
              <w:bottom w:val="single" w:color="auto" w:sz="4" w:space="0"/>
              <w:right w:val="single" w:color="auto" w:sz="4" w:space="0"/>
            </w:tcBorders>
            <w:vAlign w:val="center"/>
          </w:tcPr>
          <w:p w14:paraId="122E9F5F">
            <w:pPr>
              <w:adjustRightInd w:val="0"/>
              <w:snapToGrid w:val="0"/>
              <w:spacing w:line="240" w:lineRule="auto"/>
              <w:rPr>
                <w:rFonts w:hint="eastAsia" w:asciiTheme="minorEastAsia" w:hAnsiTheme="minorEastAsia" w:cstheme="minorEastAsia"/>
                <w:b/>
                <w:bCs/>
                <w:color w:val="auto"/>
                <w:sz w:val="22"/>
                <w:szCs w:val="22"/>
                <w:highlight w:val="none"/>
                <w:lang w:eastAsia="zh-CN"/>
              </w:rPr>
            </w:pPr>
            <w:r>
              <w:rPr>
                <w:rFonts w:hint="eastAsia" w:asciiTheme="minorEastAsia" w:hAnsiTheme="minorEastAsia" w:eastAsiaTheme="minorEastAsia" w:cstheme="minorEastAsia"/>
                <w:b/>
                <w:bCs/>
                <w:color w:val="auto"/>
                <w:sz w:val="22"/>
                <w:szCs w:val="22"/>
                <w:highlight w:val="none"/>
              </w:rPr>
              <w:t>文档建立管理方案</w:t>
            </w:r>
            <w:r>
              <w:rPr>
                <w:rFonts w:hint="eastAsia" w:asciiTheme="minorEastAsia" w:hAnsiTheme="minorEastAsia" w:cstheme="minorEastAsia"/>
                <w:b/>
                <w:bCs/>
                <w:color w:val="auto"/>
                <w:sz w:val="22"/>
                <w:szCs w:val="22"/>
                <w:highlight w:val="none"/>
                <w:lang w:eastAsia="zh-CN"/>
              </w:rPr>
              <w:t>：</w:t>
            </w:r>
          </w:p>
          <w:p w14:paraId="11B2EB7F">
            <w:pPr>
              <w:adjustRightInd w:val="0"/>
              <w:snapToGrid w:val="0"/>
              <w:spacing w:line="24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cstheme="minorEastAsia"/>
                <w:color w:val="auto"/>
                <w:kern w:val="0"/>
                <w:sz w:val="22"/>
                <w:szCs w:val="22"/>
                <w:highlight w:val="none"/>
                <w:lang w:val="en-US" w:eastAsia="zh-CN"/>
              </w:rPr>
              <w:t>评委</w:t>
            </w:r>
            <w:r>
              <w:rPr>
                <w:rFonts w:hint="eastAsia" w:asciiTheme="minorEastAsia" w:hAnsiTheme="minorEastAsia" w:eastAsiaTheme="minorEastAsia" w:cstheme="minorEastAsia"/>
                <w:color w:val="auto"/>
                <w:kern w:val="0"/>
                <w:sz w:val="22"/>
                <w:szCs w:val="22"/>
                <w:highlight w:val="none"/>
              </w:rPr>
              <w:t>根据</w:t>
            </w:r>
            <w:r>
              <w:rPr>
                <w:rFonts w:hint="eastAsia" w:asciiTheme="minorEastAsia" w:hAnsiTheme="minorEastAsia" w:cstheme="minorEastAsia"/>
                <w:color w:val="auto"/>
                <w:kern w:val="0"/>
                <w:sz w:val="22"/>
                <w:szCs w:val="22"/>
                <w:highlight w:val="none"/>
                <w:lang w:eastAsia="zh-CN"/>
              </w:rPr>
              <w:t>投标人</w:t>
            </w:r>
            <w:r>
              <w:rPr>
                <w:rFonts w:hint="eastAsia" w:asciiTheme="minorEastAsia" w:hAnsiTheme="minorEastAsia" w:eastAsiaTheme="minorEastAsia" w:cstheme="minorEastAsia"/>
                <w:color w:val="auto"/>
                <w:kern w:val="0"/>
                <w:sz w:val="22"/>
                <w:szCs w:val="22"/>
                <w:highlight w:val="none"/>
              </w:rPr>
              <w:t>提供的文档建立管理方案进行综合评分：</w:t>
            </w:r>
          </w:p>
          <w:p w14:paraId="0C01DA09">
            <w:pPr>
              <w:pStyle w:val="16"/>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文档建立管理方案中服务过程记录全面，票据保管及相关文件管理归档规定明确合理的得5分；</w:t>
            </w:r>
          </w:p>
          <w:p w14:paraId="0A3869F3">
            <w:pPr>
              <w:pStyle w:val="16"/>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文档建立管理方案中服务过程记录较全面，票据保管及相关文件管理归档规定较明确的得3分；</w:t>
            </w:r>
          </w:p>
          <w:p w14:paraId="566107A1">
            <w:pPr>
              <w:pStyle w:val="16"/>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文档建立管理方案中服务过程记录全面性、票据保管及相关文件管理归档规定明确合理性一般的得1分；</w:t>
            </w:r>
          </w:p>
          <w:p w14:paraId="5E70B4FC">
            <w:pPr>
              <w:pStyle w:val="16"/>
              <w:rPr>
                <w:rFonts w:hint="eastAsia"/>
                <w:color w:val="auto"/>
                <w:highlight w:val="none"/>
                <w:lang w:eastAsia="zh-CN"/>
              </w:rPr>
            </w:pPr>
            <w:r>
              <w:rPr>
                <w:rFonts w:hint="eastAsia" w:asciiTheme="minorEastAsia" w:hAnsiTheme="minorEastAsia" w:eastAsiaTheme="minorEastAsia" w:cstheme="minorEastAsia"/>
                <w:color w:val="auto"/>
                <w:kern w:val="0"/>
                <w:sz w:val="22"/>
                <w:szCs w:val="22"/>
                <w:highlight w:val="none"/>
                <w:lang w:val="en-US" w:eastAsia="zh-CN" w:bidi="ar-SA"/>
              </w:rPr>
              <w:t>未提供方案的不得分。</w:t>
            </w:r>
          </w:p>
        </w:tc>
        <w:tc>
          <w:tcPr>
            <w:tcW w:w="467" w:type="pct"/>
            <w:tcBorders>
              <w:top w:val="single" w:color="auto" w:sz="4" w:space="0"/>
              <w:left w:val="single" w:color="auto" w:sz="4" w:space="0"/>
              <w:bottom w:val="single" w:color="auto" w:sz="4" w:space="0"/>
              <w:right w:val="single" w:color="auto" w:sz="4" w:space="0"/>
            </w:tcBorders>
            <w:vAlign w:val="center"/>
          </w:tcPr>
          <w:p w14:paraId="654A0C34">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cstheme="minorEastAsia"/>
                <w:b/>
                <w:color w:val="auto"/>
                <w:sz w:val="22"/>
                <w:szCs w:val="22"/>
                <w:highlight w:val="none"/>
                <w:lang w:val="en-US" w:eastAsia="zh-CN"/>
              </w:rPr>
              <w:t>5</w:t>
            </w:r>
          </w:p>
        </w:tc>
      </w:tr>
      <w:tr w14:paraId="1C5C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05BD64A6">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3.1</w:t>
            </w:r>
          </w:p>
        </w:tc>
        <w:tc>
          <w:tcPr>
            <w:tcW w:w="628" w:type="pct"/>
            <w:vMerge w:val="restart"/>
            <w:tcBorders>
              <w:left w:val="single" w:color="auto" w:sz="4" w:space="0"/>
              <w:right w:val="single" w:color="auto" w:sz="4" w:space="0"/>
            </w:tcBorders>
            <w:vAlign w:val="center"/>
          </w:tcPr>
          <w:p w14:paraId="4BF981B1">
            <w:pPr>
              <w:widowControl/>
              <w:spacing w:line="240" w:lineRule="auto"/>
              <w:jc w:val="center"/>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项目团队</w:t>
            </w:r>
          </w:p>
          <w:p w14:paraId="4EC72F1C">
            <w:pPr>
              <w:widowControl/>
              <w:spacing w:line="240" w:lineRule="auto"/>
              <w:jc w:val="center"/>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w:t>
            </w:r>
            <w:r>
              <w:rPr>
                <w:rFonts w:hint="eastAsia" w:asciiTheme="minorEastAsia" w:hAnsiTheme="minorEastAsia" w:cstheme="minorEastAsia"/>
                <w:b/>
                <w:bCs/>
                <w:color w:val="auto"/>
                <w:kern w:val="0"/>
                <w:sz w:val="22"/>
                <w:szCs w:val="22"/>
                <w:highlight w:val="none"/>
                <w:lang w:val="en-US" w:eastAsia="zh-CN"/>
              </w:rPr>
              <w:t>4</w:t>
            </w:r>
            <w:r>
              <w:rPr>
                <w:rFonts w:hint="eastAsia" w:asciiTheme="minorEastAsia" w:hAnsiTheme="minorEastAsia" w:eastAsiaTheme="minorEastAsia" w:cstheme="minorEastAsia"/>
                <w:b/>
                <w:bCs/>
                <w:color w:val="auto"/>
                <w:kern w:val="0"/>
                <w:sz w:val="22"/>
                <w:szCs w:val="22"/>
                <w:highlight w:val="none"/>
              </w:rPr>
              <w:t>分）</w:t>
            </w:r>
          </w:p>
        </w:tc>
        <w:tc>
          <w:tcPr>
            <w:tcW w:w="3545" w:type="pct"/>
            <w:tcBorders>
              <w:top w:val="single" w:color="auto" w:sz="4" w:space="0"/>
              <w:left w:val="single" w:color="auto" w:sz="4" w:space="0"/>
              <w:bottom w:val="single" w:color="auto" w:sz="4" w:space="0"/>
              <w:right w:val="single" w:color="auto" w:sz="4" w:space="0"/>
            </w:tcBorders>
            <w:vAlign w:val="center"/>
          </w:tcPr>
          <w:p w14:paraId="099A74C8">
            <w:pPr>
              <w:widowControl/>
              <w:spacing w:line="24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本项目需明确项目负责人1名，团队所有成员（含项目负责人和长期驻本地人员）不少于6人，投标人需提供人员配置名单及具体负责事项，项目负责人及团队所有成员必须是投标人的正式员工，投标人须提供健康证、劳动合同、投标前近6个月的社会保险证明，满足上述要求，并提供相关证明材料复印件得3分，未提供团队服务人员名单及相关证明材料</w:t>
            </w:r>
            <w:r>
              <w:rPr>
                <w:rFonts w:hint="eastAsia" w:asciiTheme="minorEastAsia" w:hAnsiTheme="minorEastAsia" w:cstheme="minorEastAsia"/>
                <w:color w:val="auto"/>
                <w:kern w:val="0"/>
                <w:sz w:val="22"/>
                <w:szCs w:val="22"/>
                <w:highlight w:val="none"/>
                <w:lang w:val="en-US" w:eastAsia="zh-CN"/>
              </w:rPr>
              <w:t>或不符合要求</w:t>
            </w:r>
            <w:r>
              <w:rPr>
                <w:rFonts w:hint="eastAsia" w:asciiTheme="minorEastAsia" w:hAnsiTheme="minorEastAsia" w:eastAsiaTheme="minorEastAsia" w:cstheme="minorEastAsia"/>
                <w:color w:val="auto"/>
                <w:kern w:val="0"/>
                <w:sz w:val="22"/>
                <w:szCs w:val="22"/>
                <w:highlight w:val="none"/>
              </w:rPr>
              <w:t>不得分。</w:t>
            </w:r>
          </w:p>
        </w:tc>
        <w:tc>
          <w:tcPr>
            <w:tcW w:w="467" w:type="pct"/>
            <w:tcBorders>
              <w:top w:val="single" w:color="auto" w:sz="4" w:space="0"/>
              <w:left w:val="single" w:color="auto" w:sz="4" w:space="0"/>
              <w:bottom w:val="single" w:color="auto" w:sz="4" w:space="0"/>
              <w:right w:val="single" w:color="auto" w:sz="4" w:space="0"/>
            </w:tcBorders>
            <w:vAlign w:val="center"/>
          </w:tcPr>
          <w:p w14:paraId="758B3945">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w:t>
            </w:r>
          </w:p>
        </w:tc>
      </w:tr>
      <w:tr w14:paraId="7BED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6E7F3FCA">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3.2</w:t>
            </w:r>
          </w:p>
        </w:tc>
        <w:tc>
          <w:tcPr>
            <w:tcW w:w="628" w:type="pct"/>
            <w:vMerge w:val="continue"/>
            <w:tcBorders>
              <w:left w:val="single" w:color="auto" w:sz="4" w:space="0"/>
              <w:right w:val="single" w:color="auto" w:sz="4" w:space="0"/>
            </w:tcBorders>
            <w:vAlign w:val="center"/>
          </w:tcPr>
          <w:p w14:paraId="31DF157D">
            <w:pPr>
              <w:widowControl/>
              <w:spacing w:line="240" w:lineRule="auto"/>
              <w:jc w:val="center"/>
              <w:rPr>
                <w:rFonts w:hint="eastAsia" w:asciiTheme="minorEastAsia" w:hAnsiTheme="minorEastAsia" w:eastAsiaTheme="minorEastAsia" w:cstheme="minorEastAsia"/>
                <w:b/>
                <w:bCs/>
                <w:color w:val="auto"/>
                <w:kern w:val="0"/>
                <w:sz w:val="22"/>
                <w:szCs w:val="22"/>
                <w:highlight w:val="none"/>
              </w:rPr>
            </w:pPr>
          </w:p>
        </w:tc>
        <w:tc>
          <w:tcPr>
            <w:tcW w:w="3545" w:type="pct"/>
            <w:tcBorders>
              <w:top w:val="single" w:color="auto" w:sz="4" w:space="0"/>
              <w:left w:val="single" w:color="auto" w:sz="4" w:space="0"/>
              <w:bottom w:val="single" w:color="auto" w:sz="4" w:space="0"/>
              <w:right w:val="single" w:color="auto" w:sz="4" w:space="0"/>
            </w:tcBorders>
            <w:vAlign w:val="center"/>
          </w:tcPr>
          <w:p w14:paraId="77D3F61C">
            <w:pPr>
              <w:widowControl/>
              <w:spacing w:line="24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投标人具备应急服务能力，且有长期驻本地人员，有一定的处理紧急情况的经验，同时为保证食材的卫生安全，能够</w:t>
            </w:r>
            <w:r>
              <w:rPr>
                <w:rFonts w:hint="eastAsia" w:asciiTheme="minorEastAsia" w:hAnsiTheme="minorEastAsia" w:cstheme="minorEastAsia"/>
                <w:color w:val="auto"/>
                <w:kern w:val="0"/>
                <w:sz w:val="22"/>
                <w:szCs w:val="22"/>
                <w:highlight w:val="none"/>
                <w:lang w:eastAsia="zh-CN"/>
              </w:rPr>
              <w:t>接到</w:t>
            </w:r>
            <w:r>
              <w:rPr>
                <w:rFonts w:hint="eastAsia" w:asciiTheme="minorEastAsia" w:hAnsiTheme="minorEastAsia" w:eastAsiaTheme="minorEastAsia" w:cstheme="minorEastAsia"/>
                <w:color w:val="auto"/>
                <w:kern w:val="0"/>
                <w:sz w:val="22"/>
                <w:szCs w:val="22"/>
                <w:highlight w:val="none"/>
              </w:rPr>
              <w:t>采购人通知后2小时内赶到项目现场，提供承诺书得</w:t>
            </w:r>
            <w:r>
              <w:rPr>
                <w:rFonts w:hint="eastAsia" w:asciiTheme="minorEastAsia" w:hAnsiTheme="minorEastAsia" w:cstheme="minorEastAsia"/>
                <w:color w:val="auto"/>
                <w:kern w:val="0"/>
                <w:sz w:val="22"/>
                <w:szCs w:val="22"/>
                <w:highlight w:val="none"/>
                <w:lang w:val="en-US" w:eastAsia="zh-CN"/>
              </w:rPr>
              <w:t>1</w:t>
            </w:r>
            <w:r>
              <w:rPr>
                <w:rFonts w:hint="eastAsia" w:asciiTheme="minorEastAsia" w:hAnsiTheme="minorEastAsia" w:eastAsiaTheme="minorEastAsia" w:cstheme="minorEastAsia"/>
                <w:color w:val="auto"/>
                <w:kern w:val="0"/>
                <w:sz w:val="22"/>
                <w:szCs w:val="22"/>
                <w:highlight w:val="none"/>
              </w:rPr>
              <w:t>分，未提供承诺书</w:t>
            </w:r>
            <w:r>
              <w:rPr>
                <w:rFonts w:hint="eastAsia" w:asciiTheme="minorEastAsia" w:hAnsiTheme="minorEastAsia" w:cstheme="minorEastAsia"/>
                <w:color w:val="auto"/>
                <w:kern w:val="0"/>
                <w:sz w:val="22"/>
                <w:szCs w:val="22"/>
                <w:highlight w:val="none"/>
                <w:lang w:val="en-US" w:eastAsia="zh-CN"/>
              </w:rPr>
              <w:t>或承诺书内容不符合要求</w:t>
            </w:r>
            <w:r>
              <w:rPr>
                <w:rFonts w:hint="eastAsia" w:asciiTheme="minorEastAsia" w:hAnsiTheme="minorEastAsia" w:eastAsiaTheme="minorEastAsia" w:cstheme="minorEastAsia"/>
                <w:color w:val="auto"/>
                <w:kern w:val="0"/>
                <w:sz w:val="22"/>
                <w:szCs w:val="22"/>
                <w:highlight w:val="none"/>
              </w:rPr>
              <w:t>的不得分。</w:t>
            </w:r>
          </w:p>
        </w:tc>
        <w:tc>
          <w:tcPr>
            <w:tcW w:w="467" w:type="pct"/>
            <w:tcBorders>
              <w:top w:val="single" w:color="auto" w:sz="4" w:space="0"/>
              <w:left w:val="single" w:color="auto" w:sz="4" w:space="0"/>
              <w:bottom w:val="single" w:color="auto" w:sz="4" w:space="0"/>
              <w:right w:val="single" w:color="auto" w:sz="4" w:space="0"/>
            </w:tcBorders>
            <w:vAlign w:val="center"/>
          </w:tcPr>
          <w:p w14:paraId="7C12BC5E">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lang w:eastAsia="zh-CN"/>
              </w:rPr>
            </w:pPr>
            <w:r>
              <w:rPr>
                <w:rFonts w:hint="eastAsia" w:asciiTheme="minorEastAsia" w:hAnsiTheme="minorEastAsia" w:cstheme="minorEastAsia"/>
                <w:b/>
                <w:color w:val="auto"/>
                <w:sz w:val="22"/>
                <w:szCs w:val="22"/>
                <w:highlight w:val="none"/>
                <w:lang w:val="en-US" w:eastAsia="zh-CN"/>
              </w:rPr>
              <w:t>1</w:t>
            </w:r>
          </w:p>
        </w:tc>
      </w:tr>
      <w:tr w14:paraId="0470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2"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4CAA5C7B">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rPr>
              <w:t>4</w:t>
            </w:r>
            <w:r>
              <w:rPr>
                <w:rFonts w:hint="eastAsia" w:asciiTheme="minorEastAsia" w:hAnsiTheme="minorEastAsia" w:eastAsiaTheme="minorEastAsia" w:cstheme="minorEastAsia"/>
                <w:b/>
                <w:color w:val="auto"/>
                <w:sz w:val="22"/>
                <w:szCs w:val="22"/>
                <w:highlight w:val="none"/>
                <w:lang w:val="en-US" w:eastAsia="zh-CN"/>
              </w:rPr>
              <w:t>.1</w:t>
            </w:r>
          </w:p>
        </w:tc>
        <w:tc>
          <w:tcPr>
            <w:tcW w:w="628" w:type="pct"/>
            <w:vMerge w:val="restart"/>
            <w:tcBorders>
              <w:left w:val="single" w:color="auto" w:sz="4" w:space="0"/>
              <w:right w:val="single" w:color="auto" w:sz="4" w:space="0"/>
            </w:tcBorders>
            <w:vAlign w:val="center"/>
          </w:tcPr>
          <w:p w14:paraId="7E0370BE">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履约能力</w:t>
            </w:r>
          </w:p>
          <w:p w14:paraId="1F0CDF12">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w:t>
            </w:r>
            <w:r>
              <w:rPr>
                <w:rFonts w:hint="eastAsia" w:asciiTheme="minorEastAsia" w:hAnsiTheme="minorEastAsia" w:cstheme="minorEastAsia"/>
                <w:b/>
                <w:color w:val="auto"/>
                <w:sz w:val="22"/>
                <w:szCs w:val="22"/>
                <w:highlight w:val="none"/>
                <w:lang w:val="en-US" w:eastAsia="zh-CN"/>
              </w:rPr>
              <w:t>7</w:t>
            </w:r>
            <w:r>
              <w:rPr>
                <w:rFonts w:hint="eastAsia" w:asciiTheme="minorEastAsia" w:hAnsiTheme="minorEastAsia" w:eastAsiaTheme="minorEastAsia" w:cstheme="minorEastAsia"/>
                <w:b/>
                <w:color w:val="auto"/>
                <w:sz w:val="22"/>
                <w:szCs w:val="22"/>
                <w:highlight w:val="none"/>
                <w:lang w:val="en-US" w:eastAsia="zh-CN"/>
              </w:rPr>
              <w:t>分）</w:t>
            </w:r>
          </w:p>
        </w:tc>
        <w:tc>
          <w:tcPr>
            <w:tcW w:w="3545" w:type="pct"/>
            <w:tcBorders>
              <w:top w:val="single" w:color="auto" w:sz="4" w:space="0"/>
              <w:left w:val="single" w:color="auto" w:sz="4" w:space="0"/>
              <w:bottom w:val="single" w:color="auto" w:sz="4" w:space="0"/>
              <w:right w:val="single" w:color="auto" w:sz="4" w:space="0"/>
            </w:tcBorders>
            <w:vAlign w:val="center"/>
          </w:tcPr>
          <w:p w14:paraId="359722B4">
            <w:pPr>
              <w:adjustRightInd w:val="0"/>
              <w:snapToGrid w:val="0"/>
              <w:spacing w:line="240" w:lineRule="auto"/>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经营场所要求</w:t>
            </w:r>
          </w:p>
          <w:p w14:paraId="4A3F0E90">
            <w:pPr>
              <w:adjustRightInd w:val="0"/>
              <w:snapToGrid w:val="0"/>
              <w:spacing w:line="240" w:lineRule="auto"/>
              <w:rPr>
                <w:rFonts w:hint="eastAsia" w:asciiTheme="minorEastAsia" w:hAnsiTheme="minorEastAsia" w:eastAsiaTheme="minorEastAsia" w:cstheme="minorEastAsia"/>
                <w:b/>
                <w:color w:val="auto"/>
                <w:sz w:val="22"/>
                <w:szCs w:val="22"/>
                <w:highlight w:val="none"/>
                <w:u w:val="thick"/>
              </w:rPr>
            </w:pPr>
            <w:r>
              <w:rPr>
                <w:rFonts w:hint="eastAsia" w:asciiTheme="minorEastAsia" w:hAnsiTheme="minorEastAsia" w:eastAsiaTheme="minorEastAsia" w:cstheme="minorEastAsia"/>
                <w:bCs/>
                <w:color w:val="auto"/>
                <w:sz w:val="22"/>
                <w:szCs w:val="22"/>
                <w:highlight w:val="none"/>
              </w:rPr>
              <w:t>（1）为保证投标人供货能力及食材的新鲜度，能承诺满足采购方1小时内应急补货任务的得</w:t>
            </w:r>
            <w:r>
              <w:rPr>
                <w:rFonts w:hint="eastAsia" w:asciiTheme="minorEastAsia" w:hAnsiTheme="minorEastAsia" w:cstheme="minorEastAsia"/>
                <w:bCs/>
                <w:color w:val="auto"/>
                <w:sz w:val="22"/>
                <w:szCs w:val="22"/>
                <w:highlight w:val="none"/>
                <w:lang w:val="en-US" w:eastAsia="zh-CN"/>
              </w:rPr>
              <w:t>1</w:t>
            </w:r>
            <w:r>
              <w:rPr>
                <w:rFonts w:hint="eastAsia" w:asciiTheme="minorEastAsia" w:hAnsiTheme="minorEastAsia" w:eastAsiaTheme="minorEastAsia" w:cstheme="minorEastAsia"/>
                <w:bCs/>
                <w:color w:val="auto"/>
                <w:sz w:val="22"/>
                <w:szCs w:val="22"/>
                <w:highlight w:val="none"/>
              </w:rPr>
              <w:t>分。</w:t>
            </w:r>
            <w:r>
              <w:rPr>
                <w:rFonts w:hint="eastAsia" w:asciiTheme="minorEastAsia" w:hAnsiTheme="minorEastAsia" w:eastAsiaTheme="minorEastAsia" w:cstheme="minorEastAsia"/>
                <w:b/>
                <w:color w:val="auto"/>
                <w:sz w:val="22"/>
                <w:szCs w:val="22"/>
                <w:highlight w:val="none"/>
                <w:u w:val="thick"/>
              </w:rPr>
              <w:t>（需提供承诺书，未提供承诺书或未按要求提供不得分）</w:t>
            </w:r>
          </w:p>
          <w:p w14:paraId="718450D4">
            <w:pPr>
              <w:adjustRightInd w:val="0"/>
              <w:snapToGrid w:val="0"/>
              <w:spacing w:line="240" w:lineRule="auto"/>
              <w:rPr>
                <w:rFonts w:hint="eastAsia" w:asciiTheme="minorEastAsia" w:hAnsiTheme="minorEastAsia" w:eastAsiaTheme="minorEastAsia" w:cstheme="minorEastAsia"/>
                <w:b/>
                <w:color w:val="auto"/>
                <w:sz w:val="22"/>
                <w:szCs w:val="22"/>
                <w:highlight w:val="none"/>
                <w:u w:val="thick"/>
              </w:rPr>
            </w:pPr>
            <w:r>
              <w:rPr>
                <w:rFonts w:hint="eastAsia" w:asciiTheme="minorEastAsia" w:hAnsiTheme="minorEastAsia" w:eastAsiaTheme="minorEastAsia" w:cstheme="minorEastAsia"/>
                <w:bCs/>
                <w:color w:val="auto"/>
                <w:sz w:val="22"/>
                <w:szCs w:val="22"/>
                <w:highlight w:val="none"/>
              </w:rPr>
              <w:t>（2）投标人在学校周边20公里范围内具有经营场所或承诺中标后10个工作日内在学校周边20公里范围内设立经营场所的得2分</w:t>
            </w:r>
            <w:r>
              <w:rPr>
                <w:rFonts w:hint="eastAsia" w:asciiTheme="minorEastAsia" w:hAnsiTheme="minorEastAsia" w:eastAsiaTheme="minorEastAsia" w:cstheme="minorEastAsia"/>
                <w:b/>
                <w:color w:val="auto"/>
                <w:sz w:val="22"/>
                <w:szCs w:val="22"/>
                <w:highlight w:val="none"/>
                <w:u w:val="thick"/>
              </w:rPr>
              <w:t>（经营场所可以是门店，也可以是农贸市场摊位）。</w:t>
            </w:r>
          </w:p>
          <w:p w14:paraId="5CDF9A17">
            <w:pPr>
              <w:adjustRightInd w:val="0"/>
              <w:snapToGrid w:val="0"/>
              <w:spacing w:line="240" w:lineRule="auto"/>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（需提供自有产权证明或租赁合同或承诺书复印件并加盖公章，产权证书或租赁合同需在有效期，原件备查，</w:t>
            </w:r>
            <w:r>
              <w:rPr>
                <w:rFonts w:hint="eastAsia" w:asciiTheme="minorEastAsia" w:hAnsiTheme="minorEastAsia" w:eastAsiaTheme="minorEastAsia" w:cstheme="minorEastAsia"/>
                <w:color w:val="auto"/>
                <w:kern w:val="0"/>
                <w:sz w:val="22"/>
                <w:szCs w:val="22"/>
                <w:highlight w:val="none"/>
              </w:rPr>
              <w:t>不提供或未按要求提供证明材料不得分</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b/>
                <w:bCs/>
                <w:color w:val="auto"/>
                <w:sz w:val="22"/>
                <w:szCs w:val="22"/>
                <w:highlight w:val="none"/>
              </w:rPr>
              <w:t>投标人应对投标文件中提供的证明材料和相关承诺书的真实性负责，如有虚假，一经查实，采购人有权没收其履约保证金，或取消其中标资格并追究其相应的违约责任</w:t>
            </w:r>
            <w:r>
              <w:rPr>
                <w:rFonts w:hint="eastAsia" w:asciiTheme="minorEastAsia" w:hAnsiTheme="minorEastAsia" w:eastAsiaTheme="minorEastAsia" w:cstheme="minorEastAsia"/>
                <w:color w:val="auto"/>
                <w:sz w:val="22"/>
                <w:szCs w:val="22"/>
                <w:highlight w:val="none"/>
              </w:rPr>
              <w:t>）</w:t>
            </w:r>
          </w:p>
        </w:tc>
        <w:tc>
          <w:tcPr>
            <w:tcW w:w="467" w:type="pct"/>
            <w:tcBorders>
              <w:top w:val="single" w:color="auto" w:sz="4" w:space="0"/>
              <w:left w:val="single" w:color="auto" w:sz="4" w:space="0"/>
              <w:bottom w:val="single" w:color="auto" w:sz="4" w:space="0"/>
              <w:right w:val="single" w:color="auto" w:sz="4" w:space="0"/>
            </w:tcBorders>
            <w:vAlign w:val="center"/>
          </w:tcPr>
          <w:p w14:paraId="33A9AADE">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lang w:eastAsia="zh-CN"/>
              </w:rPr>
            </w:pPr>
            <w:r>
              <w:rPr>
                <w:rFonts w:hint="eastAsia" w:asciiTheme="minorEastAsia" w:hAnsiTheme="minorEastAsia" w:cstheme="minorEastAsia"/>
                <w:b/>
                <w:color w:val="auto"/>
                <w:sz w:val="22"/>
                <w:szCs w:val="22"/>
                <w:highlight w:val="none"/>
                <w:lang w:val="en-US" w:eastAsia="zh-CN"/>
              </w:rPr>
              <w:t>3</w:t>
            </w:r>
          </w:p>
        </w:tc>
      </w:tr>
      <w:tr w14:paraId="630C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1A96F735">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4.2</w:t>
            </w:r>
          </w:p>
        </w:tc>
        <w:tc>
          <w:tcPr>
            <w:tcW w:w="628" w:type="pct"/>
            <w:vMerge w:val="continue"/>
            <w:tcBorders>
              <w:left w:val="single" w:color="auto" w:sz="4" w:space="0"/>
              <w:right w:val="single" w:color="auto" w:sz="4" w:space="0"/>
            </w:tcBorders>
            <w:vAlign w:val="center"/>
          </w:tcPr>
          <w:p w14:paraId="17BB047B">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p>
        </w:tc>
        <w:tc>
          <w:tcPr>
            <w:tcW w:w="3545" w:type="pct"/>
            <w:tcBorders>
              <w:top w:val="single" w:color="auto" w:sz="4" w:space="0"/>
              <w:left w:val="single" w:color="auto" w:sz="4" w:space="0"/>
              <w:bottom w:val="single" w:color="auto" w:sz="4" w:space="0"/>
              <w:right w:val="single" w:color="auto" w:sz="4" w:space="0"/>
            </w:tcBorders>
            <w:shd w:val="clear" w:color="auto" w:fill="auto"/>
            <w:vAlign w:val="center"/>
          </w:tcPr>
          <w:p w14:paraId="397FBFE5">
            <w:pPr>
              <w:adjustRightInd w:val="0"/>
              <w:snapToGrid w:val="0"/>
              <w:spacing w:line="24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车辆设备要求</w:t>
            </w:r>
          </w:p>
          <w:p w14:paraId="45D60BB8">
            <w:pPr>
              <w:adjustRightInd w:val="0"/>
              <w:snapToGrid w:val="0"/>
              <w:spacing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为满足食堂的配送任务，投标人</w:t>
            </w:r>
            <w:r>
              <w:rPr>
                <w:rFonts w:hint="eastAsia" w:asciiTheme="minorEastAsia" w:hAnsiTheme="minorEastAsia" w:eastAsiaTheme="minorEastAsia" w:cstheme="minorEastAsia"/>
                <w:color w:val="auto"/>
                <w:sz w:val="22"/>
                <w:szCs w:val="22"/>
                <w:highlight w:val="none"/>
              </w:rPr>
              <w:t>具有自有或租赁配送车辆的（其中至少含冷藏车辆1辆</w:t>
            </w:r>
            <w:r>
              <w:rPr>
                <w:rFonts w:hint="eastAsia" w:asciiTheme="minorEastAsia" w:hAnsiTheme="minorEastAsia" w:cstheme="minorEastAsia"/>
                <w:color w:val="auto"/>
                <w:sz w:val="22"/>
                <w:szCs w:val="22"/>
                <w:highlight w:val="none"/>
                <w:lang w:eastAsia="zh-CN"/>
              </w:rPr>
              <w:t>，</w:t>
            </w:r>
            <w:r>
              <w:rPr>
                <w:rFonts w:hint="eastAsia" w:asciiTheme="minorEastAsia" w:hAnsiTheme="minorEastAsia" w:cstheme="minorEastAsia"/>
                <w:color w:val="auto"/>
                <w:sz w:val="22"/>
                <w:szCs w:val="22"/>
                <w:highlight w:val="none"/>
                <w:lang w:val="en-US" w:eastAsia="zh-CN"/>
              </w:rPr>
              <w:t>否则本项不得分</w:t>
            </w:r>
            <w:r>
              <w:rPr>
                <w:rFonts w:hint="eastAsia" w:asciiTheme="minorEastAsia" w:hAnsiTheme="minorEastAsia" w:eastAsiaTheme="minorEastAsia" w:cstheme="minorEastAsia"/>
                <w:color w:val="auto"/>
                <w:sz w:val="22"/>
                <w:szCs w:val="22"/>
                <w:highlight w:val="none"/>
              </w:rPr>
              <w:t>），每提供一台车辆得1分，最多得4分。</w:t>
            </w:r>
          </w:p>
          <w:p w14:paraId="3F827862">
            <w:pPr>
              <w:adjustRightInd w:val="0"/>
              <w:snapToGrid w:val="0"/>
              <w:spacing w:line="240" w:lineRule="auto"/>
              <w:rPr>
                <w:rFonts w:hint="eastAsia" w:asciiTheme="minorEastAsia" w:hAnsiTheme="minorEastAsia" w:eastAsiaTheme="minorEastAsia" w:cstheme="minorEastAsia"/>
                <w:color w:val="auto"/>
                <w:sz w:val="22"/>
                <w:szCs w:val="22"/>
                <w:highlight w:val="none"/>
                <w:lang w:val="en-US" w:eastAsia="zh-CN" w:bidi="ar-SA"/>
              </w:rPr>
            </w:pPr>
            <w:r>
              <w:rPr>
                <w:rFonts w:hint="eastAsia" w:asciiTheme="minorEastAsia" w:hAnsiTheme="minorEastAsia" w:eastAsiaTheme="minorEastAsia" w:cstheme="minorEastAsia"/>
                <w:b/>
                <w:bCs/>
                <w:color w:val="auto"/>
                <w:kern w:val="0"/>
                <w:sz w:val="22"/>
                <w:szCs w:val="22"/>
                <w:highlight w:val="none"/>
                <w:u w:val="thick"/>
              </w:rPr>
              <w:t>注：需提供车辆</w:t>
            </w:r>
            <w:r>
              <w:rPr>
                <w:rFonts w:hint="eastAsia" w:asciiTheme="minorEastAsia" w:hAnsiTheme="minorEastAsia" w:eastAsiaTheme="minorEastAsia" w:cstheme="minorEastAsia"/>
                <w:b/>
                <w:bCs/>
                <w:color w:val="auto"/>
                <w:sz w:val="22"/>
                <w:szCs w:val="22"/>
                <w:highlight w:val="none"/>
                <w:u w:val="thick"/>
              </w:rPr>
              <w:t>购买发票（车辆</w:t>
            </w:r>
            <w:r>
              <w:rPr>
                <w:rFonts w:hint="eastAsia" w:asciiTheme="minorEastAsia" w:hAnsiTheme="minorEastAsia" w:eastAsiaTheme="minorEastAsia" w:cstheme="minorEastAsia"/>
                <w:b/>
                <w:bCs/>
                <w:color w:val="auto"/>
                <w:kern w:val="0"/>
                <w:sz w:val="22"/>
                <w:szCs w:val="22"/>
                <w:highlight w:val="none"/>
                <w:u w:val="thick"/>
              </w:rPr>
              <w:t>隶属于投标单位，个人购买的车辆不予计分</w:t>
            </w:r>
            <w:r>
              <w:rPr>
                <w:rFonts w:hint="eastAsia" w:asciiTheme="minorEastAsia" w:hAnsiTheme="minorEastAsia" w:eastAsiaTheme="minorEastAsia" w:cstheme="minorEastAsia"/>
                <w:b/>
                <w:bCs/>
                <w:color w:val="auto"/>
                <w:sz w:val="22"/>
                <w:szCs w:val="22"/>
                <w:highlight w:val="none"/>
                <w:u w:val="thick"/>
              </w:rPr>
              <w:t>）</w:t>
            </w:r>
            <w:r>
              <w:rPr>
                <w:rFonts w:hint="eastAsia" w:asciiTheme="minorEastAsia" w:hAnsiTheme="minorEastAsia" w:eastAsiaTheme="minorEastAsia" w:cstheme="minorEastAsia"/>
                <w:b/>
                <w:bCs/>
                <w:color w:val="auto"/>
                <w:kern w:val="0"/>
                <w:sz w:val="22"/>
                <w:szCs w:val="22"/>
                <w:highlight w:val="none"/>
                <w:u w:val="thick"/>
              </w:rPr>
              <w:t>或租赁证明（</w:t>
            </w:r>
            <w:r>
              <w:rPr>
                <w:rFonts w:hint="eastAsia" w:asciiTheme="minorEastAsia" w:hAnsiTheme="minorEastAsia" w:eastAsiaTheme="minorEastAsia" w:cstheme="minorEastAsia"/>
                <w:b/>
                <w:bCs/>
                <w:color w:val="auto"/>
                <w:sz w:val="22"/>
                <w:szCs w:val="22"/>
                <w:highlight w:val="none"/>
                <w:u w:val="thick"/>
              </w:rPr>
              <w:t>投标人签订的在有效期内的</w:t>
            </w:r>
            <w:r>
              <w:rPr>
                <w:rFonts w:hint="eastAsia" w:asciiTheme="minorEastAsia" w:hAnsiTheme="minorEastAsia" w:cstheme="minorEastAsia"/>
                <w:b/>
                <w:bCs/>
                <w:color w:val="auto"/>
                <w:sz w:val="22"/>
                <w:szCs w:val="22"/>
                <w:highlight w:val="none"/>
                <w:u w:val="thick"/>
                <w:lang w:eastAsia="zh-CN"/>
              </w:rPr>
              <w:t>租赁</w:t>
            </w:r>
            <w:r>
              <w:rPr>
                <w:rFonts w:hint="eastAsia" w:asciiTheme="minorEastAsia" w:hAnsiTheme="minorEastAsia" w:eastAsiaTheme="minorEastAsia" w:cstheme="minorEastAsia"/>
                <w:b/>
                <w:bCs/>
                <w:color w:val="auto"/>
                <w:sz w:val="22"/>
                <w:szCs w:val="22"/>
                <w:highlight w:val="none"/>
                <w:u w:val="thick"/>
              </w:rPr>
              <w:t>合同，车辆承租单位营业执照</w:t>
            </w:r>
            <w:r>
              <w:rPr>
                <w:rFonts w:hint="eastAsia" w:asciiTheme="minorEastAsia" w:hAnsiTheme="minorEastAsia" w:eastAsiaTheme="minorEastAsia" w:cstheme="minorEastAsia"/>
                <w:b/>
                <w:bCs/>
                <w:color w:val="auto"/>
                <w:kern w:val="0"/>
                <w:sz w:val="22"/>
                <w:szCs w:val="22"/>
                <w:highlight w:val="none"/>
                <w:u w:val="thick"/>
              </w:rPr>
              <w:t>）、</w:t>
            </w:r>
            <w:r>
              <w:rPr>
                <w:rFonts w:hint="eastAsia" w:asciiTheme="minorEastAsia" w:hAnsiTheme="minorEastAsia" w:eastAsiaTheme="minorEastAsia" w:cstheme="minorEastAsia"/>
                <w:b/>
                <w:bCs/>
                <w:color w:val="auto"/>
                <w:sz w:val="22"/>
                <w:szCs w:val="22"/>
                <w:highlight w:val="none"/>
                <w:u w:val="thick"/>
              </w:rPr>
              <w:t>车辆行驶证、车辆正面及内部照片（必须体现车牌号，车牌号须与车辆行驶证一致）等证明材料复印件并加盖公章</w:t>
            </w:r>
            <w:r>
              <w:rPr>
                <w:rFonts w:hint="eastAsia" w:asciiTheme="minorEastAsia" w:hAnsiTheme="minorEastAsia" w:cstheme="minorEastAsia"/>
                <w:b/>
                <w:bCs/>
                <w:color w:val="auto"/>
                <w:sz w:val="22"/>
                <w:szCs w:val="22"/>
                <w:highlight w:val="none"/>
                <w:u w:val="thick"/>
                <w:lang w:eastAsia="zh-CN"/>
              </w:rPr>
              <w:t>，</w:t>
            </w:r>
            <w:r>
              <w:rPr>
                <w:rFonts w:hint="eastAsia" w:asciiTheme="minorEastAsia" w:hAnsiTheme="minorEastAsia" w:cstheme="minorEastAsia"/>
                <w:b/>
                <w:bCs/>
                <w:color w:val="auto"/>
                <w:sz w:val="22"/>
                <w:szCs w:val="22"/>
                <w:highlight w:val="none"/>
                <w:u w:val="thick"/>
                <w:lang w:val="en-US" w:eastAsia="zh-CN"/>
              </w:rPr>
              <w:t>未提供或不符合要求不得分</w:t>
            </w:r>
            <w:r>
              <w:rPr>
                <w:rFonts w:hint="eastAsia" w:asciiTheme="minorEastAsia" w:hAnsiTheme="minorEastAsia" w:eastAsiaTheme="minorEastAsia" w:cstheme="minorEastAsia"/>
                <w:b/>
                <w:bCs/>
                <w:color w:val="auto"/>
                <w:sz w:val="22"/>
                <w:szCs w:val="22"/>
                <w:highlight w:val="none"/>
                <w:u w:val="thick"/>
              </w:rPr>
              <w:t>。</w:t>
            </w:r>
          </w:p>
        </w:tc>
        <w:tc>
          <w:tcPr>
            <w:tcW w:w="467" w:type="pct"/>
            <w:tcBorders>
              <w:top w:val="single" w:color="auto" w:sz="4" w:space="0"/>
              <w:left w:val="single" w:color="auto" w:sz="4" w:space="0"/>
              <w:bottom w:val="single" w:color="auto" w:sz="4" w:space="0"/>
              <w:right w:val="single" w:color="auto" w:sz="4" w:space="0"/>
            </w:tcBorders>
            <w:vAlign w:val="center"/>
          </w:tcPr>
          <w:p w14:paraId="6E1D48C9">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4</w:t>
            </w:r>
          </w:p>
        </w:tc>
      </w:tr>
      <w:tr w14:paraId="5A25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14:paraId="089890F0">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5</w:t>
            </w:r>
          </w:p>
        </w:tc>
        <w:tc>
          <w:tcPr>
            <w:tcW w:w="628" w:type="pct"/>
            <w:tcBorders>
              <w:left w:val="single" w:color="auto" w:sz="4" w:space="0"/>
              <w:right w:val="single" w:color="auto" w:sz="4" w:space="0"/>
            </w:tcBorders>
            <w:vAlign w:val="center"/>
          </w:tcPr>
          <w:p w14:paraId="2FD90F19">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检测报告</w:t>
            </w:r>
          </w:p>
          <w:p w14:paraId="193FF9C4">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cstheme="minorEastAsia"/>
                <w:b/>
                <w:color w:val="auto"/>
                <w:sz w:val="22"/>
                <w:szCs w:val="22"/>
                <w:highlight w:val="none"/>
                <w:lang w:val="en-US" w:eastAsia="zh-CN"/>
              </w:rPr>
              <w:t>6</w:t>
            </w:r>
            <w:r>
              <w:rPr>
                <w:rFonts w:hint="eastAsia" w:asciiTheme="minorEastAsia" w:hAnsiTheme="minorEastAsia" w:eastAsiaTheme="minorEastAsia" w:cstheme="minorEastAsia"/>
                <w:b/>
                <w:color w:val="auto"/>
                <w:sz w:val="22"/>
                <w:szCs w:val="22"/>
                <w:highlight w:val="none"/>
              </w:rPr>
              <w:t>分）</w:t>
            </w:r>
          </w:p>
        </w:tc>
        <w:tc>
          <w:tcPr>
            <w:tcW w:w="3545" w:type="pct"/>
            <w:tcBorders>
              <w:top w:val="single" w:color="auto" w:sz="4" w:space="0"/>
              <w:left w:val="single" w:color="auto" w:sz="4" w:space="0"/>
              <w:bottom w:val="single" w:color="auto" w:sz="4" w:space="0"/>
              <w:right w:val="single" w:color="auto" w:sz="4" w:space="0"/>
            </w:tcBorders>
            <w:vAlign w:val="center"/>
          </w:tcPr>
          <w:p w14:paraId="56DF3990">
            <w:pPr>
              <w:adjustRightInd w:val="0"/>
              <w:snapToGrid w:val="0"/>
              <w:spacing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投标人提供所投</w:t>
            </w:r>
            <w:r>
              <w:rPr>
                <w:rFonts w:hint="eastAsia" w:asciiTheme="minorEastAsia" w:hAnsiTheme="minorEastAsia" w:cstheme="minorEastAsia"/>
                <w:color w:val="auto"/>
                <w:kern w:val="0"/>
                <w:sz w:val="22"/>
                <w:szCs w:val="22"/>
                <w:highlight w:val="none"/>
                <w:lang w:val="en-US" w:eastAsia="zh-CN"/>
              </w:rPr>
              <w:t>标段</w:t>
            </w:r>
            <w:r>
              <w:rPr>
                <w:rFonts w:hint="eastAsia" w:asciiTheme="minorEastAsia" w:hAnsiTheme="minorEastAsia" w:eastAsiaTheme="minorEastAsia" w:cstheme="minorEastAsia"/>
                <w:color w:val="auto"/>
                <w:kern w:val="0"/>
                <w:sz w:val="22"/>
                <w:szCs w:val="22"/>
                <w:highlight w:val="none"/>
              </w:rPr>
              <w:t>产品有第三方检测机构出具的产品检验报告或检测报告或检疫合格证明，</w:t>
            </w:r>
            <w:r>
              <w:rPr>
                <w:rFonts w:hint="eastAsia" w:asciiTheme="minorEastAsia" w:hAnsiTheme="minorEastAsia" w:eastAsiaTheme="minorEastAsia" w:cstheme="minorEastAsia"/>
                <w:color w:val="auto"/>
                <w:sz w:val="22"/>
                <w:szCs w:val="22"/>
                <w:highlight w:val="none"/>
              </w:rPr>
              <w:t>每提供1 份得2分，最多得</w:t>
            </w:r>
            <w:r>
              <w:rPr>
                <w:rFonts w:hint="eastAsia" w:asciiTheme="minorEastAsia" w:hAnsiTheme="minorEastAsia" w:cstheme="minorEastAsia"/>
                <w:color w:val="auto"/>
                <w:sz w:val="22"/>
                <w:szCs w:val="22"/>
                <w:highlight w:val="none"/>
                <w:lang w:val="en-US" w:eastAsia="zh-CN"/>
              </w:rPr>
              <w:t>6</w:t>
            </w:r>
            <w:r>
              <w:rPr>
                <w:rFonts w:hint="eastAsia" w:asciiTheme="minorEastAsia" w:hAnsiTheme="minorEastAsia" w:eastAsiaTheme="minorEastAsia" w:cstheme="minorEastAsia"/>
                <w:color w:val="auto"/>
                <w:sz w:val="22"/>
                <w:szCs w:val="22"/>
                <w:highlight w:val="none"/>
              </w:rPr>
              <w:t>分。（需提供相关证明材料并加盖公章，原件备查</w:t>
            </w:r>
            <w:r>
              <w:rPr>
                <w:rFonts w:hint="eastAsia" w:asciiTheme="minorEastAsia" w:hAnsiTheme="minorEastAsia" w:cstheme="minorEastAsia"/>
                <w:color w:val="auto"/>
                <w:sz w:val="22"/>
                <w:szCs w:val="22"/>
                <w:highlight w:val="none"/>
                <w:lang w:eastAsia="zh-CN"/>
              </w:rPr>
              <w:t>，</w:t>
            </w:r>
            <w:r>
              <w:rPr>
                <w:rFonts w:hint="eastAsia" w:asciiTheme="minorEastAsia" w:hAnsiTheme="minorEastAsia" w:cstheme="minorEastAsia"/>
                <w:color w:val="auto"/>
                <w:sz w:val="22"/>
                <w:szCs w:val="22"/>
                <w:highlight w:val="none"/>
                <w:lang w:val="en-US" w:eastAsia="zh-CN"/>
              </w:rPr>
              <w:t>未提供或不符合要求不得分</w:t>
            </w:r>
            <w:r>
              <w:rPr>
                <w:rFonts w:hint="eastAsia" w:asciiTheme="minorEastAsia" w:hAnsiTheme="minorEastAsia" w:eastAsiaTheme="minorEastAsia" w:cstheme="minorEastAsia"/>
                <w:color w:val="auto"/>
                <w:sz w:val="22"/>
                <w:szCs w:val="22"/>
                <w:highlight w:val="none"/>
              </w:rPr>
              <w:t>）</w:t>
            </w:r>
          </w:p>
        </w:tc>
        <w:tc>
          <w:tcPr>
            <w:tcW w:w="467" w:type="pct"/>
            <w:tcBorders>
              <w:top w:val="single" w:color="auto" w:sz="4" w:space="0"/>
              <w:left w:val="single" w:color="auto" w:sz="4" w:space="0"/>
              <w:bottom w:val="single" w:color="auto" w:sz="4" w:space="0"/>
              <w:right w:val="single" w:color="auto" w:sz="4" w:space="0"/>
            </w:tcBorders>
            <w:vAlign w:val="center"/>
          </w:tcPr>
          <w:p w14:paraId="4F20D1D7">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lang w:eastAsia="zh-CN"/>
              </w:rPr>
            </w:pPr>
            <w:r>
              <w:rPr>
                <w:rFonts w:hint="eastAsia" w:asciiTheme="minorEastAsia" w:hAnsiTheme="minorEastAsia" w:cstheme="minorEastAsia"/>
                <w:b/>
                <w:color w:val="auto"/>
                <w:sz w:val="22"/>
                <w:szCs w:val="22"/>
                <w:highlight w:val="none"/>
                <w:lang w:val="en-US" w:eastAsia="zh-CN"/>
              </w:rPr>
              <w:t>6</w:t>
            </w:r>
          </w:p>
        </w:tc>
      </w:tr>
      <w:tr w14:paraId="39EF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358" w:type="pct"/>
            <w:tcBorders>
              <w:top w:val="single" w:color="auto" w:sz="4" w:space="0"/>
              <w:left w:val="single" w:color="auto" w:sz="4" w:space="0"/>
              <w:right w:val="single" w:color="auto" w:sz="4" w:space="0"/>
            </w:tcBorders>
            <w:vAlign w:val="center"/>
          </w:tcPr>
          <w:p w14:paraId="508EDEF1">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6</w:t>
            </w:r>
          </w:p>
        </w:tc>
        <w:tc>
          <w:tcPr>
            <w:tcW w:w="628" w:type="pct"/>
            <w:tcBorders>
              <w:top w:val="single" w:color="auto" w:sz="4" w:space="0"/>
              <w:left w:val="single" w:color="auto" w:sz="4" w:space="0"/>
              <w:right w:val="single" w:color="auto" w:sz="4" w:space="0"/>
            </w:tcBorders>
            <w:vAlign w:val="center"/>
          </w:tcPr>
          <w:p w14:paraId="2C258CF6">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业绩</w:t>
            </w:r>
          </w:p>
          <w:p w14:paraId="0B23A202">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cstheme="minorEastAsia"/>
                <w:b/>
                <w:color w:val="auto"/>
                <w:sz w:val="22"/>
                <w:szCs w:val="22"/>
                <w:highlight w:val="none"/>
                <w:lang w:val="en-US" w:eastAsia="zh-CN"/>
              </w:rPr>
              <w:t>8</w:t>
            </w:r>
            <w:r>
              <w:rPr>
                <w:rFonts w:hint="eastAsia" w:asciiTheme="minorEastAsia" w:hAnsiTheme="minorEastAsia" w:eastAsiaTheme="minorEastAsia" w:cstheme="minorEastAsia"/>
                <w:b/>
                <w:color w:val="auto"/>
                <w:sz w:val="22"/>
                <w:szCs w:val="22"/>
                <w:highlight w:val="none"/>
              </w:rPr>
              <w:t>分）</w:t>
            </w:r>
          </w:p>
        </w:tc>
        <w:tc>
          <w:tcPr>
            <w:tcW w:w="3545" w:type="pct"/>
            <w:tcBorders>
              <w:top w:val="single" w:color="auto" w:sz="4" w:space="0"/>
              <w:left w:val="single" w:color="auto" w:sz="4" w:space="0"/>
              <w:bottom w:val="single" w:color="auto" w:sz="4" w:space="0"/>
              <w:right w:val="single" w:color="auto" w:sz="4" w:space="0"/>
            </w:tcBorders>
            <w:vAlign w:val="center"/>
          </w:tcPr>
          <w:p w14:paraId="6BB5E964">
            <w:pPr>
              <w:adjustRightInd w:val="0"/>
              <w:snapToGrid w:val="0"/>
              <w:spacing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投标人自202</w:t>
            </w:r>
            <w:r>
              <w:rPr>
                <w:rFonts w:hint="eastAsia" w:asciiTheme="minorEastAsia" w:hAnsi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年1月1日（含）以来，具有学校或类似食堂食材供货项目业绩的，每提供1个业绩得2分，最多得</w:t>
            </w:r>
            <w:r>
              <w:rPr>
                <w:rFonts w:hint="eastAsia" w:asciiTheme="minorEastAsia" w:hAnsi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eastAsiaTheme="minorEastAsia" w:cstheme="minorEastAsia"/>
                <w:b/>
                <w:bCs/>
                <w:color w:val="auto"/>
                <w:sz w:val="22"/>
                <w:szCs w:val="22"/>
                <w:highlight w:val="none"/>
                <w:u w:val="thick"/>
              </w:rPr>
              <w:t>（需提供合同或中标通知书</w:t>
            </w:r>
            <w:r>
              <w:rPr>
                <w:rFonts w:hint="eastAsia" w:asciiTheme="minorEastAsia" w:hAnsiTheme="minorEastAsia" w:cstheme="minorEastAsia"/>
                <w:b/>
                <w:bCs/>
                <w:color w:val="auto"/>
                <w:sz w:val="22"/>
                <w:szCs w:val="22"/>
                <w:highlight w:val="none"/>
                <w:u w:val="thick"/>
                <w:lang w:val="en-US" w:eastAsia="zh-CN"/>
              </w:rPr>
              <w:t>复印件加盖公章</w:t>
            </w:r>
            <w:r>
              <w:rPr>
                <w:rFonts w:hint="eastAsia" w:asciiTheme="minorEastAsia" w:hAnsiTheme="minorEastAsia" w:eastAsiaTheme="minorEastAsia" w:cstheme="minorEastAsia"/>
                <w:b/>
                <w:bCs/>
                <w:color w:val="auto"/>
                <w:sz w:val="22"/>
                <w:szCs w:val="22"/>
                <w:highlight w:val="none"/>
                <w:u w:val="thick"/>
              </w:rPr>
              <w:t>，未提供证明材料</w:t>
            </w:r>
            <w:r>
              <w:rPr>
                <w:rFonts w:hint="eastAsia" w:asciiTheme="minorEastAsia" w:hAnsiTheme="minorEastAsia" w:cstheme="minorEastAsia"/>
                <w:b/>
                <w:bCs/>
                <w:color w:val="auto"/>
                <w:sz w:val="22"/>
                <w:szCs w:val="22"/>
                <w:highlight w:val="none"/>
                <w:u w:val="thick"/>
                <w:lang w:val="en-US" w:eastAsia="zh-CN"/>
              </w:rPr>
              <w:t>或不符合要求</w:t>
            </w:r>
            <w:r>
              <w:rPr>
                <w:rFonts w:hint="eastAsia" w:asciiTheme="minorEastAsia" w:hAnsiTheme="minorEastAsia" w:eastAsiaTheme="minorEastAsia" w:cstheme="minorEastAsia"/>
                <w:b/>
                <w:bCs/>
                <w:color w:val="auto"/>
                <w:sz w:val="22"/>
                <w:szCs w:val="22"/>
                <w:highlight w:val="none"/>
                <w:u w:val="thick"/>
              </w:rPr>
              <w:t>不得分，原件备查）</w:t>
            </w:r>
          </w:p>
        </w:tc>
        <w:tc>
          <w:tcPr>
            <w:tcW w:w="467" w:type="pct"/>
            <w:tcBorders>
              <w:top w:val="single" w:color="auto" w:sz="4" w:space="0"/>
              <w:left w:val="single" w:color="auto" w:sz="4" w:space="0"/>
              <w:right w:val="single" w:color="auto" w:sz="4" w:space="0"/>
            </w:tcBorders>
            <w:vAlign w:val="center"/>
          </w:tcPr>
          <w:p w14:paraId="53029CCF">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lang w:eastAsia="zh-CN"/>
              </w:rPr>
            </w:pPr>
            <w:r>
              <w:rPr>
                <w:rFonts w:hint="eastAsia" w:asciiTheme="minorEastAsia" w:hAnsiTheme="minorEastAsia" w:cstheme="minorEastAsia"/>
                <w:b/>
                <w:color w:val="auto"/>
                <w:sz w:val="22"/>
                <w:szCs w:val="22"/>
                <w:highlight w:val="none"/>
                <w:lang w:val="en-US" w:eastAsia="zh-CN"/>
              </w:rPr>
              <w:t>8</w:t>
            </w:r>
          </w:p>
        </w:tc>
      </w:tr>
      <w:tr w14:paraId="450A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jc w:val="center"/>
        </w:trPr>
        <w:tc>
          <w:tcPr>
            <w:tcW w:w="358" w:type="pct"/>
            <w:tcBorders>
              <w:top w:val="single" w:color="auto" w:sz="4" w:space="0"/>
              <w:left w:val="single" w:color="auto" w:sz="4" w:space="0"/>
              <w:right w:val="single" w:color="auto" w:sz="4" w:space="0"/>
            </w:tcBorders>
            <w:vAlign w:val="center"/>
          </w:tcPr>
          <w:p w14:paraId="0EEFFF27">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cstheme="minorEastAsia"/>
                <w:b/>
                <w:color w:val="auto"/>
                <w:sz w:val="22"/>
                <w:szCs w:val="22"/>
                <w:highlight w:val="none"/>
                <w:lang w:val="en-US" w:eastAsia="zh-CN"/>
              </w:rPr>
              <w:t>7</w:t>
            </w:r>
          </w:p>
        </w:tc>
        <w:tc>
          <w:tcPr>
            <w:tcW w:w="628" w:type="pct"/>
            <w:tcBorders>
              <w:top w:val="single" w:color="auto" w:sz="4" w:space="0"/>
              <w:left w:val="single" w:color="auto" w:sz="4" w:space="0"/>
              <w:right w:val="single" w:color="auto" w:sz="4" w:space="0"/>
            </w:tcBorders>
            <w:vAlign w:val="center"/>
          </w:tcPr>
          <w:p w14:paraId="74262200">
            <w:pPr>
              <w:adjustRightInd w:val="0"/>
              <w:snapToGrid w:val="0"/>
              <w:spacing w:line="240" w:lineRule="auto"/>
              <w:jc w:val="center"/>
              <w:rPr>
                <w:rFonts w:hint="eastAsia" w:asciiTheme="minorEastAsia" w:hAnsiTheme="minorEastAsia" w:cstheme="minorEastAsia"/>
                <w:b/>
                <w:color w:val="auto"/>
                <w:sz w:val="22"/>
                <w:szCs w:val="22"/>
                <w:highlight w:val="none"/>
                <w:lang w:val="en-US" w:eastAsia="zh-CN"/>
              </w:rPr>
            </w:pPr>
            <w:r>
              <w:rPr>
                <w:rFonts w:hint="eastAsia" w:asciiTheme="minorEastAsia" w:hAnsiTheme="minorEastAsia" w:cstheme="minorEastAsia"/>
                <w:b/>
                <w:color w:val="auto"/>
                <w:sz w:val="22"/>
                <w:szCs w:val="22"/>
                <w:highlight w:val="none"/>
                <w:lang w:val="en-US" w:eastAsia="zh-CN"/>
              </w:rPr>
              <w:t>满意度评价</w:t>
            </w:r>
          </w:p>
          <w:p w14:paraId="4748AB5D">
            <w:pPr>
              <w:adjustRightInd w:val="0"/>
              <w:snapToGrid w:val="0"/>
              <w:spacing w:line="240" w:lineRule="auto"/>
              <w:jc w:val="center"/>
              <w:rPr>
                <w:rFonts w:hint="default"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cstheme="minorEastAsia"/>
                <w:b/>
                <w:color w:val="auto"/>
                <w:sz w:val="22"/>
                <w:szCs w:val="22"/>
                <w:highlight w:val="none"/>
                <w:lang w:val="en-US" w:eastAsia="zh-CN"/>
              </w:rPr>
              <w:t>（5分）</w:t>
            </w:r>
          </w:p>
        </w:tc>
        <w:tc>
          <w:tcPr>
            <w:tcW w:w="3545" w:type="pct"/>
            <w:tcBorders>
              <w:top w:val="single" w:color="auto" w:sz="4" w:space="0"/>
              <w:left w:val="single" w:color="auto" w:sz="4" w:space="0"/>
              <w:bottom w:val="single" w:color="auto" w:sz="4" w:space="0"/>
              <w:right w:val="single" w:color="auto" w:sz="4" w:space="0"/>
            </w:tcBorders>
            <w:vAlign w:val="center"/>
          </w:tcPr>
          <w:p w14:paraId="58757153">
            <w:pPr>
              <w:adjustRightInd w:val="0"/>
              <w:snapToGrid w:val="0"/>
              <w:spacing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cstheme="minorEastAsia"/>
                <w:color w:val="auto"/>
                <w:sz w:val="22"/>
                <w:szCs w:val="22"/>
                <w:highlight w:val="none"/>
                <w:lang w:val="en-US" w:eastAsia="zh-CN"/>
              </w:rPr>
              <w:t>投标人自2022</w:t>
            </w:r>
            <w:r>
              <w:rPr>
                <w:rFonts w:hint="eastAsia" w:asciiTheme="minorEastAsia" w:hAnsiTheme="minorEastAsia" w:eastAsiaTheme="minorEastAsia" w:cstheme="minorEastAsia"/>
                <w:color w:val="auto"/>
                <w:sz w:val="22"/>
                <w:szCs w:val="22"/>
                <w:highlight w:val="none"/>
              </w:rPr>
              <w:t>年1月 1（含）以来，</w:t>
            </w:r>
            <w:r>
              <w:rPr>
                <w:rFonts w:hint="eastAsia" w:asciiTheme="minorEastAsia" w:hAnsiTheme="minorEastAsia" w:cstheme="minorEastAsia"/>
                <w:color w:val="auto"/>
                <w:sz w:val="22"/>
                <w:szCs w:val="22"/>
                <w:highlight w:val="none"/>
                <w:lang w:val="en-US" w:eastAsia="zh-CN"/>
              </w:rPr>
              <w:t>具有</w:t>
            </w:r>
            <w:r>
              <w:rPr>
                <w:rFonts w:hint="eastAsia" w:asciiTheme="minorEastAsia" w:hAnsiTheme="minorEastAsia" w:eastAsiaTheme="minorEastAsia" w:cstheme="minorEastAsia"/>
                <w:color w:val="auto"/>
                <w:sz w:val="22"/>
                <w:szCs w:val="22"/>
                <w:highlight w:val="none"/>
              </w:rPr>
              <w:t>类似学校或类似食堂食材供货项目被服务单位证明合同履行优秀或满意的评价</w:t>
            </w:r>
            <w:r>
              <w:rPr>
                <w:rFonts w:hint="eastAsia" w:asciiTheme="minorEastAsia" w:hAnsiTheme="minorEastAsia" w:cstheme="minorEastAsia"/>
                <w:color w:val="auto"/>
                <w:sz w:val="22"/>
                <w:szCs w:val="22"/>
                <w:highlight w:val="none"/>
                <w:lang w:val="en-US" w:eastAsia="zh-CN"/>
              </w:rPr>
              <w:t>证明材料</w:t>
            </w:r>
            <w:r>
              <w:rPr>
                <w:rFonts w:hint="eastAsia" w:asciiTheme="minorEastAsia" w:hAnsiTheme="minorEastAsia" w:eastAsiaTheme="minorEastAsia" w:cstheme="minorEastAsia"/>
                <w:color w:val="auto"/>
                <w:sz w:val="22"/>
                <w:szCs w:val="22"/>
                <w:highlight w:val="none"/>
              </w:rPr>
              <w:t>的，每提供1份得</w:t>
            </w:r>
            <w:r>
              <w:rPr>
                <w:rFonts w:hint="eastAsia" w:asciiTheme="minorEastAsia" w:hAnsiTheme="minorEastAsia" w:cstheme="minorEastAsia"/>
                <w:color w:val="auto"/>
                <w:sz w:val="22"/>
                <w:szCs w:val="22"/>
                <w:highlight w:val="none"/>
                <w:lang w:val="en-US" w:eastAsia="zh-CN"/>
              </w:rPr>
              <w:t>2.5</w:t>
            </w:r>
            <w:r>
              <w:rPr>
                <w:rFonts w:hint="eastAsia" w:asciiTheme="minorEastAsia" w:hAnsiTheme="minorEastAsia" w:eastAsiaTheme="minorEastAsia" w:cstheme="minorEastAsia"/>
                <w:color w:val="auto"/>
                <w:sz w:val="22"/>
                <w:szCs w:val="22"/>
                <w:highlight w:val="none"/>
              </w:rPr>
              <w:t>分，最高得</w:t>
            </w:r>
            <w:r>
              <w:rPr>
                <w:rFonts w:hint="eastAsia" w:asciiTheme="minorEastAsia" w:hAnsi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eastAsiaTheme="minorEastAsia" w:cstheme="minorEastAsia"/>
                <w:b/>
                <w:bCs/>
                <w:color w:val="auto"/>
                <w:sz w:val="22"/>
                <w:szCs w:val="22"/>
                <w:highlight w:val="none"/>
              </w:rPr>
              <w:t>（提供</w:t>
            </w:r>
            <w:r>
              <w:rPr>
                <w:rFonts w:hint="eastAsia" w:asciiTheme="minorEastAsia" w:hAnsiTheme="minorEastAsia" w:cstheme="minorEastAsia"/>
                <w:b/>
                <w:bCs/>
                <w:color w:val="auto"/>
                <w:sz w:val="22"/>
                <w:szCs w:val="22"/>
                <w:highlight w:val="none"/>
                <w:lang w:val="en-US" w:eastAsia="zh-CN"/>
              </w:rPr>
              <w:t>加盖</w:t>
            </w:r>
            <w:r>
              <w:rPr>
                <w:rFonts w:hint="eastAsia" w:asciiTheme="minorEastAsia" w:hAnsiTheme="minorEastAsia" w:eastAsiaTheme="minorEastAsia" w:cstheme="minorEastAsia"/>
                <w:b/>
                <w:bCs/>
                <w:color w:val="auto"/>
                <w:sz w:val="22"/>
                <w:szCs w:val="22"/>
                <w:highlight w:val="none"/>
              </w:rPr>
              <w:t>被服务单位</w:t>
            </w:r>
            <w:r>
              <w:rPr>
                <w:rFonts w:hint="eastAsia" w:asciiTheme="minorEastAsia" w:hAnsiTheme="minorEastAsia" w:cstheme="minorEastAsia"/>
                <w:b/>
                <w:bCs/>
                <w:color w:val="auto"/>
                <w:sz w:val="22"/>
                <w:szCs w:val="22"/>
                <w:highlight w:val="none"/>
                <w:lang w:val="en-US" w:eastAsia="zh-CN"/>
              </w:rPr>
              <w:t>公章的</w:t>
            </w:r>
            <w:r>
              <w:rPr>
                <w:rFonts w:hint="eastAsia" w:asciiTheme="minorEastAsia" w:hAnsiTheme="minorEastAsia" w:eastAsiaTheme="minorEastAsia" w:cstheme="minorEastAsia"/>
                <w:b/>
                <w:bCs/>
                <w:color w:val="auto"/>
                <w:sz w:val="22"/>
                <w:szCs w:val="22"/>
                <w:highlight w:val="none"/>
              </w:rPr>
              <w:t>评价</w:t>
            </w:r>
            <w:r>
              <w:rPr>
                <w:rFonts w:hint="eastAsia" w:asciiTheme="minorEastAsia" w:hAnsiTheme="minorEastAsia" w:cstheme="minorEastAsia"/>
                <w:b/>
                <w:bCs/>
                <w:color w:val="auto"/>
                <w:sz w:val="22"/>
                <w:szCs w:val="22"/>
                <w:highlight w:val="none"/>
                <w:lang w:val="en-US" w:eastAsia="zh-CN"/>
              </w:rPr>
              <w:t>证明材料</w:t>
            </w:r>
            <w:r>
              <w:rPr>
                <w:rFonts w:hint="eastAsia" w:asciiTheme="minorEastAsia" w:hAnsiTheme="minorEastAsia" w:eastAsiaTheme="minorEastAsia" w:cstheme="minorEastAsia"/>
                <w:b/>
                <w:bCs/>
                <w:color w:val="auto"/>
                <w:sz w:val="22"/>
                <w:szCs w:val="22"/>
                <w:highlight w:val="none"/>
                <w:u w:val="thick"/>
              </w:rPr>
              <w:t>，未提供证明材料</w:t>
            </w:r>
            <w:r>
              <w:rPr>
                <w:rFonts w:hint="eastAsia" w:asciiTheme="minorEastAsia" w:hAnsiTheme="minorEastAsia" w:cstheme="minorEastAsia"/>
                <w:b/>
                <w:bCs/>
                <w:color w:val="auto"/>
                <w:sz w:val="22"/>
                <w:szCs w:val="22"/>
                <w:highlight w:val="none"/>
                <w:u w:val="thick"/>
                <w:lang w:val="en-US" w:eastAsia="zh-CN"/>
              </w:rPr>
              <w:t>或不符合要求</w:t>
            </w:r>
            <w:r>
              <w:rPr>
                <w:rFonts w:hint="eastAsia" w:asciiTheme="minorEastAsia" w:hAnsiTheme="minorEastAsia" w:eastAsiaTheme="minorEastAsia" w:cstheme="minorEastAsia"/>
                <w:b/>
                <w:bCs/>
                <w:color w:val="auto"/>
                <w:sz w:val="22"/>
                <w:szCs w:val="22"/>
                <w:highlight w:val="none"/>
                <w:u w:val="thick"/>
              </w:rPr>
              <w:t>不得分，原件备查</w:t>
            </w:r>
            <w:r>
              <w:rPr>
                <w:rFonts w:hint="eastAsia" w:asciiTheme="minorEastAsia" w:hAnsiTheme="minorEastAsia" w:eastAsiaTheme="minorEastAsia" w:cstheme="minorEastAsia"/>
                <w:color w:val="auto"/>
                <w:sz w:val="22"/>
                <w:szCs w:val="22"/>
                <w:highlight w:val="none"/>
              </w:rPr>
              <w:t>）。</w:t>
            </w:r>
          </w:p>
        </w:tc>
        <w:tc>
          <w:tcPr>
            <w:tcW w:w="467" w:type="pct"/>
            <w:tcBorders>
              <w:top w:val="single" w:color="auto" w:sz="4" w:space="0"/>
              <w:left w:val="single" w:color="auto" w:sz="4" w:space="0"/>
              <w:right w:val="single" w:color="auto" w:sz="4" w:space="0"/>
            </w:tcBorders>
            <w:vAlign w:val="center"/>
          </w:tcPr>
          <w:p w14:paraId="285DEAC5">
            <w:pPr>
              <w:adjustRightInd w:val="0"/>
              <w:snapToGrid w:val="0"/>
              <w:spacing w:line="240" w:lineRule="auto"/>
              <w:jc w:val="center"/>
              <w:rPr>
                <w:rFonts w:hint="default" w:asciiTheme="minorEastAsia" w:hAnsiTheme="minorEastAsia" w:cstheme="minorEastAsia"/>
                <w:b/>
                <w:color w:val="auto"/>
                <w:sz w:val="22"/>
                <w:szCs w:val="22"/>
                <w:highlight w:val="none"/>
                <w:lang w:val="en-US" w:eastAsia="zh-CN"/>
              </w:rPr>
            </w:pPr>
            <w:r>
              <w:rPr>
                <w:rFonts w:hint="eastAsia" w:asciiTheme="minorEastAsia" w:hAnsiTheme="minorEastAsia" w:cstheme="minorEastAsia"/>
                <w:b/>
                <w:color w:val="auto"/>
                <w:sz w:val="22"/>
                <w:szCs w:val="22"/>
                <w:highlight w:val="none"/>
                <w:lang w:val="en-US" w:eastAsia="zh-CN"/>
              </w:rPr>
              <w:t>5</w:t>
            </w:r>
          </w:p>
        </w:tc>
      </w:tr>
      <w:tr w14:paraId="47D2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8" w:type="pct"/>
            <w:tcBorders>
              <w:top w:val="single" w:color="auto" w:sz="4" w:space="0"/>
              <w:left w:val="single" w:color="auto" w:sz="4" w:space="0"/>
              <w:right w:val="single" w:color="auto" w:sz="4" w:space="0"/>
            </w:tcBorders>
            <w:vAlign w:val="center"/>
          </w:tcPr>
          <w:p w14:paraId="50A37EA5">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8</w:t>
            </w:r>
          </w:p>
        </w:tc>
        <w:tc>
          <w:tcPr>
            <w:tcW w:w="628" w:type="pct"/>
            <w:tcBorders>
              <w:top w:val="single" w:color="auto" w:sz="4" w:space="0"/>
              <w:left w:val="single" w:color="auto" w:sz="4" w:space="0"/>
              <w:right w:val="single" w:color="auto" w:sz="4" w:space="0"/>
            </w:tcBorders>
            <w:vAlign w:val="center"/>
          </w:tcPr>
          <w:p w14:paraId="6176B81F">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合计</w:t>
            </w:r>
          </w:p>
        </w:tc>
        <w:tc>
          <w:tcPr>
            <w:tcW w:w="3545" w:type="pct"/>
            <w:tcBorders>
              <w:top w:val="single" w:color="auto" w:sz="4" w:space="0"/>
              <w:left w:val="single" w:color="auto" w:sz="4" w:space="0"/>
              <w:bottom w:val="single" w:color="auto" w:sz="4" w:space="0"/>
              <w:right w:val="single" w:color="auto" w:sz="4" w:space="0"/>
            </w:tcBorders>
            <w:vAlign w:val="center"/>
          </w:tcPr>
          <w:p w14:paraId="7C883304">
            <w:pPr>
              <w:adjustRightInd w:val="0"/>
              <w:snapToGrid w:val="0"/>
              <w:spacing w:line="240" w:lineRule="auto"/>
              <w:rPr>
                <w:rFonts w:hint="eastAsia" w:asciiTheme="minorEastAsia" w:hAnsiTheme="minorEastAsia" w:eastAsiaTheme="minorEastAsia" w:cstheme="minorEastAsia"/>
                <w:color w:val="auto"/>
                <w:sz w:val="22"/>
                <w:szCs w:val="22"/>
                <w:highlight w:val="none"/>
              </w:rPr>
            </w:pPr>
          </w:p>
        </w:tc>
        <w:tc>
          <w:tcPr>
            <w:tcW w:w="467" w:type="pct"/>
            <w:tcBorders>
              <w:top w:val="single" w:color="auto" w:sz="4" w:space="0"/>
              <w:left w:val="single" w:color="auto" w:sz="4" w:space="0"/>
              <w:bottom w:val="single" w:color="auto" w:sz="4" w:space="0"/>
              <w:right w:val="single" w:color="auto" w:sz="4" w:space="0"/>
            </w:tcBorders>
            <w:vAlign w:val="center"/>
          </w:tcPr>
          <w:p w14:paraId="22091A6C">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100</w:t>
            </w:r>
          </w:p>
        </w:tc>
      </w:tr>
    </w:tbl>
    <w:p w14:paraId="0F6ADDF4">
      <w:pPr>
        <w:autoSpaceDE w:val="0"/>
        <w:autoSpaceDN w:val="0"/>
        <w:adjustRightInd w:val="0"/>
        <w:spacing w:line="440" w:lineRule="exact"/>
        <w:ind w:firstLine="482" w:firstLineChars="200"/>
        <w:jc w:val="left"/>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说明：</w:t>
      </w:r>
    </w:p>
    <w:p w14:paraId="5ED5F202">
      <w:pPr>
        <w:autoSpaceDE w:val="0"/>
        <w:autoSpaceDN w:val="0"/>
        <w:adjustRightInd w:val="0"/>
        <w:spacing w:line="440" w:lineRule="exact"/>
        <w:ind w:firstLine="482" w:firstLineChars="200"/>
        <w:jc w:val="left"/>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1.投标人必须在投标文件中逐条响应上述评标办法细则并提供有效证明材料并列明索引，否则将可能导致不得分。</w:t>
      </w:r>
    </w:p>
    <w:p w14:paraId="36B992E3">
      <w:pPr>
        <w:autoSpaceDE w:val="0"/>
        <w:autoSpaceDN w:val="0"/>
        <w:adjustRightInd w:val="0"/>
        <w:spacing w:line="440" w:lineRule="exact"/>
        <w:ind w:firstLine="480" w:firstLineChars="200"/>
        <w:jc w:val="left"/>
        <w:rPr>
          <w:rFonts w:hint="eastAsia" w:asciiTheme="minorEastAsia" w:hAnsiTheme="minorEastAsia" w:cstheme="minorEastAsia"/>
          <w:b w:val="0"/>
          <w:bCs w:val="0"/>
          <w:color w:val="auto"/>
          <w:sz w:val="24"/>
          <w:szCs w:val="24"/>
          <w:highlight w:val="none"/>
          <w:lang w:val="en-US" w:eastAsia="zh-CN"/>
        </w:rPr>
      </w:pPr>
    </w:p>
    <w:p w14:paraId="003F4BE3">
      <w:pPr>
        <w:pStyle w:val="16"/>
        <w:rPr>
          <w:rFonts w:hint="eastAsia" w:asciiTheme="minorEastAsia" w:hAnsiTheme="minorEastAsia" w:cstheme="minorEastAsia"/>
          <w:b w:val="0"/>
          <w:bCs w:val="0"/>
          <w:color w:val="auto"/>
          <w:sz w:val="24"/>
          <w:szCs w:val="24"/>
          <w:highlight w:val="none"/>
          <w:lang w:val="en-US" w:eastAsia="zh-CN"/>
        </w:rPr>
      </w:pPr>
    </w:p>
    <w:p w14:paraId="0C342D60">
      <w:pPr>
        <w:rPr>
          <w:rFonts w:hint="eastAsia" w:asciiTheme="minorEastAsia" w:hAnsiTheme="minorEastAsia" w:cstheme="minorEastAsia"/>
          <w:b w:val="0"/>
          <w:bCs w:val="0"/>
          <w:color w:val="auto"/>
          <w:sz w:val="24"/>
          <w:szCs w:val="24"/>
          <w:highlight w:val="none"/>
          <w:lang w:val="en-US" w:eastAsia="zh-CN"/>
        </w:rPr>
      </w:pPr>
    </w:p>
    <w:p w14:paraId="0480A467">
      <w:pPr>
        <w:pStyle w:val="16"/>
        <w:rPr>
          <w:rFonts w:hint="eastAsia" w:asciiTheme="minorEastAsia" w:hAnsiTheme="minorEastAsia" w:cstheme="minorEastAsia"/>
          <w:b w:val="0"/>
          <w:bCs w:val="0"/>
          <w:color w:val="auto"/>
          <w:sz w:val="24"/>
          <w:szCs w:val="24"/>
          <w:highlight w:val="none"/>
          <w:lang w:val="en-US" w:eastAsia="zh-CN"/>
        </w:rPr>
      </w:pPr>
    </w:p>
    <w:p w14:paraId="51B3B57C">
      <w:pPr>
        <w:rPr>
          <w:rFonts w:hint="eastAsia" w:asciiTheme="minorEastAsia" w:hAnsiTheme="minorEastAsia" w:cstheme="minorEastAsia"/>
          <w:b w:val="0"/>
          <w:bCs w:val="0"/>
          <w:color w:val="auto"/>
          <w:sz w:val="24"/>
          <w:szCs w:val="24"/>
          <w:highlight w:val="none"/>
          <w:lang w:val="en-US" w:eastAsia="zh-CN"/>
        </w:rPr>
      </w:pPr>
    </w:p>
    <w:p w14:paraId="142E3CB1">
      <w:pPr>
        <w:pStyle w:val="16"/>
        <w:rPr>
          <w:rFonts w:hint="eastAsia" w:asciiTheme="minorEastAsia" w:hAnsiTheme="minorEastAsia" w:cstheme="minorEastAsia"/>
          <w:b w:val="0"/>
          <w:bCs w:val="0"/>
          <w:color w:val="auto"/>
          <w:sz w:val="24"/>
          <w:szCs w:val="24"/>
          <w:highlight w:val="none"/>
          <w:lang w:val="en-US" w:eastAsia="zh-CN"/>
        </w:rPr>
      </w:pPr>
    </w:p>
    <w:p w14:paraId="076B077E">
      <w:pPr>
        <w:rPr>
          <w:rFonts w:hint="eastAsia" w:asciiTheme="minorEastAsia" w:hAnsiTheme="minorEastAsia" w:cstheme="minorEastAsia"/>
          <w:b w:val="0"/>
          <w:bCs w:val="0"/>
          <w:color w:val="auto"/>
          <w:sz w:val="24"/>
          <w:szCs w:val="24"/>
          <w:highlight w:val="none"/>
          <w:lang w:val="en-US" w:eastAsia="zh-CN"/>
        </w:rPr>
      </w:pPr>
    </w:p>
    <w:p w14:paraId="33304AEC">
      <w:pPr>
        <w:pStyle w:val="16"/>
        <w:rPr>
          <w:rFonts w:hint="eastAsia"/>
          <w:color w:val="auto"/>
          <w:highlight w:val="none"/>
          <w:lang w:val="en-US" w:eastAsia="zh-CN"/>
        </w:rPr>
      </w:pPr>
    </w:p>
    <w:p w14:paraId="6D52F8E4">
      <w:pPr>
        <w:autoSpaceDE w:val="0"/>
        <w:autoSpaceDN w:val="0"/>
        <w:adjustRightInd w:val="0"/>
        <w:spacing w:line="440" w:lineRule="exact"/>
        <w:ind w:firstLine="482" w:firstLineChars="200"/>
        <w:jc w:val="left"/>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标段二：蔬菜、豆制品、水果类</w:t>
      </w:r>
    </w:p>
    <w:tbl>
      <w:tblPr>
        <w:tblStyle w:val="43"/>
        <w:tblW w:w="51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251"/>
        <w:gridCol w:w="7232"/>
        <w:gridCol w:w="761"/>
      </w:tblGrid>
      <w:tr w14:paraId="01F6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358" w:type="pct"/>
            <w:tcBorders>
              <w:top w:val="single" w:color="auto" w:sz="4" w:space="0"/>
              <w:left w:val="single" w:color="auto" w:sz="4" w:space="0"/>
              <w:bottom w:val="single" w:color="auto" w:sz="4" w:space="0"/>
              <w:right w:val="single" w:color="auto" w:sz="4" w:space="0"/>
            </w:tcBorders>
            <w:vAlign w:val="center"/>
          </w:tcPr>
          <w:p w14:paraId="2234D203">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628" w:type="pct"/>
            <w:tcBorders>
              <w:top w:val="single" w:color="auto" w:sz="4" w:space="0"/>
              <w:left w:val="single" w:color="auto" w:sz="4" w:space="0"/>
              <w:bottom w:val="single" w:color="auto" w:sz="4" w:space="0"/>
              <w:right w:val="single" w:color="auto" w:sz="4" w:space="0"/>
            </w:tcBorders>
            <w:vAlign w:val="center"/>
          </w:tcPr>
          <w:p w14:paraId="1F1D2C7D">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评分因素</w:t>
            </w:r>
          </w:p>
        </w:tc>
        <w:tc>
          <w:tcPr>
            <w:tcW w:w="3631" w:type="pct"/>
            <w:tcBorders>
              <w:top w:val="single" w:color="auto" w:sz="4" w:space="0"/>
              <w:left w:val="single" w:color="auto" w:sz="4" w:space="0"/>
              <w:bottom w:val="single" w:color="auto" w:sz="4" w:space="0"/>
              <w:right w:val="single" w:color="auto" w:sz="4" w:space="0"/>
            </w:tcBorders>
            <w:vAlign w:val="center"/>
          </w:tcPr>
          <w:p w14:paraId="067EE923">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c>
          <w:tcPr>
            <w:tcW w:w="382" w:type="pct"/>
            <w:tcBorders>
              <w:top w:val="single" w:color="auto" w:sz="4" w:space="0"/>
              <w:left w:val="single" w:color="auto" w:sz="4" w:space="0"/>
              <w:bottom w:val="single" w:color="auto" w:sz="4" w:space="0"/>
              <w:right w:val="single" w:color="auto" w:sz="4" w:space="0"/>
            </w:tcBorders>
            <w:vAlign w:val="center"/>
          </w:tcPr>
          <w:p w14:paraId="42E8DC31">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r>
      <w:tr w14:paraId="4C77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358" w:type="pct"/>
            <w:tcBorders>
              <w:top w:val="single" w:color="auto" w:sz="4" w:space="0"/>
              <w:left w:val="single" w:color="auto" w:sz="4" w:space="0"/>
              <w:bottom w:val="single" w:color="auto" w:sz="4" w:space="0"/>
              <w:right w:val="single" w:color="auto" w:sz="4" w:space="0"/>
            </w:tcBorders>
            <w:vAlign w:val="center"/>
          </w:tcPr>
          <w:p w14:paraId="110820F0">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628" w:type="pct"/>
            <w:tcBorders>
              <w:top w:val="single" w:color="auto" w:sz="4" w:space="0"/>
              <w:left w:val="single" w:color="auto" w:sz="4" w:space="0"/>
              <w:right w:val="single" w:color="auto" w:sz="4" w:space="0"/>
            </w:tcBorders>
            <w:vAlign w:val="center"/>
          </w:tcPr>
          <w:p w14:paraId="6AEAEBE2">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价格</w:t>
            </w:r>
          </w:p>
          <w:p w14:paraId="1DBB6E00">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30</w:t>
            </w:r>
            <w:r>
              <w:rPr>
                <w:rFonts w:hint="eastAsia" w:ascii="宋体" w:hAnsi="宋体" w:eastAsia="宋体" w:cs="宋体"/>
                <w:b/>
                <w:color w:val="auto"/>
                <w:sz w:val="22"/>
                <w:szCs w:val="22"/>
                <w:highlight w:val="none"/>
              </w:rPr>
              <w:t>分）</w:t>
            </w:r>
          </w:p>
        </w:tc>
        <w:tc>
          <w:tcPr>
            <w:tcW w:w="3631" w:type="pct"/>
            <w:tcBorders>
              <w:top w:val="single" w:color="auto" w:sz="4" w:space="0"/>
              <w:left w:val="single" w:color="auto" w:sz="4" w:space="0"/>
              <w:bottom w:val="single" w:color="auto" w:sz="4" w:space="0"/>
              <w:right w:val="single" w:color="auto" w:sz="4" w:space="0"/>
            </w:tcBorders>
            <w:vAlign w:val="center"/>
          </w:tcPr>
          <w:p w14:paraId="567A1BE9">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采用低价优先法计算，即满足招标文件要求且</w:t>
            </w:r>
            <w:r>
              <w:rPr>
                <w:rFonts w:hint="eastAsia" w:ascii="宋体" w:hAnsi="宋体" w:eastAsia="宋体" w:cs="宋体"/>
                <w:b/>
                <w:bCs/>
                <w:color w:val="auto"/>
                <w:sz w:val="22"/>
                <w:szCs w:val="22"/>
                <w:highlight w:val="none"/>
                <w:lang w:val="en-US" w:eastAsia="zh-CN"/>
              </w:rPr>
              <w:t>投标折扣</w:t>
            </w:r>
            <w:r>
              <w:rPr>
                <w:rFonts w:hint="eastAsia" w:ascii="宋体" w:hAnsi="宋体" w:eastAsia="宋体" w:cs="宋体"/>
                <w:color w:val="auto"/>
                <w:sz w:val="22"/>
                <w:szCs w:val="22"/>
                <w:highlight w:val="none"/>
              </w:rPr>
              <w:t>最低的投标报价为评标基准价，其价格分为满分。本项目其他投标人的价格分统一按照下列公式计算：投标报价得分=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评标基准价/投标折扣</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（小数点保留两位）。</w:t>
            </w:r>
          </w:p>
        </w:tc>
        <w:tc>
          <w:tcPr>
            <w:tcW w:w="382" w:type="pct"/>
            <w:tcBorders>
              <w:top w:val="single" w:color="auto" w:sz="4" w:space="0"/>
              <w:left w:val="single" w:color="auto" w:sz="4" w:space="0"/>
              <w:bottom w:val="single" w:color="auto" w:sz="4" w:space="0"/>
              <w:right w:val="single" w:color="auto" w:sz="4" w:space="0"/>
            </w:tcBorders>
            <w:vAlign w:val="center"/>
          </w:tcPr>
          <w:p w14:paraId="16E41BE9">
            <w:pPr>
              <w:adjustRightInd w:val="0"/>
              <w:snapToGrid w:val="0"/>
              <w:spacing w:line="240" w:lineRule="auto"/>
              <w:jc w:val="center"/>
              <w:rPr>
                <w:rFonts w:hint="default"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eastAsia="zh-CN"/>
              </w:rPr>
              <w:t>30</w:t>
            </w:r>
          </w:p>
        </w:tc>
      </w:tr>
      <w:tr w14:paraId="4BB2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358" w:type="pct"/>
            <w:tcBorders>
              <w:top w:val="single" w:color="auto" w:sz="4" w:space="0"/>
              <w:left w:val="single" w:color="auto" w:sz="4" w:space="0"/>
              <w:bottom w:val="single" w:color="auto" w:sz="4" w:space="0"/>
              <w:right w:val="single" w:color="auto" w:sz="4" w:space="0"/>
            </w:tcBorders>
            <w:vAlign w:val="center"/>
          </w:tcPr>
          <w:p w14:paraId="2F802A5E">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2.1</w:t>
            </w:r>
          </w:p>
        </w:tc>
        <w:tc>
          <w:tcPr>
            <w:tcW w:w="628" w:type="pct"/>
            <w:vMerge w:val="restart"/>
            <w:tcBorders>
              <w:left w:val="single" w:color="auto" w:sz="4" w:space="0"/>
              <w:right w:val="single" w:color="auto" w:sz="4" w:space="0"/>
            </w:tcBorders>
            <w:vAlign w:val="center"/>
          </w:tcPr>
          <w:p w14:paraId="14915B34">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服务方案</w:t>
            </w:r>
          </w:p>
          <w:p w14:paraId="111691EA">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40</w:t>
            </w:r>
            <w:r>
              <w:rPr>
                <w:rFonts w:hint="eastAsia" w:ascii="宋体" w:hAnsi="宋体" w:eastAsia="宋体" w:cs="宋体"/>
                <w:b/>
                <w:color w:val="auto"/>
                <w:sz w:val="22"/>
                <w:szCs w:val="22"/>
                <w:highlight w:val="none"/>
              </w:rPr>
              <w:t>分）</w:t>
            </w:r>
          </w:p>
        </w:tc>
        <w:tc>
          <w:tcPr>
            <w:tcW w:w="3631" w:type="pct"/>
            <w:tcBorders>
              <w:top w:val="single" w:color="auto" w:sz="4" w:space="0"/>
              <w:left w:val="single" w:color="auto" w:sz="4" w:space="0"/>
              <w:bottom w:val="single" w:color="auto" w:sz="4" w:space="0"/>
              <w:right w:val="single" w:color="auto" w:sz="4" w:space="0"/>
            </w:tcBorders>
            <w:vAlign w:val="center"/>
          </w:tcPr>
          <w:p w14:paraId="778B518F">
            <w:pPr>
              <w:adjustRightInd w:val="0"/>
              <w:snapToGrid w:val="0"/>
              <w:spacing w:line="24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配送管理方案：</w:t>
            </w:r>
          </w:p>
          <w:p w14:paraId="31BB37EE">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评委根据投标人提供的食材配送管理方案（</w:t>
            </w:r>
            <w:r>
              <w:rPr>
                <w:rFonts w:hint="eastAsia" w:ascii="宋体" w:hAnsi="宋体" w:eastAsia="宋体" w:cs="宋体"/>
                <w:b/>
                <w:bCs/>
                <w:color w:val="auto"/>
                <w:sz w:val="22"/>
                <w:szCs w:val="22"/>
                <w:highlight w:val="none"/>
                <w:u w:val="thick"/>
              </w:rPr>
              <w:t>包括但不限于配送能力、服务流程、库存不足解决方案</w:t>
            </w:r>
            <w:r>
              <w:rPr>
                <w:rFonts w:hint="eastAsia" w:ascii="宋体" w:hAnsi="宋体" w:eastAsia="宋体" w:cs="宋体"/>
                <w:b/>
                <w:bCs/>
                <w:color w:val="auto"/>
                <w:sz w:val="22"/>
                <w:szCs w:val="22"/>
                <w:highlight w:val="none"/>
                <w:u w:val="thick"/>
                <w:lang w:eastAsia="zh-CN"/>
              </w:rPr>
              <w:t>，以及</w:t>
            </w:r>
            <w:r>
              <w:rPr>
                <w:rFonts w:hint="eastAsia" w:ascii="宋体" w:hAnsi="宋体" w:eastAsia="宋体" w:cs="宋体"/>
                <w:b/>
                <w:bCs/>
                <w:color w:val="auto"/>
                <w:sz w:val="22"/>
                <w:szCs w:val="22"/>
                <w:highlight w:val="none"/>
                <w:u w:val="thick"/>
              </w:rPr>
              <w:t>配送过程中安全保障措施等</w:t>
            </w:r>
            <w:r>
              <w:rPr>
                <w:rFonts w:hint="eastAsia" w:ascii="宋体" w:hAnsi="宋体" w:eastAsia="宋体" w:cs="宋体"/>
                <w:color w:val="auto"/>
                <w:sz w:val="22"/>
                <w:szCs w:val="22"/>
                <w:highlight w:val="none"/>
              </w:rPr>
              <w:t>）进行综合评分：</w:t>
            </w:r>
          </w:p>
          <w:p w14:paraId="3038B0AE">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方案全面、合理、可操作性强的得10 分；</w:t>
            </w:r>
          </w:p>
          <w:p w14:paraId="1FCCCE9E">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方案齐全、具有实际可操作性的得7分；</w:t>
            </w:r>
          </w:p>
          <w:p w14:paraId="3853FD31">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方案考虑相对不够全面，但依旧具备可行性的得4分；</w:t>
            </w:r>
          </w:p>
          <w:p w14:paraId="6E5AFF1F">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方案不全面，可操作性较低的得1分；</w:t>
            </w:r>
          </w:p>
          <w:p w14:paraId="3FB3C69F">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未提供方案的不得分。</w:t>
            </w:r>
          </w:p>
        </w:tc>
        <w:tc>
          <w:tcPr>
            <w:tcW w:w="382" w:type="pct"/>
            <w:tcBorders>
              <w:top w:val="single" w:color="auto" w:sz="4" w:space="0"/>
              <w:left w:val="single" w:color="auto" w:sz="4" w:space="0"/>
              <w:bottom w:val="single" w:color="auto" w:sz="4" w:space="0"/>
              <w:right w:val="single" w:color="auto" w:sz="4" w:space="0"/>
            </w:tcBorders>
            <w:vAlign w:val="center"/>
          </w:tcPr>
          <w:p w14:paraId="6B33E97D">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w:t>
            </w:r>
          </w:p>
        </w:tc>
      </w:tr>
      <w:tr w14:paraId="0A67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358" w:type="pct"/>
            <w:tcBorders>
              <w:top w:val="single" w:color="auto" w:sz="4" w:space="0"/>
              <w:left w:val="single" w:color="auto" w:sz="4" w:space="0"/>
              <w:bottom w:val="single" w:color="auto" w:sz="4" w:space="0"/>
              <w:right w:val="single" w:color="auto" w:sz="4" w:space="0"/>
            </w:tcBorders>
            <w:vAlign w:val="center"/>
          </w:tcPr>
          <w:p w14:paraId="629348E8">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2.2</w:t>
            </w:r>
          </w:p>
        </w:tc>
        <w:tc>
          <w:tcPr>
            <w:tcW w:w="628" w:type="pct"/>
            <w:vMerge w:val="continue"/>
            <w:tcBorders>
              <w:left w:val="single" w:color="auto" w:sz="4" w:space="0"/>
              <w:right w:val="single" w:color="auto" w:sz="4" w:space="0"/>
            </w:tcBorders>
            <w:vAlign w:val="center"/>
          </w:tcPr>
          <w:p w14:paraId="688CC5B1">
            <w:pPr>
              <w:adjustRightInd w:val="0"/>
              <w:snapToGrid w:val="0"/>
              <w:spacing w:line="240" w:lineRule="auto"/>
              <w:jc w:val="center"/>
              <w:rPr>
                <w:rFonts w:hint="eastAsia" w:ascii="宋体" w:hAnsi="宋体" w:eastAsia="宋体" w:cs="宋体"/>
                <w:b/>
                <w:color w:val="auto"/>
                <w:sz w:val="22"/>
                <w:szCs w:val="22"/>
                <w:highlight w:val="none"/>
              </w:rPr>
            </w:pPr>
          </w:p>
        </w:tc>
        <w:tc>
          <w:tcPr>
            <w:tcW w:w="3631" w:type="pct"/>
            <w:tcBorders>
              <w:top w:val="single" w:color="auto" w:sz="4" w:space="0"/>
              <w:left w:val="single" w:color="auto" w:sz="4" w:space="0"/>
              <w:bottom w:val="single" w:color="auto" w:sz="4" w:space="0"/>
              <w:right w:val="single" w:color="auto" w:sz="4" w:space="0"/>
            </w:tcBorders>
            <w:vAlign w:val="center"/>
          </w:tcPr>
          <w:p w14:paraId="4C480937">
            <w:pPr>
              <w:adjustRightInd w:val="0"/>
              <w:snapToGrid w:val="0"/>
              <w:spacing w:line="24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应急事件处理方案：</w:t>
            </w:r>
          </w:p>
          <w:p w14:paraId="19B8BB5F">
            <w:pPr>
              <w:adjustRightInd w:val="0"/>
              <w:snapToGrid w:val="0"/>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评委根据投标人提供的应急事件处理方案（</w:t>
            </w:r>
            <w:r>
              <w:rPr>
                <w:rFonts w:hint="eastAsia" w:ascii="宋体" w:hAnsi="宋体" w:eastAsia="宋体" w:cs="宋体"/>
                <w:b/>
                <w:bCs/>
                <w:color w:val="auto"/>
                <w:sz w:val="22"/>
                <w:szCs w:val="22"/>
                <w:highlight w:val="none"/>
                <w:u w:val="thick"/>
              </w:rPr>
              <w:t>包括但不限于恶劣天气供应、紧急补货处理、食品安全事件处理措施、</w:t>
            </w:r>
            <w:r>
              <w:rPr>
                <w:rFonts w:hint="eastAsia" w:ascii="宋体" w:hAnsi="宋体" w:eastAsia="宋体" w:cs="宋体"/>
                <w:b/>
                <w:bCs/>
                <w:color w:val="auto"/>
                <w:sz w:val="22"/>
                <w:szCs w:val="22"/>
                <w:highlight w:val="none"/>
                <w:u w:val="thick"/>
                <w:lang w:val="en-US" w:eastAsia="zh-CN"/>
              </w:rPr>
              <w:t>突发食品</w:t>
            </w:r>
            <w:r>
              <w:rPr>
                <w:rFonts w:hint="eastAsia" w:ascii="宋体" w:hAnsi="宋体" w:eastAsia="宋体" w:cs="宋体"/>
                <w:b/>
                <w:bCs/>
                <w:color w:val="auto"/>
                <w:sz w:val="22"/>
                <w:szCs w:val="22"/>
                <w:highlight w:val="none"/>
                <w:u w:val="thick"/>
              </w:rPr>
              <w:t>疫情防控措施、售后服务等</w:t>
            </w:r>
            <w:r>
              <w:rPr>
                <w:rFonts w:hint="eastAsia" w:ascii="宋体" w:hAnsi="宋体" w:eastAsia="宋体" w:cs="宋体"/>
                <w:color w:val="auto"/>
                <w:sz w:val="22"/>
                <w:szCs w:val="22"/>
                <w:highlight w:val="none"/>
              </w:rPr>
              <w:t>）进行综合评分：</w:t>
            </w:r>
          </w:p>
          <w:p w14:paraId="118F3B10">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方案全面、合理、时效性强且有切实可行的保证措施的得10 分；</w:t>
            </w:r>
          </w:p>
          <w:p w14:paraId="442794E9">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方案齐全、时效性较强、保证措施可行性较强的得7分；</w:t>
            </w:r>
          </w:p>
          <w:p w14:paraId="0E15C500">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方案考虑的相对不够全面，时效性一般但保证措施依旧具备可行性的得4分；</w:t>
            </w:r>
          </w:p>
          <w:p w14:paraId="5FF8AEA5">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方案不全面，时效性、可操作性较低的得1分；</w:t>
            </w:r>
          </w:p>
          <w:p w14:paraId="269DDDFC">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未提供方案的不得分。</w:t>
            </w:r>
          </w:p>
        </w:tc>
        <w:tc>
          <w:tcPr>
            <w:tcW w:w="382" w:type="pct"/>
            <w:tcBorders>
              <w:top w:val="single" w:color="auto" w:sz="4" w:space="0"/>
              <w:left w:val="single" w:color="auto" w:sz="4" w:space="0"/>
              <w:bottom w:val="single" w:color="auto" w:sz="4" w:space="0"/>
              <w:right w:val="single" w:color="auto" w:sz="4" w:space="0"/>
            </w:tcBorders>
            <w:vAlign w:val="center"/>
          </w:tcPr>
          <w:p w14:paraId="53EE4573">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w:t>
            </w:r>
          </w:p>
        </w:tc>
      </w:tr>
      <w:tr w14:paraId="32CC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 w:hRule="atLeast"/>
        </w:trPr>
        <w:tc>
          <w:tcPr>
            <w:tcW w:w="358" w:type="pct"/>
            <w:tcBorders>
              <w:top w:val="single" w:color="auto" w:sz="4" w:space="0"/>
              <w:left w:val="single" w:color="auto" w:sz="4" w:space="0"/>
              <w:bottom w:val="single" w:color="auto" w:sz="4" w:space="0"/>
              <w:right w:val="single" w:color="auto" w:sz="4" w:space="0"/>
            </w:tcBorders>
            <w:vAlign w:val="center"/>
          </w:tcPr>
          <w:p w14:paraId="0AC08F0C">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2.3</w:t>
            </w:r>
          </w:p>
        </w:tc>
        <w:tc>
          <w:tcPr>
            <w:tcW w:w="628" w:type="pct"/>
            <w:vMerge w:val="continue"/>
            <w:tcBorders>
              <w:left w:val="single" w:color="auto" w:sz="4" w:space="0"/>
              <w:right w:val="single" w:color="auto" w:sz="4" w:space="0"/>
            </w:tcBorders>
            <w:vAlign w:val="center"/>
          </w:tcPr>
          <w:p w14:paraId="2E23B427">
            <w:pPr>
              <w:adjustRightInd w:val="0"/>
              <w:snapToGrid w:val="0"/>
              <w:spacing w:line="240" w:lineRule="auto"/>
              <w:jc w:val="center"/>
              <w:rPr>
                <w:rFonts w:hint="eastAsia" w:ascii="宋体" w:hAnsi="宋体" w:eastAsia="宋体" w:cs="宋体"/>
                <w:b/>
                <w:color w:val="auto"/>
                <w:sz w:val="22"/>
                <w:szCs w:val="22"/>
                <w:highlight w:val="none"/>
              </w:rPr>
            </w:pPr>
          </w:p>
        </w:tc>
        <w:tc>
          <w:tcPr>
            <w:tcW w:w="3631" w:type="pct"/>
            <w:tcBorders>
              <w:top w:val="single" w:color="auto" w:sz="4" w:space="0"/>
              <w:left w:val="single" w:color="auto" w:sz="4" w:space="0"/>
              <w:bottom w:val="single" w:color="auto" w:sz="4" w:space="0"/>
              <w:right w:val="single" w:color="auto" w:sz="4" w:space="0"/>
            </w:tcBorders>
            <w:vAlign w:val="center"/>
          </w:tcPr>
          <w:p w14:paraId="34991441">
            <w:pPr>
              <w:adjustRightInd w:val="0"/>
              <w:snapToGrid w:val="0"/>
              <w:spacing w:line="24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质量保障措施和服务承诺：</w:t>
            </w:r>
          </w:p>
          <w:p w14:paraId="6455317F">
            <w:pPr>
              <w:adjustRightInd w:val="0"/>
              <w:snapToGrid w:val="0"/>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评委根据投标人提</w:t>
            </w:r>
            <w:r>
              <w:rPr>
                <w:rFonts w:hint="eastAsia" w:ascii="宋体" w:hAnsi="宋体" w:eastAsia="宋体" w:cs="宋体"/>
                <w:color w:val="auto"/>
                <w:sz w:val="22"/>
                <w:szCs w:val="22"/>
                <w:highlight w:val="none"/>
                <w:lang w:eastAsia="zh-CN"/>
              </w:rPr>
              <w:t>供的</w:t>
            </w:r>
            <w:r>
              <w:rPr>
                <w:rFonts w:hint="eastAsia" w:ascii="宋体" w:hAnsi="宋体" w:eastAsia="宋体" w:cs="宋体"/>
                <w:color w:val="auto"/>
                <w:kern w:val="0"/>
                <w:sz w:val="22"/>
                <w:szCs w:val="22"/>
                <w:highlight w:val="none"/>
              </w:rPr>
              <w:t>食材质量保障措施及质量保证服务承诺进行综合评分：</w:t>
            </w:r>
          </w:p>
          <w:p w14:paraId="29D08CB8">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对本项目有积极支持的态度、质量保证及服务承诺内容完整明确且有较为实际的措施的得10分；</w:t>
            </w:r>
          </w:p>
          <w:p w14:paraId="37ECFE5C">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对本项目有较积极支持的态度、质量保证及服务承诺内容较完整明确且有较为实际的措施的得7分；</w:t>
            </w:r>
          </w:p>
          <w:p w14:paraId="6EF2CBCC">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质量保证及服务承诺内容一般、可行性一般的得4分；</w:t>
            </w:r>
          </w:p>
          <w:p w14:paraId="22B8F692">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质量保证及服务承诺不够明确、制度措施不够结合实际的得1分；</w:t>
            </w:r>
          </w:p>
          <w:p w14:paraId="3D8B1691">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未提供质量保障措施或服务承诺不得分。</w:t>
            </w:r>
          </w:p>
        </w:tc>
        <w:tc>
          <w:tcPr>
            <w:tcW w:w="382" w:type="pct"/>
            <w:tcBorders>
              <w:top w:val="single" w:color="auto" w:sz="4" w:space="0"/>
              <w:left w:val="single" w:color="auto" w:sz="4" w:space="0"/>
              <w:bottom w:val="single" w:color="auto" w:sz="4" w:space="0"/>
              <w:right w:val="single" w:color="auto" w:sz="4" w:space="0"/>
            </w:tcBorders>
            <w:vAlign w:val="center"/>
          </w:tcPr>
          <w:p w14:paraId="1E671509">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w:t>
            </w:r>
          </w:p>
        </w:tc>
      </w:tr>
      <w:tr w14:paraId="121F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 w:hRule="atLeast"/>
        </w:trPr>
        <w:tc>
          <w:tcPr>
            <w:tcW w:w="358" w:type="pct"/>
            <w:tcBorders>
              <w:top w:val="single" w:color="auto" w:sz="4" w:space="0"/>
              <w:left w:val="single" w:color="auto" w:sz="4" w:space="0"/>
              <w:bottom w:val="single" w:color="auto" w:sz="4" w:space="0"/>
              <w:right w:val="single" w:color="auto" w:sz="4" w:space="0"/>
            </w:tcBorders>
            <w:vAlign w:val="center"/>
          </w:tcPr>
          <w:p w14:paraId="35D43D41">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2.4</w:t>
            </w:r>
          </w:p>
        </w:tc>
        <w:tc>
          <w:tcPr>
            <w:tcW w:w="628" w:type="pct"/>
            <w:vMerge w:val="continue"/>
            <w:tcBorders>
              <w:left w:val="single" w:color="auto" w:sz="4" w:space="0"/>
              <w:right w:val="single" w:color="auto" w:sz="4" w:space="0"/>
            </w:tcBorders>
            <w:vAlign w:val="center"/>
          </w:tcPr>
          <w:p w14:paraId="5F1247E4">
            <w:pPr>
              <w:adjustRightInd w:val="0"/>
              <w:snapToGrid w:val="0"/>
              <w:spacing w:line="240" w:lineRule="auto"/>
              <w:jc w:val="center"/>
              <w:rPr>
                <w:rFonts w:hint="eastAsia" w:ascii="宋体" w:hAnsi="宋体" w:eastAsia="宋体" w:cs="宋体"/>
                <w:b/>
                <w:color w:val="auto"/>
                <w:sz w:val="22"/>
                <w:szCs w:val="22"/>
                <w:highlight w:val="none"/>
              </w:rPr>
            </w:pPr>
          </w:p>
        </w:tc>
        <w:tc>
          <w:tcPr>
            <w:tcW w:w="3631" w:type="pct"/>
            <w:tcBorders>
              <w:top w:val="single" w:color="auto" w:sz="4" w:space="0"/>
              <w:left w:val="single" w:color="auto" w:sz="4" w:space="0"/>
              <w:bottom w:val="single" w:color="auto" w:sz="4" w:space="0"/>
              <w:right w:val="single" w:color="auto" w:sz="4" w:space="0"/>
            </w:tcBorders>
            <w:vAlign w:val="center"/>
          </w:tcPr>
          <w:p w14:paraId="54E05EB5">
            <w:pPr>
              <w:adjustRightInd w:val="0"/>
              <w:snapToGrid w:val="0"/>
              <w:spacing w:line="24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采购渠道方案：</w:t>
            </w:r>
          </w:p>
          <w:p w14:paraId="70FFB1EE">
            <w:pPr>
              <w:adjustRightInd w:val="0"/>
              <w:snapToGrid w:val="0"/>
              <w:spacing w:line="240" w:lineRule="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根据</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提供的供货渠道（可提供产品来源渠道说明或证明、产品品牌质量或经销资质、进货发票或合同等相关证明材料）进行综合评分</w:t>
            </w:r>
            <w:r>
              <w:rPr>
                <w:rFonts w:hint="eastAsia" w:ascii="宋体" w:hAnsi="宋体" w:eastAsia="宋体" w:cs="宋体"/>
                <w:color w:val="auto"/>
                <w:kern w:val="0"/>
                <w:sz w:val="22"/>
                <w:szCs w:val="22"/>
                <w:highlight w:val="none"/>
                <w:lang w:eastAsia="zh-CN"/>
              </w:rPr>
              <w:t>：</w:t>
            </w:r>
          </w:p>
          <w:p w14:paraId="6DF09283">
            <w:pPr>
              <w:adjustRightInd w:val="0"/>
              <w:snapToGrid w:val="0"/>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所供货品具有可追溯性供货渠道正规、证明材料丰富，质量符合采购要求得5分；</w:t>
            </w:r>
          </w:p>
          <w:p w14:paraId="011CE602">
            <w:pPr>
              <w:adjustRightInd w:val="0"/>
              <w:snapToGrid w:val="0"/>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供货渠道较正规、证明材料较丰富，质量较符合采购要求得3分；</w:t>
            </w:r>
          </w:p>
          <w:p w14:paraId="069157D6">
            <w:pPr>
              <w:adjustRightInd w:val="0"/>
              <w:snapToGrid w:val="0"/>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供货渠道不清晰、证明材料一般，质量基本符合采购要求得1分；</w:t>
            </w:r>
          </w:p>
          <w:p w14:paraId="4122B135">
            <w:pPr>
              <w:adjustRightInd w:val="0"/>
              <w:snapToGrid w:val="0"/>
              <w:spacing w:line="240" w:lineRule="auto"/>
              <w:rPr>
                <w:rFonts w:hint="eastAsia"/>
                <w:color w:val="auto"/>
                <w:highlight w:val="none"/>
              </w:rPr>
            </w:pPr>
            <w:r>
              <w:rPr>
                <w:rFonts w:hint="eastAsia" w:ascii="宋体" w:hAnsi="宋体" w:eastAsia="宋体" w:cs="宋体"/>
                <w:color w:val="auto"/>
                <w:sz w:val="22"/>
                <w:szCs w:val="22"/>
                <w:highlight w:val="none"/>
                <w:lang w:val="en-US" w:eastAsia="zh-CN"/>
              </w:rPr>
              <w:t>未提供方案的不得分。</w:t>
            </w:r>
          </w:p>
        </w:tc>
        <w:tc>
          <w:tcPr>
            <w:tcW w:w="382" w:type="pct"/>
            <w:tcBorders>
              <w:top w:val="single" w:color="auto" w:sz="4" w:space="0"/>
              <w:left w:val="single" w:color="auto" w:sz="4" w:space="0"/>
              <w:bottom w:val="single" w:color="auto" w:sz="4" w:space="0"/>
              <w:right w:val="single" w:color="auto" w:sz="4" w:space="0"/>
            </w:tcBorders>
            <w:vAlign w:val="center"/>
          </w:tcPr>
          <w:p w14:paraId="00973D3B">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r>
      <w:tr w14:paraId="4AE1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 w:hRule="atLeast"/>
        </w:trPr>
        <w:tc>
          <w:tcPr>
            <w:tcW w:w="358" w:type="pct"/>
            <w:tcBorders>
              <w:top w:val="single" w:color="auto" w:sz="4" w:space="0"/>
              <w:left w:val="single" w:color="auto" w:sz="4" w:space="0"/>
              <w:bottom w:val="single" w:color="auto" w:sz="4" w:space="0"/>
              <w:right w:val="single" w:color="auto" w:sz="4" w:space="0"/>
            </w:tcBorders>
            <w:vAlign w:val="center"/>
          </w:tcPr>
          <w:p w14:paraId="7142CB53">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Theme="minorEastAsia" w:hAnsiTheme="minorEastAsia" w:cstheme="minorEastAsia"/>
                <w:b/>
                <w:color w:val="auto"/>
                <w:sz w:val="22"/>
                <w:szCs w:val="22"/>
                <w:highlight w:val="none"/>
                <w:lang w:val="en-US" w:eastAsia="zh-CN"/>
              </w:rPr>
              <w:t>2.5</w:t>
            </w:r>
          </w:p>
        </w:tc>
        <w:tc>
          <w:tcPr>
            <w:tcW w:w="628" w:type="pct"/>
            <w:vMerge w:val="continue"/>
            <w:tcBorders>
              <w:left w:val="single" w:color="auto" w:sz="4" w:space="0"/>
              <w:right w:val="single" w:color="auto" w:sz="4" w:space="0"/>
            </w:tcBorders>
            <w:vAlign w:val="center"/>
          </w:tcPr>
          <w:p w14:paraId="0AE188E2">
            <w:pPr>
              <w:adjustRightInd w:val="0"/>
              <w:snapToGrid w:val="0"/>
              <w:spacing w:line="240" w:lineRule="auto"/>
              <w:jc w:val="center"/>
              <w:rPr>
                <w:rFonts w:hint="eastAsia" w:ascii="宋体" w:hAnsi="宋体" w:eastAsia="宋体" w:cs="宋体"/>
                <w:b/>
                <w:color w:val="auto"/>
                <w:sz w:val="22"/>
                <w:szCs w:val="22"/>
                <w:highlight w:val="none"/>
              </w:rPr>
            </w:pPr>
          </w:p>
        </w:tc>
        <w:tc>
          <w:tcPr>
            <w:tcW w:w="3631" w:type="pct"/>
            <w:tcBorders>
              <w:top w:val="single" w:color="auto" w:sz="4" w:space="0"/>
              <w:left w:val="single" w:color="auto" w:sz="4" w:space="0"/>
              <w:bottom w:val="single" w:color="auto" w:sz="4" w:space="0"/>
              <w:right w:val="single" w:color="auto" w:sz="4" w:space="0"/>
            </w:tcBorders>
            <w:vAlign w:val="center"/>
          </w:tcPr>
          <w:p w14:paraId="4EFD5C23">
            <w:pPr>
              <w:adjustRightInd w:val="0"/>
              <w:snapToGrid w:val="0"/>
              <w:spacing w:line="240" w:lineRule="auto"/>
              <w:rPr>
                <w:rFonts w:hint="eastAsia" w:asciiTheme="minorEastAsia" w:hAnsiTheme="minorEastAsia" w:cstheme="minorEastAsia"/>
                <w:b/>
                <w:bCs/>
                <w:color w:val="auto"/>
                <w:sz w:val="22"/>
                <w:szCs w:val="22"/>
                <w:highlight w:val="none"/>
                <w:lang w:eastAsia="zh-CN"/>
              </w:rPr>
            </w:pPr>
            <w:r>
              <w:rPr>
                <w:rFonts w:hint="eastAsia" w:asciiTheme="minorEastAsia" w:hAnsiTheme="minorEastAsia" w:eastAsiaTheme="minorEastAsia" w:cstheme="minorEastAsia"/>
                <w:b/>
                <w:bCs/>
                <w:color w:val="auto"/>
                <w:sz w:val="22"/>
                <w:szCs w:val="22"/>
                <w:highlight w:val="none"/>
              </w:rPr>
              <w:t>文档建立管理方案</w:t>
            </w:r>
            <w:r>
              <w:rPr>
                <w:rFonts w:hint="eastAsia" w:asciiTheme="minorEastAsia" w:hAnsiTheme="minorEastAsia" w:cstheme="minorEastAsia"/>
                <w:b/>
                <w:bCs/>
                <w:color w:val="auto"/>
                <w:sz w:val="22"/>
                <w:szCs w:val="22"/>
                <w:highlight w:val="none"/>
                <w:lang w:eastAsia="zh-CN"/>
              </w:rPr>
              <w:t>：</w:t>
            </w:r>
          </w:p>
          <w:p w14:paraId="125A44F3">
            <w:pPr>
              <w:adjustRightInd w:val="0"/>
              <w:snapToGrid w:val="0"/>
              <w:spacing w:line="24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cstheme="minorEastAsia"/>
                <w:color w:val="auto"/>
                <w:kern w:val="0"/>
                <w:sz w:val="22"/>
                <w:szCs w:val="22"/>
                <w:highlight w:val="none"/>
                <w:lang w:val="en-US" w:eastAsia="zh-CN"/>
              </w:rPr>
              <w:t>评委</w:t>
            </w:r>
            <w:r>
              <w:rPr>
                <w:rFonts w:hint="eastAsia" w:asciiTheme="minorEastAsia" w:hAnsiTheme="minorEastAsia" w:eastAsiaTheme="minorEastAsia" w:cstheme="minorEastAsia"/>
                <w:color w:val="auto"/>
                <w:kern w:val="0"/>
                <w:sz w:val="22"/>
                <w:szCs w:val="22"/>
                <w:highlight w:val="none"/>
              </w:rPr>
              <w:t>根据</w:t>
            </w:r>
            <w:r>
              <w:rPr>
                <w:rFonts w:hint="eastAsia" w:asciiTheme="minorEastAsia" w:hAnsiTheme="minorEastAsia" w:cstheme="minorEastAsia"/>
                <w:color w:val="auto"/>
                <w:kern w:val="0"/>
                <w:sz w:val="22"/>
                <w:szCs w:val="22"/>
                <w:highlight w:val="none"/>
                <w:lang w:eastAsia="zh-CN"/>
              </w:rPr>
              <w:t>投标人</w:t>
            </w:r>
            <w:r>
              <w:rPr>
                <w:rFonts w:hint="eastAsia" w:asciiTheme="minorEastAsia" w:hAnsiTheme="minorEastAsia" w:eastAsiaTheme="minorEastAsia" w:cstheme="minorEastAsia"/>
                <w:color w:val="auto"/>
                <w:kern w:val="0"/>
                <w:sz w:val="22"/>
                <w:szCs w:val="22"/>
                <w:highlight w:val="none"/>
              </w:rPr>
              <w:t>提供的文档建立管理方案进行综合评分：</w:t>
            </w:r>
          </w:p>
          <w:p w14:paraId="79E90836">
            <w:pPr>
              <w:pStyle w:val="16"/>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文档建立管理方案中服务过程记录全面，票据保管及相关文件管理归档规定明确合理的得5分；</w:t>
            </w:r>
          </w:p>
          <w:p w14:paraId="56F19CAD">
            <w:pPr>
              <w:pStyle w:val="16"/>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文档建立管理方案中服务过程记录较全面，票据保管及相关文件管理归档规定较明确的得3分；</w:t>
            </w:r>
          </w:p>
          <w:p w14:paraId="73A3F224">
            <w:pPr>
              <w:pStyle w:val="16"/>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文档建立管理方案中服务过程记录全面性、票据保管及相关文件管理归档规定明确合理性一般的得1分；</w:t>
            </w:r>
          </w:p>
          <w:p w14:paraId="01DA765D">
            <w:pPr>
              <w:pStyle w:val="16"/>
              <w:rPr>
                <w:rFonts w:hint="eastAsia" w:ascii="宋体" w:hAnsi="宋体" w:eastAsia="宋体" w:cs="宋体"/>
                <w:color w:val="auto"/>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bidi="ar-SA"/>
              </w:rPr>
              <w:t>未提供方案的不得分。</w:t>
            </w:r>
          </w:p>
        </w:tc>
        <w:tc>
          <w:tcPr>
            <w:tcW w:w="382" w:type="pct"/>
            <w:tcBorders>
              <w:top w:val="single" w:color="auto" w:sz="4" w:space="0"/>
              <w:left w:val="single" w:color="auto" w:sz="4" w:space="0"/>
              <w:bottom w:val="single" w:color="auto" w:sz="4" w:space="0"/>
              <w:right w:val="single" w:color="auto" w:sz="4" w:space="0"/>
            </w:tcBorders>
            <w:vAlign w:val="center"/>
          </w:tcPr>
          <w:p w14:paraId="157EBAF2">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Theme="minorEastAsia" w:hAnsiTheme="minorEastAsia" w:cstheme="minorEastAsia"/>
                <w:b/>
                <w:color w:val="auto"/>
                <w:sz w:val="22"/>
                <w:szCs w:val="22"/>
                <w:highlight w:val="none"/>
                <w:lang w:val="en-US" w:eastAsia="zh-CN"/>
              </w:rPr>
              <w:t>5</w:t>
            </w:r>
          </w:p>
        </w:tc>
      </w:tr>
      <w:tr w14:paraId="530B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 w:hRule="atLeast"/>
        </w:trPr>
        <w:tc>
          <w:tcPr>
            <w:tcW w:w="358" w:type="pct"/>
            <w:tcBorders>
              <w:top w:val="single" w:color="auto" w:sz="4" w:space="0"/>
              <w:left w:val="single" w:color="auto" w:sz="4" w:space="0"/>
              <w:bottom w:val="single" w:color="auto" w:sz="4" w:space="0"/>
              <w:right w:val="single" w:color="auto" w:sz="4" w:space="0"/>
            </w:tcBorders>
            <w:vAlign w:val="center"/>
          </w:tcPr>
          <w:p w14:paraId="1D508A55">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3.1</w:t>
            </w:r>
          </w:p>
        </w:tc>
        <w:tc>
          <w:tcPr>
            <w:tcW w:w="628" w:type="pct"/>
            <w:vMerge w:val="restart"/>
            <w:tcBorders>
              <w:left w:val="single" w:color="auto" w:sz="4" w:space="0"/>
              <w:right w:val="single" w:color="auto" w:sz="4" w:space="0"/>
            </w:tcBorders>
            <w:vAlign w:val="center"/>
          </w:tcPr>
          <w:p w14:paraId="28C2CB4C">
            <w:pPr>
              <w:widowControl/>
              <w:spacing w:line="240"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项目团队</w:t>
            </w:r>
          </w:p>
          <w:p w14:paraId="1EDD74BC">
            <w:pPr>
              <w:widowControl/>
              <w:spacing w:line="240"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（4分）</w:t>
            </w:r>
          </w:p>
        </w:tc>
        <w:tc>
          <w:tcPr>
            <w:tcW w:w="3631" w:type="pct"/>
            <w:tcBorders>
              <w:top w:val="single" w:color="auto" w:sz="4" w:space="0"/>
              <w:left w:val="single" w:color="auto" w:sz="4" w:space="0"/>
              <w:bottom w:val="single" w:color="auto" w:sz="4" w:space="0"/>
              <w:right w:val="single" w:color="auto" w:sz="4" w:space="0"/>
            </w:tcBorders>
            <w:vAlign w:val="center"/>
          </w:tcPr>
          <w:p w14:paraId="1AFFC3D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项目需明确项目负责人1名，团队所有成员（含项目负责人和长期驻本地人员）不少于6人，投标人需提供人员配置名单及具体负责事项，项目负责人及团队所有成员必须是投标人的正式员工，投标人须提供健康证、劳动合同、投标前近6个月的社会保险证明，满足上述要求，并提供相关证明材料复印件得3分，未提供团队服务人员名单及相关证明材料</w:t>
            </w:r>
            <w:r>
              <w:rPr>
                <w:rFonts w:hint="eastAsia" w:asciiTheme="minorEastAsia" w:hAnsiTheme="minorEastAsia" w:cstheme="minorEastAsia"/>
                <w:color w:val="auto"/>
                <w:kern w:val="0"/>
                <w:sz w:val="22"/>
                <w:szCs w:val="22"/>
                <w:highlight w:val="none"/>
                <w:lang w:val="en-US" w:eastAsia="zh-CN"/>
              </w:rPr>
              <w:t>或不符合要求</w:t>
            </w:r>
            <w:r>
              <w:rPr>
                <w:rFonts w:hint="eastAsia" w:ascii="宋体" w:hAnsi="宋体" w:eastAsia="宋体" w:cs="宋体"/>
                <w:color w:val="auto"/>
                <w:kern w:val="0"/>
                <w:sz w:val="22"/>
                <w:szCs w:val="22"/>
                <w:highlight w:val="none"/>
              </w:rPr>
              <w:t>不得分。</w:t>
            </w:r>
          </w:p>
        </w:tc>
        <w:tc>
          <w:tcPr>
            <w:tcW w:w="382" w:type="pct"/>
            <w:tcBorders>
              <w:top w:val="single" w:color="auto" w:sz="4" w:space="0"/>
              <w:left w:val="single" w:color="auto" w:sz="4" w:space="0"/>
              <w:bottom w:val="single" w:color="auto" w:sz="4" w:space="0"/>
              <w:right w:val="single" w:color="auto" w:sz="4" w:space="0"/>
            </w:tcBorders>
            <w:vAlign w:val="center"/>
          </w:tcPr>
          <w:p w14:paraId="198E2B7B">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r>
      <w:tr w14:paraId="621E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 w:hRule="atLeast"/>
        </w:trPr>
        <w:tc>
          <w:tcPr>
            <w:tcW w:w="358" w:type="pct"/>
            <w:tcBorders>
              <w:top w:val="single" w:color="auto" w:sz="4" w:space="0"/>
              <w:left w:val="single" w:color="auto" w:sz="4" w:space="0"/>
              <w:bottom w:val="single" w:color="auto" w:sz="4" w:space="0"/>
              <w:right w:val="single" w:color="auto" w:sz="4" w:space="0"/>
            </w:tcBorders>
            <w:vAlign w:val="center"/>
          </w:tcPr>
          <w:p w14:paraId="6A274469">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w:t>
            </w:r>
          </w:p>
        </w:tc>
        <w:tc>
          <w:tcPr>
            <w:tcW w:w="628" w:type="pct"/>
            <w:vMerge w:val="continue"/>
            <w:tcBorders>
              <w:left w:val="single" w:color="auto" w:sz="4" w:space="0"/>
              <w:right w:val="single" w:color="auto" w:sz="4" w:space="0"/>
            </w:tcBorders>
            <w:vAlign w:val="center"/>
          </w:tcPr>
          <w:p w14:paraId="577FC705">
            <w:pPr>
              <w:widowControl/>
              <w:spacing w:line="240" w:lineRule="auto"/>
              <w:jc w:val="center"/>
              <w:rPr>
                <w:rFonts w:hint="eastAsia" w:ascii="宋体" w:hAnsi="宋体" w:eastAsia="宋体" w:cs="宋体"/>
                <w:b/>
                <w:bCs/>
                <w:color w:val="auto"/>
                <w:kern w:val="0"/>
                <w:sz w:val="22"/>
                <w:szCs w:val="22"/>
                <w:highlight w:val="none"/>
              </w:rPr>
            </w:pPr>
          </w:p>
        </w:tc>
        <w:tc>
          <w:tcPr>
            <w:tcW w:w="3631" w:type="pct"/>
            <w:tcBorders>
              <w:top w:val="single" w:color="auto" w:sz="4" w:space="0"/>
              <w:left w:val="single" w:color="auto" w:sz="4" w:space="0"/>
              <w:bottom w:val="single" w:color="auto" w:sz="4" w:space="0"/>
              <w:right w:val="single" w:color="auto" w:sz="4" w:space="0"/>
            </w:tcBorders>
            <w:vAlign w:val="center"/>
          </w:tcPr>
          <w:p w14:paraId="770F819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投标人具备应急服务能力，且有长期驻本地人员，有一定的处理紧急情况的经验，同时为保证食材的卫生安全，能够</w:t>
            </w:r>
            <w:r>
              <w:rPr>
                <w:rFonts w:hint="eastAsia" w:ascii="宋体" w:hAnsi="宋体" w:eastAsia="宋体" w:cs="宋体"/>
                <w:color w:val="auto"/>
                <w:kern w:val="0"/>
                <w:sz w:val="22"/>
                <w:szCs w:val="22"/>
                <w:highlight w:val="none"/>
                <w:lang w:eastAsia="zh-CN"/>
              </w:rPr>
              <w:t>接到</w:t>
            </w:r>
            <w:r>
              <w:rPr>
                <w:rFonts w:hint="eastAsia" w:ascii="宋体" w:hAnsi="宋体" w:eastAsia="宋体" w:cs="宋体"/>
                <w:color w:val="auto"/>
                <w:kern w:val="0"/>
                <w:sz w:val="22"/>
                <w:szCs w:val="22"/>
                <w:highlight w:val="none"/>
              </w:rPr>
              <w:t>采购人通知后2小时内赶到项目现场，提供承诺书得1分，未提供承诺书</w:t>
            </w:r>
            <w:r>
              <w:rPr>
                <w:rFonts w:hint="eastAsia" w:ascii="宋体" w:hAnsi="宋体" w:eastAsia="宋体" w:cs="宋体"/>
                <w:color w:val="auto"/>
                <w:kern w:val="0"/>
                <w:sz w:val="22"/>
                <w:szCs w:val="22"/>
                <w:highlight w:val="none"/>
                <w:lang w:val="en-US" w:eastAsia="zh-CN"/>
              </w:rPr>
              <w:t>或承诺书内容不符合要求</w:t>
            </w:r>
            <w:r>
              <w:rPr>
                <w:rFonts w:hint="eastAsia" w:ascii="宋体" w:hAnsi="宋体" w:eastAsia="宋体" w:cs="宋体"/>
                <w:color w:val="auto"/>
                <w:kern w:val="0"/>
                <w:sz w:val="22"/>
                <w:szCs w:val="22"/>
                <w:highlight w:val="none"/>
              </w:rPr>
              <w:t>的不得分。</w:t>
            </w:r>
          </w:p>
        </w:tc>
        <w:tc>
          <w:tcPr>
            <w:tcW w:w="382" w:type="pct"/>
            <w:tcBorders>
              <w:top w:val="single" w:color="auto" w:sz="4" w:space="0"/>
              <w:left w:val="single" w:color="auto" w:sz="4" w:space="0"/>
              <w:bottom w:val="single" w:color="auto" w:sz="4" w:space="0"/>
              <w:right w:val="single" w:color="auto" w:sz="4" w:space="0"/>
            </w:tcBorders>
            <w:vAlign w:val="center"/>
          </w:tcPr>
          <w:p w14:paraId="22135B33">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r>
      <w:tr w14:paraId="08D4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358" w:type="pct"/>
            <w:vMerge w:val="restart"/>
            <w:tcBorders>
              <w:top w:val="single" w:color="auto" w:sz="4" w:space="0"/>
              <w:left w:val="single" w:color="auto" w:sz="4" w:space="0"/>
              <w:right w:val="single" w:color="auto" w:sz="4" w:space="0"/>
            </w:tcBorders>
            <w:vAlign w:val="center"/>
          </w:tcPr>
          <w:p w14:paraId="0F471C9C">
            <w:pPr>
              <w:adjustRightInd w:val="0"/>
              <w:snapToGrid w:val="0"/>
              <w:spacing w:line="240" w:lineRule="auto"/>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rPr>
              <w:t>4</w:t>
            </w:r>
            <w:r>
              <w:rPr>
                <w:rFonts w:hint="eastAsia" w:ascii="宋体" w:hAnsi="宋体" w:eastAsia="宋体" w:cs="宋体"/>
                <w:b/>
                <w:color w:val="auto"/>
                <w:sz w:val="22"/>
                <w:szCs w:val="22"/>
                <w:highlight w:val="none"/>
                <w:lang w:val="en-US" w:eastAsia="zh-CN"/>
              </w:rPr>
              <w:t>.1</w:t>
            </w:r>
          </w:p>
        </w:tc>
        <w:tc>
          <w:tcPr>
            <w:tcW w:w="628" w:type="pct"/>
            <w:vMerge w:val="restart"/>
            <w:tcBorders>
              <w:left w:val="single" w:color="auto" w:sz="4" w:space="0"/>
              <w:right w:val="single" w:color="auto" w:sz="4" w:space="0"/>
            </w:tcBorders>
            <w:vAlign w:val="center"/>
          </w:tcPr>
          <w:p w14:paraId="14CAD00E">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履约能力</w:t>
            </w:r>
          </w:p>
          <w:p w14:paraId="1670D1F2">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7</w:t>
            </w:r>
            <w:r>
              <w:rPr>
                <w:rFonts w:hint="eastAsia" w:ascii="宋体" w:hAnsi="宋体" w:eastAsia="宋体" w:cs="宋体"/>
                <w:b/>
                <w:color w:val="auto"/>
                <w:sz w:val="22"/>
                <w:szCs w:val="22"/>
                <w:highlight w:val="none"/>
              </w:rPr>
              <w:t>分）</w:t>
            </w:r>
          </w:p>
        </w:tc>
        <w:tc>
          <w:tcPr>
            <w:tcW w:w="3631" w:type="pct"/>
            <w:tcBorders>
              <w:top w:val="single" w:color="auto" w:sz="4" w:space="0"/>
              <w:left w:val="single" w:color="auto" w:sz="4" w:space="0"/>
              <w:bottom w:val="single" w:color="auto" w:sz="4" w:space="0"/>
              <w:right w:val="single" w:color="auto" w:sz="4" w:space="0"/>
            </w:tcBorders>
            <w:vAlign w:val="center"/>
          </w:tcPr>
          <w:p w14:paraId="2E20EDA8">
            <w:pPr>
              <w:adjustRightInd w:val="0"/>
              <w:snapToGrid w:val="0"/>
              <w:spacing w:line="240" w:lineRule="auto"/>
              <w:rPr>
                <w:rFonts w:hint="default" w:ascii="宋体" w:hAnsi="宋体" w:eastAsia="宋体" w:cs="宋体"/>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保鲜要求</w:t>
            </w:r>
            <w:r>
              <w:rPr>
                <w:rFonts w:hint="eastAsia" w:ascii="宋体" w:hAnsi="宋体" w:eastAsia="宋体" w:cs="宋体"/>
                <w:color w:val="auto"/>
                <w:kern w:val="0"/>
                <w:sz w:val="22"/>
                <w:szCs w:val="22"/>
                <w:highlight w:val="none"/>
                <w:lang w:val="en-US" w:eastAsia="zh-CN"/>
              </w:rPr>
              <w:t>：</w:t>
            </w:r>
          </w:p>
          <w:p w14:paraId="05C42CDC">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为保证食品安全及</w:t>
            </w:r>
            <w:r>
              <w:rPr>
                <w:rFonts w:hint="eastAsia" w:ascii="宋体" w:hAnsi="宋体" w:eastAsia="宋体" w:cs="宋体"/>
                <w:color w:val="auto"/>
                <w:sz w:val="22"/>
                <w:szCs w:val="22"/>
                <w:highlight w:val="none"/>
              </w:rPr>
              <w:t>食材的新鲜度、投标人需具有蔬菜和水果冷藏仓库，面积满150平方米及以上的得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分，面积150平方米（不含）-100平方米（含）的得2分，面积100平方米（不含）-50平方米（含）的得1分，50平方米以下不得分。</w:t>
            </w:r>
          </w:p>
          <w:p w14:paraId="1F672C4C">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thick"/>
              </w:rPr>
              <w:t>（需提供自有产权证明或租赁合同复印件并加盖公章，产权证书或租赁合同需在有效期，并明确房屋面积。原件备查，</w:t>
            </w:r>
            <w:r>
              <w:rPr>
                <w:rFonts w:hint="eastAsia" w:ascii="宋体" w:hAnsi="宋体" w:eastAsia="宋体" w:cs="宋体"/>
                <w:b/>
                <w:bCs/>
                <w:color w:val="auto"/>
                <w:kern w:val="0"/>
                <w:sz w:val="22"/>
                <w:szCs w:val="22"/>
                <w:highlight w:val="none"/>
                <w:u w:val="thick"/>
              </w:rPr>
              <w:t>不提供证明材料或不符合要求不得分</w:t>
            </w:r>
            <w:r>
              <w:rPr>
                <w:rFonts w:hint="eastAsia" w:ascii="宋体" w:hAnsi="宋体" w:eastAsia="宋体" w:cs="宋体"/>
                <w:b/>
                <w:bCs/>
                <w:color w:val="auto"/>
                <w:sz w:val="22"/>
                <w:szCs w:val="22"/>
                <w:highlight w:val="none"/>
                <w:u w:val="thick"/>
              </w:rPr>
              <w:t>）</w:t>
            </w:r>
          </w:p>
        </w:tc>
        <w:tc>
          <w:tcPr>
            <w:tcW w:w="382" w:type="pct"/>
            <w:tcBorders>
              <w:top w:val="single" w:color="auto" w:sz="4" w:space="0"/>
              <w:left w:val="single" w:color="auto" w:sz="4" w:space="0"/>
              <w:bottom w:val="single" w:color="auto" w:sz="4" w:space="0"/>
              <w:right w:val="single" w:color="auto" w:sz="4" w:space="0"/>
            </w:tcBorders>
            <w:vAlign w:val="center"/>
          </w:tcPr>
          <w:p w14:paraId="1CC533AB">
            <w:pPr>
              <w:adjustRightInd w:val="0"/>
              <w:snapToGrid w:val="0"/>
              <w:spacing w:line="240" w:lineRule="auto"/>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3</w:t>
            </w:r>
          </w:p>
        </w:tc>
      </w:tr>
      <w:tr w14:paraId="56A3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358" w:type="pct"/>
            <w:vMerge w:val="continue"/>
            <w:tcBorders>
              <w:left w:val="single" w:color="auto" w:sz="4" w:space="0"/>
              <w:bottom w:val="single" w:color="auto" w:sz="4" w:space="0"/>
              <w:right w:val="single" w:color="auto" w:sz="4" w:space="0"/>
            </w:tcBorders>
            <w:vAlign w:val="center"/>
          </w:tcPr>
          <w:p w14:paraId="583082DA">
            <w:pPr>
              <w:adjustRightInd w:val="0"/>
              <w:snapToGrid w:val="0"/>
              <w:spacing w:line="240" w:lineRule="auto"/>
              <w:jc w:val="center"/>
              <w:rPr>
                <w:rFonts w:hint="eastAsia" w:ascii="宋体" w:hAnsi="宋体" w:eastAsia="宋体" w:cs="宋体"/>
                <w:b/>
                <w:color w:val="auto"/>
                <w:sz w:val="22"/>
                <w:szCs w:val="22"/>
                <w:highlight w:val="none"/>
              </w:rPr>
            </w:pPr>
          </w:p>
        </w:tc>
        <w:tc>
          <w:tcPr>
            <w:tcW w:w="628" w:type="pct"/>
            <w:vMerge w:val="continue"/>
            <w:tcBorders>
              <w:left w:val="single" w:color="auto" w:sz="4" w:space="0"/>
              <w:right w:val="single" w:color="auto" w:sz="4" w:space="0"/>
            </w:tcBorders>
            <w:vAlign w:val="center"/>
          </w:tcPr>
          <w:p w14:paraId="49B20F96">
            <w:pPr>
              <w:adjustRightInd w:val="0"/>
              <w:snapToGrid w:val="0"/>
              <w:spacing w:line="240" w:lineRule="auto"/>
              <w:jc w:val="center"/>
              <w:rPr>
                <w:rFonts w:hint="eastAsia" w:ascii="宋体" w:hAnsi="宋体" w:eastAsia="宋体" w:cs="宋体"/>
                <w:b/>
                <w:color w:val="auto"/>
                <w:sz w:val="22"/>
                <w:szCs w:val="22"/>
                <w:highlight w:val="none"/>
              </w:rPr>
            </w:pPr>
          </w:p>
        </w:tc>
        <w:tc>
          <w:tcPr>
            <w:tcW w:w="3631" w:type="pct"/>
            <w:vMerge w:val="restart"/>
            <w:tcBorders>
              <w:top w:val="single" w:color="auto" w:sz="4" w:space="0"/>
              <w:left w:val="single" w:color="auto" w:sz="4" w:space="0"/>
              <w:right w:val="single" w:color="auto" w:sz="4" w:space="0"/>
            </w:tcBorders>
            <w:vAlign w:val="center"/>
          </w:tcPr>
          <w:p w14:paraId="7C74EF62">
            <w:pPr>
              <w:adjustRightInd w:val="0"/>
              <w:snapToGrid w:val="0"/>
              <w:spacing w:line="24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车辆设备要求</w:t>
            </w:r>
          </w:p>
          <w:p w14:paraId="7C650C44">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为满足食堂的配送任务，投标人</w:t>
            </w:r>
            <w:r>
              <w:rPr>
                <w:rFonts w:hint="eastAsia" w:ascii="宋体" w:hAnsi="宋体" w:eastAsia="宋体" w:cs="宋体"/>
                <w:color w:val="auto"/>
                <w:sz w:val="22"/>
                <w:szCs w:val="22"/>
                <w:highlight w:val="none"/>
              </w:rPr>
              <w:t>具有自有或租赁配送车辆</w:t>
            </w:r>
            <w:r>
              <w:rPr>
                <w:rFonts w:hint="eastAsia" w:ascii="宋体" w:hAnsi="宋体" w:eastAsia="宋体" w:cs="宋体"/>
                <w:b/>
                <w:bCs/>
                <w:color w:val="auto"/>
                <w:sz w:val="22"/>
                <w:szCs w:val="22"/>
                <w:highlight w:val="none"/>
              </w:rPr>
              <w:t>（其中至少含冷藏车辆1辆，否则本项不得分）</w:t>
            </w:r>
            <w:r>
              <w:rPr>
                <w:rFonts w:hint="eastAsia" w:ascii="宋体" w:hAnsi="宋体" w:eastAsia="宋体" w:cs="宋体"/>
                <w:color w:val="auto"/>
                <w:sz w:val="22"/>
                <w:szCs w:val="22"/>
                <w:highlight w:val="none"/>
              </w:rPr>
              <w:t>的，每提供一台车辆得1分，最多得4分。</w:t>
            </w:r>
          </w:p>
          <w:p w14:paraId="252B4813">
            <w:pP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注：需提供车辆</w:t>
            </w:r>
            <w:r>
              <w:rPr>
                <w:rFonts w:hint="eastAsia" w:ascii="宋体" w:hAnsi="宋体" w:eastAsia="宋体" w:cs="宋体"/>
                <w:color w:val="auto"/>
                <w:sz w:val="22"/>
                <w:szCs w:val="22"/>
                <w:highlight w:val="none"/>
              </w:rPr>
              <w:t>购买发票</w:t>
            </w:r>
            <w:r>
              <w:rPr>
                <w:rFonts w:hint="eastAsia" w:ascii="宋体" w:hAnsi="宋体" w:eastAsia="宋体" w:cs="宋体"/>
                <w:b/>
                <w:bCs/>
                <w:color w:val="auto"/>
                <w:sz w:val="22"/>
                <w:szCs w:val="22"/>
                <w:highlight w:val="none"/>
                <w:u w:val="thick"/>
              </w:rPr>
              <w:t>（车辆</w:t>
            </w:r>
            <w:r>
              <w:rPr>
                <w:rFonts w:hint="eastAsia" w:ascii="宋体" w:hAnsi="宋体" w:eastAsia="宋体" w:cs="宋体"/>
                <w:b/>
                <w:bCs/>
                <w:color w:val="auto"/>
                <w:kern w:val="0"/>
                <w:sz w:val="22"/>
                <w:szCs w:val="22"/>
                <w:highlight w:val="none"/>
                <w:u w:val="thick"/>
              </w:rPr>
              <w:t>隶属于投标单位，个人购买的车辆不予计分</w:t>
            </w:r>
            <w:r>
              <w:rPr>
                <w:rFonts w:hint="eastAsia" w:ascii="宋体" w:hAnsi="宋体" w:eastAsia="宋体" w:cs="宋体"/>
                <w:b/>
                <w:bCs/>
                <w:color w:val="auto"/>
                <w:sz w:val="22"/>
                <w:szCs w:val="22"/>
                <w:highlight w:val="none"/>
                <w:u w:val="thick"/>
              </w:rPr>
              <w:t>）</w:t>
            </w:r>
            <w:r>
              <w:rPr>
                <w:rFonts w:hint="eastAsia" w:ascii="宋体" w:hAnsi="宋体" w:eastAsia="宋体" w:cs="宋体"/>
                <w:b/>
                <w:bCs/>
                <w:color w:val="auto"/>
                <w:kern w:val="0"/>
                <w:sz w:val="22"/>
                <w:szCs w:val="22"/>
                <w:highlight w:val="none"/>
                <w:u w:val="thick"/>
              </w:rPr>
              <w:t>或租赁证明（</w:t>
            </w:r>
            <w:r>
              <w:rPr>
                <w:rFonts w:hint="eastAsia" w:ascii="宋体" w:hAnsi="宋体" w:eastAsia="宋体" w:cs="宋体"/>
                <w:b/>
                <w:bCs/>
                <w:color w:val="auto"/>
                <w:sz w:val="22"/>
                <w:szCs w:val="22"/>
                <w:highlight w:val="none"/>
                <w:u w:val="thick"/>
              </w:rPr>
              <w:t>投标人签订的在有效期内的租用合同，车辆承租单位营业执照</w:t>
            </w:r>
            <w:r>
              <w:rPr>
                <w:rFonts w:hint="eastAsia" w:ascii="宋体" w:hAnsi="宋体" w:eastAsia="宋体" w:cs="宋体"/>
                <w:b/>
                <w:bCs/>
                <w:color w:val="auto"/>
                <w:kern w:val="0"/>
                <w:sz w:val="22"/>
                <w:szCs w:val="22"/>
                <w:highlight w:val="none"/>
                <w:u w:val="thick"/>
              </w:rPr>
              <w:t>）、</w:t>
            </w:r>
            <w:r>
              <w:rPr>
                <w:rFonts w:hint="eastAsia" w:ascii="宋体" w:hAnsi="宋体" w:eastAsia="宋体" w:cs="宋体"/>
                <w:b/>
                <w:bCs/>
                <w:color w:val="auto"/>
                <w:sz w:val="22"/>
                <w:szCs w:val="22"/>
                <w:highlight w:val="none"/>
                <w:u w:val="thick"/>
              </w:rPr>
              <w:t>车辆行驶证、车辆正面及内部照片（必须体现车牌号，车牌号须与车辆行驶证一致）等证明材料复印件并加盖公章</w:t>
            </w:r>
            <w:r>
              <w:rPr>
                <w:rFonts w:hint="eastAsia" w:asciiTheme="minorEastAsia" w:hAnsiTheme="minorEastAsia" w:cstheme="minorEastAsia"/>
                <w:b/>
                <w:bCs/>
                <w:color w:val="auto"/>
                <w:sz w:val="22"/>
                <w:szCs w:val="22"/>
                <w:highlight w:val="none"/>
                <w:u w:val="thick"/>
                <w:lang w:eastAsia="zh-CN"/>
              </w:rPr>
              <w:t>，</w:t>
            </w:r>
            <w:r>
              <w:rPr>
                <w:rFonts w:hint="eastAsia" w:asciiTheme="minorEastAsia" w:hAnsiTheme="minorEastAsia" w:cstheme="minorEastAsia"/>
                <w:b/>
                <w:bCs/>
                <w:color w:val="auto"/>
                <w:sz w:val="22"/>
                <w:szCs w:val="22"/>
                <w:highlight w:val="none"/>
                <w:u w:val="thick"/>
                <w:lang w:val="en-US" w:eastAsia="zh-CN"/>
              </w:rPr>
              <w:t>未提供或不符合要求不得分</w:t>
            </w:r>
            <w:r>
              <w:rPr>
                <w:rFonts w:hint="eastAsia" w:ascii="宋体" w:hAnsi="宋体" w:eastAsia="宋体" w:cs="宋体"/>
                <w:b/>
                <w:bCs/>
                <w:color w:val="auto"/>
                <w:sz w:val="22"/>
                <w:szCs w:val="22"/>
                <w:highlight w:val="none"/>
                <w:u w:val="thick"/>
              </w:rPr>
              <w:t>。</w:t>
            </w:r>
          </w:p>
        </w:tc>
        <w:tc>
          <w:tcPr>
            <w:tcW w:w="382" w:type="pct"/>
            <w:vMerge w:val="restart"/>
            <w:tcBorders>
              <w:top w:val="single" w:color="auto" w:sz="4" w:space="0"/>
              <w:left w:val="single" w:color="auto" w:sz="4" w:space="0"/>
              <w:right w:val="single" w:color="auto" w:sz="4" w:space="0"/>
            </w:tcBorders>
            <w:vAlign w:val="center"/>
          </w:tcPr>
          <w:p w14:paraId="306489AA">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4</w:t>
            </w:r>
          </w:p>
        </w:tc>
      </w:tr>
      <w:tr w14:paraId="486C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8" w:hRule="atLeast"/>
        </w:trPr>
        <w:tc>
          <w:tcPr>
            <w:tcW w:w="358" w:type="pct"/>
            <w:tcBorders>
              <w:left w:val="single" w:color="auto" w:sz="4" w:space="0"/>
              <w:bottom w:val="single" w:color="auto" w:sz="4" w:space="0"/>
              <w:right w:val="single" w:color="auto" w:sz="4" w:space="0"/>
            </w:tcBorders>
            <w:vAlign w:val="center"/>
          </w:tcPr>
          <w:p w14:paraId="42932134">
            <w:pPr>
              <w:adjustRightInd w:val="0"/>
              <w:snapToGrid w:val="0"/>
              <w:spacing w:line="240" w:lineRule="auto"/>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4.2</w:t>
            </w:r>
          </w:p>
        </w:tc>
        <w:tc>
          <w:tcPr>
            <w:tcW w:w="628" w:type="pct"/>
            <w:vMerge w:val="continue"/>
            <w:tcBorders>
              <w:left w:val="single" w:color="auto" w:sz="4" w:space="0"/>
              <w:right w:val="single" w:color="auto" w:sz="4" w:space="0"/>
            </w:tcBorders>
            <w:vAlign w:val="center"/>
          </w:tcPr>
          <w:p w14:paraId="20245A63">
            <w:pPr>
              <w:adjustRightInd w:val="0"/>
              <w:snapToGrid w:val="0"/>
              <w:spacing w:line="240" w:lineRule="auto"/>
              <w:jc w:val="center"/>
              <w:rPr>
                <w:rFonts w:hint="eastAsia" w:ascii="宋体" w:hAnsi="宋体" w:eastAsia="宋体" w:cs="宋体"/>
                <w:b/>
                <w:color w:val="auto"/>
                <w:sz w:val="22"/>
                <w:szCs w:val="22"/>
                <w:highlight w:val="none"/>
              </w:rPr>
            </w:pPr>
          </w:p>
        </w:tc>
        <w:tc>
          <w:tcPr>
            <w:tcW w:w="3631" w:type="pct"/>
            <w:vMerge w:val="continue"/>
            <w:tcBorders>
              <w:left w:val="single" w:color="auto" w:sz="4" w:space="0"/>
              <w:bottom w:val="single" w:color="auto" w:sz="4" w:space="0"/>
              <w:right w:val="single" w:color="auto" w:sz="4" w:space="0"/>
            </w:tcBorders>
            <w:vAlign w:val="center"/>
          </w:tcPr>
          <w:p w14:paraId="3F41A1E7">
            <w:pPr>
              <w:rPr>
                <w:rFonts w:hint="eastAsia" w:ascii="宋体" w:hAnsi="宋体" w:eastAsia="宋体" w:cs="宋体"/>
                <w:color w:val="auto"/>
                <w:kern w:val="0"/>
                <w:sz w:val="22"/>
                <w:szCs w:val="22"/>
                <w:highlight w:val="none"/>
              </w:rPr>
            </w:pPr>
          </w:p>
        </w:tc>
        <w:tc>
          <w:tcPr>
            <w:tcW w:w="382" w:type="pct"/>
            <w:vMerge w:val="continue"/>
            <w:tcBorders>
              <w:left w:val="single" w:color="auto" w:sz="4" w:space="0"/>
              <w:bottom w:val="single" w:color="auto" w:sz="4" w:space="0"/>
              <w:right w:val="single" w:color="auto" w:sz="4" w:space="0"/>
            </w:tcBorders>
            <w:vAlign w:val="center"/>
          </w:tcPr>
          <w:p w14:paraId="14631302">
            <w:pPr>
              <w:adjustRightInd w:val="0"/>
              <w:snapToGrid w:val="0"/>
              <w:spacing w:line="240" w:lineRule="auto"/>
              <w:jc w:val="center"/>
              <w:rPr>
                <w:rFonts w:hint="eastAsia" w:ascii="宋体" w:hAnsi="宋体" w:eastAsia="宋体" w:cs="宋体"/>
                <w:b/>
                <w:color w:val="auto"/>
                <w:sz w:val="22"/>
                <w:szCs w:val="22"/>
                <w:highlight w:val="none"/>
                <w:lang w:val="en-US" w:eastAsia="zh-CN"/>
              </w:rPr>
            </w:pPr>
          </w:p>
        </w:tc>
      </w:tr>
      <w:tr w14:paraId="258C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358" w:type="pct"/>
            <w:tcBorders>
              <w:top w:val="single" w:color="auto" w:sz="4" w:space="0"/>
              <w:left w:val="single" w:color="auto" w:sz="4" w:space="0"/>
              <w:bottom w:val="single" w:color="auto" w:sz="4" w:space="0"/>
              <w:right w:val="single" w:color="auto" w:sz="4" w:space="0"/>
            </w:tcBorders>
            <w:vAlign w:val="center"/>
          </w:tcPr>
          <w:p w14:paraId="209D8373">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628" w:type="pct"/>
            <w:tcBorders>
              <w:left w:val="single" w:color="auto" w:sz="4" w:space="0"/>
              <w:right w:val="single" w:color="auto" w:sz="4" w:space="0"/>
            </w:tcBorders>
            <w:vAlign w:val="center"/>
          </w:tcPr>
          <w:p w14:paraId="514ABFCB">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检测报告</w:t>
            </w:r>
          </w:p>
          <w:p w14:paraId="14D98025">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（6分）</w:t>
            </w:r>
          </w:p>
        </w:tc>
        <w:tc>
          <w:tcPr>
            <w:tcW w:w="3631" w:type="pct"/>
            <w:tcBorders>
              <w:top w:val="single" w:color="auto" w:sz="4" w:space="0"/>
              <w:left w:val="single" w:color="auto" w:sz="4" w:space="0"/>
              <w:bottom w:val="single" w:color="auto" w:sz="4" w:space="0"/>
              <w:right w:val="single" w:color="auto" w:sz="4" w:space="0"/>
            </w:tcBorders>
            <w:vAlign w:val="center"/>
          </w:tcPr>
          <w:p w14:paraId="7EA07E71">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投标人提供所投分包产品有第三方检测机构出具的蔬菜或水果类检验报告或检测报告或</w:t>
            </w:r>
            <w:r>
              <w:rPr>
                <w:rFonts w:hint="eastAsia" w:ascii="宋体" w:hAnsi="宋体" w:eastAsia="宋体" w:cs="宋体"/>
                <w:color w:val="auto"/>
                <w:sz w:val="22"/>
                <w:szCs w:val="22"/>
                <w:highlight w:val="none"/>
              </w:rPr>
              <w:t>农残报告</w:t>
            </w:r>
            <w:r>
              <w:rPr>
                <w:rFonts w:hint="eastAsia" w:ascii="宋体" w:hAnsi="宋体" w:eastAsia="宋体" w:cs="宋体"/>
                <w:color w:val="auto"/>
                <w:kern w:val="0"/>
                <w:sz w:val="22"/>
                <w:szCs w:val="22"/>
                <w:highlight w:val="none"/>
              </w:rPr>
              <w:t>证明，</w:t>
            </w:r>
            <w:r>
              <w:rPr>
                <w:rFonts w:hint="eastAsia" w:ascii="宋体" w:hAnsi="宋体" w:eastAsia="宋体" w:cs="宋体"/>
                <w:color w:val="auto"/>
                <w:sz w:val="22"/>
                <w:szCs w:val="22"/>
                <w:highlight w:val="none"/>
              </w:rPr>
              <w:t>每提供1 份得2分，最多得6分。</w:t>
            </w:r>
          </w:p>
          <w:p w14:paraId="74563EC9">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（需提供相关证明材料并加盖公章，原件备查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未提供或不符合要求不得分</w:t>
            </w:r>
            <w:r>
              <w:rPr>
                <w:rFonts w:hint="eastAsia" w:ascii="宋体" w:hAnsi="宋体" w:eastAsia="宋体" w:cs="宋体"/>
                <w:color w:val="auto"/>
                <w:sz w:val="22"/>
                <w:szCs w:val="22"/>
                <w:highlight w:val="none"/>
              </w:rPr>
              <w:t>）</w:t>
            </w:r>
          </w:p>
        </w:tc>
        <w:tc>
          <w:tcPr>
            <w:tcW w:w="382" w:type="pct"/>
            <w:tcBorders>
              <w:top w:val="single" w:color="auto" w:sz="4" w:space="0"/>
              <w:left w:val="single" w:color="auto" w:sz="4" w:space="0"/>
              <w:bottom w:val="single" w:color="auto" w:sz="4" w:space="0"/>
              <w:right w:val="single" w:color="auto" w:sz="4" w:space="0"/>
            </w:tcBorders>
            <w:vAlign w:val="center"/>
          </w:tcPr>
          <w:p w14:paraId="12098D8D">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r>
      <w:tr w14:paraId="2E56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 w:hRule="atLeast"/>
        </w:trPr>
        <w:tc>
          <w:tcPr>
            <w:tcW w:w="358" w:type="pct"/>
            <w:tcBorders>
              <w:top w:val="single" w:color="auto" w:sz="4" w:space="0"/>
              <w:left w:val="single" w:color="auto" w:sz="4" w:space="0"/>
              <w:right w:val="single" w:color="auto" w:sz="4" w:space="0"/>
            </w:tcBorders>
            <w:vAlign w:val="center"/>
          </w:tcPr>
          <w:p w14:paraId="2BB56FEF">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628" w:type="pct"/>
            <w:tcBorders>
              <w:top w:val="single" w:color="auto" w:sz="4" w:space="0"/>
              <w:left w:val="single" w:color="auto" w:sz="4" w:space="0"/>
              <w:right w:val="single" w:color="auto" w:sz="4" w:space="0"/>
            </w:tcBorders>
            <w:vAlign w:val="center"/>
          </w:tcPr>
          <w:p w14:paraId="0CF1392B">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业绩</w:t>
            </w:r>
          </w:p>
          <w:p w14:paraId="267D411E">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8</w:t>
            </w:r>
            <w:r>
              <w:rPr>
                <w:rFonts w:hint="eastAsia" w:ascii="宋体" w:hAnsi="宋体" w:eastAsia="宋体" w:cs="宋体"/>
                <w:b/>
                <w:color w:val="auto"/>
                <w:sz w:val="22"/>
                <w:szCs w:val="22"/>
                <w:highlight w:val="none"/>
              </w:rPr>
              <w:t>分）</w:t>
            </w:r>
          </w:p>
        </w:tc>
        <w:tc>
          <w:tcPr>
            <w:tcW w:w="3631" w:type="pct"/>
            <w:tcBorders>
              <w:top w:val="single" w:color="auto" w:sz="4" w:space="0"/>
              <w:left w:val="single" w:color="auto" w:sz="4" w:space="0"/>
              <w:bottom w:val="single" w:color="auto" w:sz="4" w:space="0"/>
              <w:right w:val="single" w:color="auto" w:sz="4" w:space="0"/>
            </w:tcBorders>
            <w:vAlign w:val="center"/>
          </w:tcPr>
          <w:p w14:paraId="4675B7EE">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投标人自202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年1月1日（含）以来，具有学校或类似食堂食材供货项目业绩的，每提供1个业绩得2分，最多得</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p w14:paraId="57D694DD">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thick"/>
              </w:rPr>
              <w:t>（需提供合同和中标通知书等相关证明材料，未提供证明材料或不符合要求不得分，原件备查）。</w:t>
            </w:r>
            <w:r>
              <w:rPr>
                <w:rFonts w:hint="eastAsia" w:ascii="宋体" w:hAnsi="宋体" w:eastAsia="宋体" w:cs="宋体"/>
                <w:color w:val="auto"/>
                <w:sz w:val="22"/>
                <w:szCs w:val="22"/>
                <w:highlight w:val="none"/>
              </w:rPr>
              <w:t xml:space="preserve"> </w:t>
            </w:r>
          </w:p>
        </w:tc>
        <w:tc>
          <w:tcPr>
            <w:tcW w:w="382" w:type="pct"/>
            <w:tcBorders>
              <w:top w:val="single" w:color="auto" w:sz="4" w:space="0"/>
              <w:left w:val="single" w:color="auto" w:sz="4" w:space="0"/>
              <w:right w:val="single" w:color="auto" w:sz="4" w:space="0"/>
            </w:tcBorders>
            <w:vAlign w:val="center"/>
          </w:tcPr>
          <w:p w14:paraId="63C1BE51">
            <w:pPr>
              <w:adjustRightInd w:val="0"/>
              <w:snapToGrid w:val="0"/>
              <w:spacing w:line="240" w:lineRule="auto"/>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8</w:t>
            </w:r>
          </w:p>
        </w:tc>
      </w:tr>
      <w:tr w14:paraId="55C4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 w:hRule="atLeast"/>
        </w:trPr>
        <w:tc>
          <w:tcPr>
            <w:tcW w:w="358" w:type="pct"/>
            <w:tcBorders>
              <w:top w:val="single" w:color="auto" w:sz="4" w:space="0"/>
              <w:left w:val="single" w:color="auto" w:sz="4" w:space="0"/>
              <w:right w:val="single" w:color="auto" w:sz="4" w:space="0"/>
            </w:tcBorders>
            <w:vAlign w:val="center"/>
          </w:tcPr>
          <w:p w14:paraId="19A23E31">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Theme="minorEastAsia" w:hAnsiTheme="minorEastAsia" w:cstheme="minorEastAsia"/>
                <w:b/>
                <w:color w:val="auto"/>
                <w:sz w:val="22"/>
                <w:szCs w:val="22"/>
                <w:highlight w:val="none"/>
                <w:lang w:val="en-US" w:eastAsia="zh-CN"/>
              </w:rPr>
              <w:t>7</w:t>
            </w:r>
          </w:p>
        </w:tc>
        <w:tc>
          <w:tcPr>
            <w:tcW w:w="628" w:type="pct"/>
            <w:tcBorders>
              <w:top w:val="single" w:color="auto" w:sz="4" w:space="0"/>
              <w:left w:val="single" w:color="auto" w:sz="4" w:space="0"/>
              <w:right w:val="single" w:color="auto" w:sz="4" w:space="0"/>
            </w:tcBorders>
            <w:vAlign w:val="center"/>
          </w:tcPr>
          <w:p w14:paraId="532CC1F6">
            <w:pPr>
              <w:adjustRightInd w:val="0"/>
              <w:snapToGrid w:val="0"/>
              <w:spacing w:line="240" w:lineRule="auto"/>
              <w:jc w:val="center"/>
              <w:rPr>
                <w:rFonts w:hint="eastAsia" w:asciiTheme="minorEastAsia" w:hAnsiTheme="minorEastAsia" w:cstheme="minorEastAsia"/>
                <w:b/>
                <w:color w:val="auto"/>
                <w:sz w:val="22"/>
                <w:szCs w:val="22"/>
                <w:highlight w:val="none"/>
                <w:lang w:val="en-US" w:eastAsia="zh-CN"/>
              </w:rPr>
            </w:pPr>
            <w:r>
              <w:rPr>
                <w:rFonts w:hint="eastAsia" w:asciiTheme="minorEastAsia" w:hAnsiTheme="minorEastAsia" w:cstheme="minorEastAsia"/>
                <w:b/>
                <w:color w:val="auto"/>
                <w:sz w:val="22"/>
                <w:szCs w:val="22"/>
                <w:highlight w:val="none"/>
                <w:lang w:val="en-US" w:eastAsia="zh-CN"/>
              </w:rPr>
              <w:t>满意度评价</w:t>
            </w:r>
          </w:p>
          <w:p w14:paraId="48C0BF17">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Theme="minorEastAsia" w:hAnsiTheme="minorEastAsia" w:cstheme="minorEastAsia"/>
                <w:b/>
                <w:color w:val="auto"/>
                <w:sz w:val="22"/>
                <w:szCs w:val="22"/>
                <w:highlight w:val="none"/>
                <w:lang w:val="en-US" w:eastAsia="zh-CN"/>
              </w:rPr>
              <w:t>（5分）</w:t>
            </w:r>
          </w:p>
        </w:tc>
        <w:tc>
          <w:tcPr>
            <w:tcW w:w="3631" w:type="pct"/>
            <w:tcBorders>
              <w:top w:val="single" w:color="auto" w:sz="4" w:space="0"/>
              <w:left w:val="single" w:color="auto" w:sz="4" w:space="0"/>
              <w:bottom w:val="single" w:color="auto" w:sz="4" w:space="0"/>
              <w:right w:val="single" w:color="auto" w:sz="4" w:space="0"/>
            </w:tcBorders>
            <w:vAlign w:val="center"/>
          </w:tcPr>
          <w:p w14:paraId="6E853C08">
            <w:pPr>
              <w:adjustRightInd w:val="0"/>
              <w:snapToGrid w:val="0"/>
              <w:spacing w:line="240" w:lineRule="auto"/>
              <w:rPr>
                <w:rFonts w:hint="eastAsia" w:ascii="宋体" w:hAnsi="宋体" w:eastAsia="宋体" w:cs="宋体"/>
                <w:b/>
                <w:bCs/>
                <w:color w:val="auto"/>
                <w:sz w:val="22"/>
                <w:szCs w:val="22"/>
                <w:highlight w:val="none"/>
                <w:u w:val="thick"/>
              </w:rPr>
            </w:pPr>
            <w:r>
              <w:rPr>
                <w:rFonts w:hint="eastAsia" w:asciiTheme="minorEastAsia" w:hAnsiTheme="minorEastAsia" w:cstheme="minorEastAsia"/>
                <w:color w:val="auto"/>
                <w:sz w:val="22"/>
                <w:szCs w:val="22"/>
                <w:highlight w:val="none"/>
                <w:lang w:val="en-US" w:eastAsia="zh-CN"/>
              </w:rPr>
              <w:t>投标人自2022</w:t>
            </w:r>
            <w:r>
              <w:rPr>
                <w:rFonts w:hint="eastAsia" w:asciiTheme="minorEastAsia" w:hAnsiTheme="minorEastAsia" w:eastAsiaTheme="minorEastAsia" w:cstheme="minorEastAsia"/>
                <w:color w:val="auto"/>
                <w:sz w:val="22"/>
                <w:szCs w:val="22"/>
                <w:highlight w:val="none"/>
              </w:rPr>
              <w:t>年1月 1（含）以来，</w:t>
            </w:r>
            <w:r>
              <w:rPr>
                <w:rFonts w:hint="eastAsia" w:asciiTheme="minorEastAsia" w:hAnsiTheme="minorEastAsia" w:cstheme="minorEastAsia"/>
                <w:color w:val="auto"/>
                <w:sz w:val="22"/>
                <w:szCs w:val="22"/>
                <w:highlight w:val="none"/>
                <w:lang w:val="en-US" w:eastAsia="zh-CN"/>
              </w:rPr>
              <w:t>具有</w:t>
            </w:r>
            <w:r>
              <w:rPr>
                <w:rFonts w:hint="eastAsia" w:asciiTheme="minorEastAsia" w:hAnsiTheme="minorEastAsia" w:eastAsiaTheme="minorEastAsia" w:cstheme="minorEastAsia"/>
                <w:color w:val="auto"/>
                <w:sz w:val="22"/>
                <w:szCs w:val="22"/>
                <w:highlight w:val="none"/>
              </w:rPr>
              <w:t>类似学校或类似食堂食材供货项目被服务单位证明合同履行优秀或满意的评价</w:t>
            </w:r>
            <w:r>
              <w:rPr>
                <w:rFonts w:hint="eastAsia" w:asciiTheme="minorEastAsia" w:hAnsiTheme="minorEastAsia" w:cstheme="minorEastAsia"/>
                <w:color w:val="auto"/>
                <w:sz w:val="22"/>
                <w:szCs w:val="22"/>
                <w:highlight w:val="none"/>
                <w:lang w:val="en-US" w:eastAsia="zh-CN"/>
              </w:rPr>
              <w:t>证明材料</w:t>
            </w:r>
            <w:r>
              <w:rPr>
                <w:rFonts w:hint="eastAsia" w:asciiTheme="minorEastAsia" w:hAnsiTheme="minorEastAsia" w:eastAsiaTheme="minorEastAsia" w:cstheme="minorEastAsia"/>
                <w:color w:val="auto"/>
                <w:sz w:val="22"/>
                <w:szCs w:val="22"/>
                <w:highlight w:val="none"/>
              </w:rPr>
              <w:t>的，每提供1份得</w:t>
            </w:r>
            <w:r>
              <w:rPr>
                <w:rFonts w:hint="eastAsia" w:asciiTheme="minorEastAsia" w:hAnsiTheme="minorEastAsia" w:cstheme="minorEastAsia"/>
                <w:color w:val="auto"/>
                <w:sz w:val="22"/>
                <w:szCs w:val="22"/>
                <w:highlight w:val="none"/>
                <w:lang w:val="en-US" w:eastAsia="zh-CN"/>
              </w:rPr>
              <w:t>2.5</w:t>
            </w:r>
            <w:r>
              <w:rPr>
                <w:rFonts w:hint="eastAsia" w:asciiTheme="minorEastAsia" w:hAnsiTheme="minorEastAsia" w:eastAsiaTheme="minorEastAsia" w:cstheme="minorEastAsia"/>
                <w:color w:val="auto"/>
                <w:sz w:val="22"/>
                <w:szCs w:val="22"/>
                <w:highlight w:val="none"/>
              </w:rPr>
              <w:t>分，最高得</w:t>
            </w:r>
            <w:r>
              <w:rPr>
                <w:rFonts w:hint="eastAsia" w:asciiTheme="minorEastAsia" w:hAnsi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eastAsiaTheme="minorEastAsia" w:cstheme="minorEastAsia"/>
                <w:b/>
                <w:bCs/>
                <w:color w:val="auto"/>
                <w:sz w:val="22"/>
                <w:szCs w:val="22"/>
                <w:highlight w:val="none"/>
              </w:rPr>
              <w:t>（提供</w:t>
            </w:r>
            <w:r>
              <w:rPr>
                <w:rFonts w:hint="eastAsia" w:asciiTheme="minorEastAsia" w:hAnsiTheme="minorEastAsia" w:cstheme="minorEastAsia"/>
                <w:b/>
                <w:bCs/>
                <w:color w:val="auto"/>
                <w:sz w:val="22"/>
                <w:szCs w:val="22"/>
                <w:highlight w:val="none"/>
                <w:lang w:val="en-US" w:eastAsia="zh-CN"/>
              </w:rPr>
              <w:t>加盖</w:t>
            </w:r>
            <w:r>
              <w:rPr>
                <w:rFonts w:hint="eastAsia" w:asciiTheme="minorEastAsia" w:hAnsiTheme="minorEastAsia" w:eastAsiaTheme="minorEastAsia" w:cstheme="minorEastAsia"/>
                <w:b/>
                <w:bCs/>
                <w:color w:val="auto"/>
                <w:sz w:val="22"/>
                <w:szCs w:val="22"/>
                <w:highlight w:val="none"/>
              </w:rPr>
              <w:t>被服务单位</w:t>
            </w:r>
            <w:r>
              <w:rPr>
                <w:rFonts w:hint="eastAsia" w:asciiTheme="minorEastAsia" w:hAnsiTheme="minorEastAsia" w:cstheme="minorEastAsia"/>
                <w:b/>
                <w:bCs/>
                <w:color w:val="auto"/>
                <w:sz w:val="22"/>
                <w:szCs w:val="22"/>
                <w:highlight w:val="none"/>
                <w:lang w:val="en-US" w:eastAsia="zh-CN"/>
              </w:rPr>
              <w:t>公章的</w:t>
            </w:r>
            <w:r>
              <w:rPr>
                <w:rFonts w:hint="eastAsia" w:asciiTheme="minorEastAsia" w:hAnsiTheme="minorEastAsia" w:eastAsiaTheme="minorEastAsia" w:cstheme="minorEastAsia"/>
                <w:b/>
                <w:bCs/>
                <w:color w:val="auto"/>
                <w:sz w:val="22"/>
                <w:szCs w:val="22"/>
                <w:highlight w:val="none"/>
              </w:rPr>
              <w:t>评价</w:t>
            </w:r>
            <w:r>
              <w:rPr>
                <w:rFonts w:hint="eastAsia" w:asciiTheme="minorEastAsia" w:hAnsiTheme="minorEastAsia" w:cstheme="minorEastAsia"/>
                <w:b/>
                <w:bCs/>
                <w:color w:val="auto"/>
                <w:sz w:val="22"/>
                <w:szCs w:val="22"/>
                <w:highlight w:val="none"/>
                <w:lang w:val="en-US" w:eastAsia="zh-CN"/>
              </w:rPr>
              <w:t>证明材料</w:t>
            </w:r>
            <w:r>
              <w:rPr>
                <w:rFonts w:hint="eastAsia" w:asciiTheme="minorEastAsia" w:hAnsiTheme="minorEastAsia" w:eastAsiaTheme="minorEastAsia" w:cstheme="minorEastAsia"/>
                <w:b/>
                <w:bCs/>
                <w:color w:val="auto"/>
                <w:sz w:val="22"/>
                <w:szCs w:val="22"/>
                <w:highlight w:val="none"/>
                <w:u w:val="thick"/>
              </w:rPr>
              <w:t>，未提供证明材料</w:t>
            </w:r>
            <w:r>
              <w:rPr>
                <w:rFonts w:hint="eastAsia" w:asciiTheme="minorEastAsia" w:hAnsiTheme="minorEastAsia" w:cstheme="minorEastAsia"/>
                <w:b/>
                <w:bCs/>
                <w:color w:val="auto"/>
                <w:sz w:val="22"/>
                <w:szCs w:val="22"/>
                <w:highlight w:val="none"/>
                <w:u w:val="thick"/>
                <w:lang w:val="en-US" w:eastAsia="zh-CN"/>
              </w:rPr>
              <w:t>或不符合要求</w:t>
            </w:r>
            <w:r>
              <w:rPr>
                <w:rFonts w:hint="eastAsia" w:asciiTheme="minorEastAsia" w:hAnsiTheme="minorEastAsia" w:eastAsiaTheme="minorEastAsia" w:cstheme="minorEastAsia"/>
                <w:b/>
                <w:bCs/>
                <w:color w:val="auto"/>
                <w:sz w:val="22"/>
                <w:szCs w:val="22"/>
                <w:highlight w:val="none"/>
                <w:u w:val="thick"/>
              </w:rPr>
              <w:t>不得分，原件备查</w:t>
            </w:r>
            <w:r>
              <w:rPr>
                <w:rFonts w:hint="eastAsia" w:asciiTheme="minorEastAsia" w:hAnsiTheme="minorEastAsia" w:eastAsiaTheme="minorEastAsia" w:cstheme="minorEastAsia"/>
                <w:color w:val="auto"/>
                <w:sz w:val="22"/>
                <w:szCs w:val="22"/>
                <w:highlight w:val="none"/>
              </w:rPr>
              <w:t>）。</w:t>
            </w:r>
          </w:p>
        </w:tc>
        <w:tc>
          <w:tcPr>
            <w:tcW w:w="382" w:type="pct"/>
            <w:tcBorders>
              <w:top w:val="single" w:color="auto" w:sz="4" w:space="0"/>
              <w:left w:val="single" w:color="auto" w:sz="4" w:space="0"/>
              <w:right w:val="single" w:color="auto" w:sz="4" w:space="0"/>
            </w:tcBorders>
            <w:vAlign w:val="center"/>
          </w:tcPr>
          <w:p w14:paraId="3A750862">
            <w:pPr>
              <w:adjustRightInd w:val="0"/>
              <w:snapToGrid w:val="0"/>
              <w:spacing w:line="240" w:lineRule="auto"/>
              <w:jc w:val="center"/>
              <w:rPr>
                <w:rFonts w:hint="eastAsia" w:ascii="宋体" w:hAnsi="宋体" w:eastAsia="宋体" w:cs="宋体"/>
                <w:b/>
                <w:color w:val="auto"/>
                <w:sz w:val="22"/>
                <w:szCs w:val="22"/>
                <w:highlight w:val="none"/>
                <w:lang w:val="en-US" w:eastAsia="zh-CN"/>
              </w:rPr>
            </w:pPr>
            <w:r>
              <w:rPr>
                <w:rFonts w:hint="eastAsia" w:asciiTheme="minorEastAsia" w:hAnsiTheme="minorEastAsia" w:cstheme="minorEastAsia"/>
                <w:b/>
                <w:color w:val="auto"/>
                <w:sz w:val="22"/>
                <w:szCs w:val="22"/>
                <w:highlight w:val="none"/>
                <w:lang w:val="en-US" w:eastAsia="zh-CN"/>
              </w:rPr>
              <w:t>5</w:t>
            </w:r>
          </w:p>
        </w:tc>
      </w:tr>
      <w:tr w14:paraId="2B74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358" w:type="pct"/>
            <w:tcBorders>
              <w:top w:val="single" w:color="auto" w:sz="4" w:space="0"/>
              <w:left w:val="single" w:color="auto" w:sz="4" w:space="0"/>
              <w:bottom w:val="single" w:color="auto" w:sz="4" w:space="0"/>
              <w:right w:val="single" w:color="auto" w:sz="4" w:space="0"/>
            </w:tcBorders>
            <w:vAlign w:val="center"/>
          </w:tcPr>
          <w:p w14:paraId="52530A49">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w:t>
            </w:r>
          </w:p>
        </w:tc>
        <w:tc>
          <w:tcPr>
            <w:tcW w:w="628" w:type="pct"/>
            <w:tcBorders>
              <w:top w:val="single" w:color="auto" w:sz="4" w:space="0"/>
              <w:left w:val="single" w:color="auto" w:sz="4" w:space="0"/>
              <w:right w:val="single" w:color="auto" w:sz="4" w:space="0"/>
            </w:tcBorders>
            <w:vAlign w:val="center"/>
          </w:tcPr>
          <w:p w14:paraId="1443B43B">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合计</w:t>
            </w:r>
          </w:p>
        </w:tc>
        <w:tc>
          <w:tcPr>
            <w:tcW w:w="3631" w:type="pct"/>
            <w:tcBorders>
              <w:top w:val="single" w:color="auto" w:sz="4" w:space="0"/>
              <w:left w:val="single" w:color="auto" w:sz="4" w:space="0"/>
              <w:bottom w:val="single" w:color="auto" w:sz="4" w:space="0"/>
              <w:right w:val="single" w:color="auto" w:sz="4" w:space="0"/>
            </w:tcBorders>
            <w:vAlign w:val="center"/>
          </w:tcPr>
          <w:p w14:paraId="1AE910CE">
            <w:pPr>
              <w:adjustRightInd w:val="0"/>
              <w:snapToGrid w:val="0"/>
              <w:spacing w:line="240" w:lineRule="auto"/>
              <w:ind w:firstLine="440" w:firstLineChars="200"/>
              <w:rPr>
                <w:rFonts w:hint="eastAsia" w:ascii="宋体" w:hAnsi="宋体" w:eastAsia="宋体" w:cs="宋体"/>
                <w:color w:val="auto"/>
                <w:sz w:val="22"/>
                <w:szCs w:val="22"/>
                <w:highlight w:val="none"/>
              </w:rPr>
            </w:pPr>
          </w:p>
        </w:tc>
        <w:tc>
          <w:tcPr>
            <w:tcW w:w="382" w:type="pct"/>
            <w:tcBorders>
              <w:top w:val="single" w:color="auto" w:sz="4" w:space="0"/>
              <w:left w:val="single" w:color="auto" w:sz="4" w:space="0"/>
              <w:bottom w:val="single" w:color="auto" w:sz="4" w:space="0"/>
              <w:right w:val="single" w:color="auto" w:sz="4" w:space="0"/>
            </w:tcBorders>
            <w:vAlign w:val="center"/>
          </w:tcPr>
          <w:p w14:paraId="3E1CB871">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100</w:t>
            </w:r>
          </w:p>
        </w:tc>
      </w:tr>
    </w:tbl>
    <w:p w14:paraId="3795FB20">
      <w:pPr>
        <w:autoSpaceDE w:val="0"/>
        <w:autoSpaceDN w:val="0"/>
        <w:adjustRightInd w:val="0"/>
        <w:spacing w:line="440" w:lineRule="exact"/>
        <w:ind w:firstLine="482" w:firstLineChars="200"/>
        <w:jc w:val="left"/>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说明：</w:t>
      </w:r>
    </w:p>
    <w:p w14:paraId="392391DA">
      <w:pPr>
        <w:numPr>
          <w:ilvl w:val="0"/>
          <w:numId w:val="0"/>
        </w:numPr>
        <w:autoSpaceDE w:val="0"/>
        <w:autoSpaceDN w:val="0"/>
        <w:adjustRightInd w:val="0"/>
        <w:spacing w:line="440" w:lineRule="exact"/>
        <w:ind w:firstLine="482" w:firstLineChars="200"/>
        <w:jc w:val="left"/>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lang w:val="en-US" w:eastAsia="zh-CN" w:bidi="ar-SA"/>
        </w:rPr>
        <w:t>1.</w:t>
      </w:r>
      <w:r>
        <w:rPr>
          <w:rFonts w:hint="eastAsia" w:asciiTheme="minorEastAsia" w:hAnsiTheme="minorEastAsia" w:cstheme="minorEastAsia"/>
          <w:b/>
          <w:bCs/>
          <w:color w:val="auto"/>
          <w:sz w:val="24"/>
          <w:szCs w:val="24"/>
          <w:highlight w:val="none"/>
          <w:lang w:val="en-US" w:eastAsia="zh-CN"/>
        </w:rPr>
        <w:t>投标人必须在投标文件中逐条响应上述评标办法细则并提供有效证明材料并列明索引，否则将可能导致不得分。</w:t>
      </w:r>
    </w:p>
    <w:p w14:paraId="795CAC83">
      <w:pPr>
        <w:pStyle w:val="16"/>
        <w:widowControl w:val="0"/>
        <w:numPr>
          <w:ilvl w:val="0"/>
          <w:numId w:val="0"/>
        </w:numPr>
        <w:spacing w:after="120"/>
        <w:jc w:val="both"/>
        <w:rPr>
          <w:rFonts w:hint="eastAsia"/>
          <w:color w:val="auto"/>
          <w:highlight w:val="none"/>
          <w:lang w:val="en-US" w:eastAsia="zh-CN"/>
        </w:rPr>
      </w:pPr>
    </w:p>
    <w:p w14:paraId="10F77D23">
      <w:pPr>
        <w:rPr>
          <w:rFonts w:hint="eastAsia"/>
          <w:b/>
          <w:bCs/>
          <w:color w:val="auto"/>
          <w:highlight w:val="none"/>
          <w:lang w:val="en-US" w:eastAsia="zh-CN"/>
        </w:rPr>
      </w:pPr>
    </w:p>
    <w:p w14:paraId="6A6A84C2">
      <w:pPr>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标段三：粮油、调味料、干货、牛奶饮料类</w:t>
      </w:r>
    </w:p>
    <w:tbl>
      <w:tblPr>
        <w:tblStyle w:val="43"/>
        <w:tblW w:w="51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266"/>
        <w:gridCol w:w="7174"/>
        <w:gridCol w:w="896"/>
      </w:tblGrid>
      <w:tr w14:paraId="083C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14:paraId="746A631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序号</w:t>
            </w:r>
          </w:p>
        </w:tc>
        <w:tc>
          <w:tcPr>
            <w:tcW w:w="629" w:type="pct"/>
            <w:tcBorders>
              <w:top w:val="single" w:color="auto" w:sz="4" w:space="0"/>
              <w:left w:val="single" w:color="auto" w:sz="4" w:space="0"/>
              <w:bottom w:val="single" w:color="auto" w:sz="4" w:space="0"/>
              <w:right w:val="single" w:color="auto" w:sz="4" w:space="0"/>
            </w:tcBorders>
            <w:vAlign w:val="center"/>
          </w:tcPr>
          <w:p w14:paraId="2CA8027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评分因素</w:t>
            </w:r>
          </w:p>
        </w:tc>
        <w:tc>
          <w:tcPr>
            <w:tcW w:w="3565" w:type="pct"/>
            <w:tcBorders>
              <w:top w:val="single" w:color="auto" w:sz="4" w:space="0"/>
              <w:left w:val="single" w:color="auto" w:sz="4" w:space="0"/>
              <w:bottom w:val="single" w:color="auto" w:sz="4" w:space="0"/>
              <w:right w:val="single" w:color="auto" w:sz="4" w:space="0"/>
            </w:tcBorders>
            <w:vAlign w:val="center"/>
          </w:tcPr>
          <w:p w14:paraId="6A85748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评分标准</w:t>
            </w:r>
          </w:p>
        </w:tc>
        <w:tc>
          <w:tcPr>
            <w:tcW w:w="445" w:type="pct"/>
            <w:tcBorders>
              <w:top w:val="single" w:color="auto" w:sz="4" w:space="0"/>
              <w:left w:val="single" w:color="auto" w:sz="4" w:space="0"/>
              <w:bottom w:val="single" w:color="auto" w:sz="4" w:space="0"/>
              <w:right w:val="single" w:color="auto" w:sz="4" w:space="0"/>
            </w:tcBorders>
            <w:vAlign w:val="center"/>
          </w:tcPr>
          <w:p w14:paraId="65C34E1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分值</w:t>
            </w:r>
          </w:p>
        </w:tc>
      </w:tr>
      <w:tr w14:paraId="2423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14:paraId="016C315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w:t>
            </w:r>
          </w:p>
        </w:tc>
        <w:tc>
          <w:tcPr>
            <w:tcW w:w="629" w:type="pct"/>
            <w:tcBorders>
              <w:top w:val="single" w:color="auto" w:sz="4" w:space="0"/>
              <w:left w:val="single" w:color="auto" w:sz="4" w:space="0"/>
              <w:right w:val="single" w:color="auto" w:sz="4" w:space="0"/>
            </w:tcBorders>
            <w:vAlign w:val="center"/>
          </w:tcPr>
          <w:p w14:paraId="5CF3BEE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价格</w:t>
            </w:r>
          </w:p>
          <w:p w14:paraId="20FCA59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cstheme="minorEastAsia"/>
                <w:b/>
                <w:color w:val="auto"/>
                <w:sz w:val="22"/>
                <w:szCs w:val="22"/>
                <w:highlight w:val="none"/>
                <w:lang w:val="en-US" w:eastAsia="zh-CN"/>
              </w:rPr>
              <w:t>30</w:t>
            </w:r>
            <w:r>
              <w:rPr>
                <w:rFonts w:hint="eastAsia" w:asciiTheme="minorEastAsia" w:hAnsiTheme="minorEastAsia" w:eastAsiaTheme="minorEastAsia" w:cstheme="minorEastAsia"/>
                <w:b/>
                <w:color w:val="auto"/>
                <w:sz w:val="22"/>
                <w:szCs w:val="22"/>
                <w:highlight w:val="none"/>
              </w:rPr>
              <w:t>分）</w:t>
            </w:r>
          </w:p>
        </w:tc>
        <w:tc>
          <w:tcPr>
            <w:tcW w:w="3565" w:type="pct"/>
            <w:tcBorders>
              <w:top w:val="single" w:color="auto" w:sz="4" w:space="0"/>
              <w:left w:val="single" w:color="auto" w:sz="4" w:space="0"/>
              <w:bottom w:val="single" w:color="auto" w:sz="4" w:space="0"/>
              <w:right w:val="single" w:color="auto" w:sz="4" w:space="0"/>
            </w:tcBorders>
            <w:vAlign w:val="center"/>
          </w:tcPr>
          <w:p w14:paraId="38ED33D1">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采用低价优先法计算，即满足招标文件要求且</w:t>
            </w:r>
            <w:r>
              <w:rPr>
                <w:rFonts w:hint="eastAsia" w:asciiTheme="minorEastAsia" w:hAnsiTheme="minorEastAsia" w:cstheme="minorEastAsia"/>
                <w:b/>
                <w:bCs/>
                <w:color w:val="auto"/>
                <w:sz w:val="22"/>
                <w:szCs w:val="22"/>
                <w:highlight w:val="none"/>
                <w:lang w:val="en-US" w:eastAsia="zh-CN"/>
              </w:rPr>
              <w:t>投标折扣</w:t>
            </w:r>
            <w:r>
              <w:rPr>
                <w:rFonts w:hint="eastAsia" w:asciiTheme="minorEastAsia" w:hAnsiTheme="minorEastAsia" w:eastAsiaTheme="minorEastAsia" w:cstheme="minorEastAsia"/>
                <w:color w:val="auto"/>
                <w:sz w:val="22"/>
                <w:szCs w:val="22"/>
                <w:highlight w:val="none"/>
              </w:rPr>
              <w:t>最低的投标报价为评标基准价，其价格分为满分。本项目其他投标人的价格分统一按照下列公式计算：投标报价得分=</w:t>
            </w:r>
            <w:r>
              <w:rPr>
                <w:rFonts w:hint="eastAsia" w:asciiTheme="minorEastAsia" w:hAnsi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评标基准价/投标折扣</w:t>
            </w:r>
            <w:r>
              <w:rPr>
                <w:rFonts w:hint="eastAsia" w:asciiTheme="minorEastAsia" w:hAnsi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cstheme="minorEastAsia"/>
                <w:color w:val="auto"/>
                <w:sz w:val="22"/>
                <w:szCs w:val="22"/>
                <w:highlight w:val="none"/>
                <w:lang w:val="en-US" w:eastAsia="zh-CN"/>
              </w:rPr>
              <w:t>30</w:t>
            </w:r>
            <w:r>
              <w:rPr>
                <w:rFonts w:hint="eastAsia" w:asciiTheme="minorEastAsia" w:hAnsiTheme="minorEastAsia" w:eastAsiaTheme="minorEastAsia" w:cstheme="minorEastAsia"/>
                <w:color w:val="auto"/>
                <w:sz w:val="22"/>
                <w:szCs w:val="22"/>
                <w:highlight w:val="none"/>
              </w:rPr>
              <w:t>（小数点保留两位）。</w:t>
            </w:r>
          </w:p>
        </w:tc>
        <w:tc>
          <w:tcPr>
            <w:tcW w:w="445" w:type="pct"/>
            <w:tcBorders>
              <w:top w:val="single" w:color="auto" w:sz="4" w:space="0"/>
              <w:left w:val="single" w:color="auto" w:sz="4" w:space="0"/>
              <w:bottom w:val="single" w:color="auto" w:sz="4" w:space="0"/>
              <w:right w:val="single" w:color="auto" w:sz="4" w:space="0"/>
            </w:tcBorders>
            <w:vAlign w:val="center"/>
          </w:tcPr>
          <w:p w14:paraId="25F8BE4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b/>
                <w:color w:val="auto"/>
                <w:sz w:val="22"/>
                <w:szCs w:val="22"/>
                <w:highlight w:val="none"/>
                <w:lang w:val="en-US"/>
              </w:rPr>
            </w:pPr>
            <w:r>
              <w:rPr>
                <w:rFonts w:hint="eastAsia" w:asciiTheme="minorEastAsia" w:hAnsiTheme="minorEastAsia" w:cstheme="minorEastAsia"/>
                <w:b/>
                <w:color w:val="auto"/>
                <w:sz w:val="22"/>
                <w:szCs w:val="22"/>
                <w:highlight w:val="none"/>
                <w:lang w:val="en-US" w:eastAsia="zh-CN"/>
              </w:rPr>
              <w:t>30</w:t>
            </w:r>
          </w:p>
        </w:tc>
      </w:tr>
      <w:tr w14:paraId="02AE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14:paraId="03642FB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2.1</w:t>
            </w:r>
          </w:p>
        </w:tc>
        <w:tc>
          <w:tcPr>
            <w:tcW w:w="629" w:type="pct"/>
            <w:vMerge w:val="restart"/>
            <w:tcBorders>
              <w:left w:val="single" w:color="auto" w:sz="4" w:space="0"/>
              <w:right w:val="single" w:color="auto" w:sz="4" w:space="0"/>
            </w:tcBorders>
            <w:vAlign w:val="center"/>
          </w:tcPr>
          <w:p w14:paraId="405E8F7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服务方案</w:t>
            </w:r>
          </w:p>
          <w:p w14:paraId="1385102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cstheme="minorEastAsia"/>
                <w:b/>
                <w:color w:val="auto"/>
                <w:sz w:val="22"/>
                <w:szCs w:val="22"/>
                <w:highlight w:val="none"/>
                <w:lang w:val="en-US" w:eastAsia="zh-CN"/>
              </w:rPr>
              <w:t>40</w:t>
            </w:r>
            <w:r>
              <w:rPr>
                <w:rFonts w:hint="eastAsia" w:asciiTheme="minorEastAsia" w:hAnsiTheme="minorEastAsia" w:eastAsiaTheme="minorEastAsia" w:cstheme="minorEastAsia"/>
                <w:b/>
                <w:color w:val="auto"/>
                <w:sz w:val="22"/>
                <w:szCs w:val="22"/>
                <w:highlight w:val="none"/>
              </w:rPr>
              <w:t>分）</w:t>
            </w:r>
          </w:p>
        </w:tc>
        <w:tc>
          <w:tcPr>
            <w:tcW w:w="3565" w:type="pct"/>
            <w:tcBorders>
              <w:top w:val="single" w:color="auto" w:sz="4" w:space="0"/>
              <w:left w:val="single" w:color="auto" w:sz="4" w:space="0"/>
              <w:bottom w:val="single" w:color="auto" w:sz="4" w:space="0"/>
              <w:right w:val="single" w:color="auto" w:sz="4" w:space="0"/>
            </w:tcBorders>
            <w:vAlign w:val="center"/>
          </w:tcPr>
          <w:p w14:paraId="2FEE80B4">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配送管理方案：</w:t>
            </w:r>
          </w:p>
          <w:p w14:paraId="7AFA3DFF">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评委根据投标人提供的食材配送管理方案（</w:t>
            </w:r>
            <w:r>
              <w:rPr>
                <w:rFonts w:hint="eastAsia" w:asciiTheme="minorEastAsia" w:hAnsiTheme="minorEastAsia" w:eastAsiaTheme="minorEastAsia" w:cstheme="minorEastAsia"/>
                <w:b/>
                <w:bCs/>
                <w:color w:val="auto"/>
                <w:sz w:val="22"/>
                <w:szCs w:val="22"/>
                <w:highlight w:val="none"/>
                <w:u w:val="thick"/>
              </w:rPr>
              <w:t>包括但不限于配送能力、服务流程、库存不足解决方案</w:t>
            </w:r>
            <w:r>
              <w:rPr>
                <w:rFonts w:hint="eastAsia" w:asciiTheme="minorEastAsia" w:hAnsiTheme="minorEastAsia" w:cstheme="minorEastAsia"/>
                <w:b/>
                <w:bCs/>
                <w:color w:val="auto"/>
                <w:sz w:val="22"/>
                <w:szCs w:val="22"/>
                <w:highlight w:val="none"/>
                <w:u w:val="thick"/>
                <w:lang w:eastAsia="zh-CN"/>
              </w:rPr>
              <w:t>，以及</w:t>
            </w:r>
            <w:r>
              <w:rPr>
                <w:rFonts w:hint="eastAsia" w:asciiTheme="minorEastAsia" w:hAnsiTheme="minorEastAsia" w:eastAsiaTheme="minorEastAsia" w:cstheme="minorEastAsia"/>
                <w:b/>
                <w:bCs/>
                <w:color w:val="auto"/>
                <w:sz w:val="22"/>
                <w:szCs w:val="22"/>
                <w:highlight w:val="none"/>
                <w:u w:val="thick"/>
              </w:rPr>
              <w:t>配送过程中安全保障措施等</w:t>
            </w:r>
            <w:r>
              <w:rPr>
                <w:rFonts w:hint="eastAsia" w:asciiTheme="minorEastAsia" w:hAnsiTheme="minorEastAsia" w:eastAsiaTheme="minorEastAsia" w:cstheme="minorEastAsia"/>
                <w:color w:val="auto"/>
                <w:sz w:val="22"/>
                <w:szCs w:val="22"/>
                <w:highlight w:val="none"/>
              </w:rPr>
              <w:t>）进行综合评分：</w:t>
            </w:r>
          </w:p>
          <w:p w14:paraId="27258F0C">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方案全面、合理、可操作性强的得10 分；</w:t>
            </w:r>
          </w:p>
          <w:p w14:paraId="4ACE0ED8">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方案齐全、具有实际可操作性的得7分；</w:t>
            </w:r>
          </w:p>
          <w:p w14:paraId="4DF1D715">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方案考虑相对不够全面，但依旧具备可行性的得4分；</w:t>
            </w:r>
          </w:p>
          <w:p w14:paraId="50FC164F">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方案不全面，可操作性较低的得1分；</w:t>
            </w:r>
          </w:p>
          <w:p w14:paraId="5C62EEDD">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未提供方案的不得分。</w:t>
            </w:r>
          </w:p>
        </w:tc>
        <w:tc>
          <w:tcPr>
            <w:tcW w:w="445" w:type="pct"/>
            <w:tcBorders>
              <w:top w:val="single" w:color="auto" w:sz="4" w:space="0"/>
              <w:left w:val="single" w:color="auto" w:sz="4" w:space="0"/>
              <w:bottom w:val="single" w:color="auto" w:sz="4" w:space="0"/>
              <w:right w:val="single" w:color="auto" w:sz="4" w:space="0"/>
            </w:tcBorders>
            <w:vAlign w:val="center"/>
          </w:tcPr>
          <w:p w14:paraId="526D32B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10</w:t>
            </w:r>
          </w:p>
        </w:tc>
      </w:tr>
      <w:tr w14:paraId="0D06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14:paraId="0ADCEDB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2.2</w:t>
            </w:r>
          </w:p>
        </w:tc>
        <w:tc>
          <w:tcPr>
            <w:tcW w:w="629" w:type="pct"/>
            <w:vMerge w:val="continue"/>
            <w:tcBorders>
              <w:left w:val="single" w:color="auto" w:sz="4" w:space="0"/>
              <w:right w:val="single" w:color="auto" w:sz="4" w:space="0"/>
            </w:tcBorders>
            <w:vAlign w:val="center"/>
          </w:tcPr>
          <w:p w14:paraId="69D534D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p>
        </w:tc>
        <w:tc>
          <w:tcPr>
            <w:tcW w:w="3565" w:type="pct"/>
            <w:tcBorders>
              <w:top w:val="single" w:color="auto" w:sz="4" w:space="0"/>
              <w:left w:val="single" w:color="auto" w:sz="4" w:space="0"/>
              <w:bottom w:val="single" w:color="auto" w:sz="4" w:space="0"/>
              <w:right w:val="single" w:color="auto" w:sz="4" w:space="0"/>
            </w:tcBorders>
            <w:vAlign w:val="center"/>
          </w:tcPr>
          <w:p w14:paraId="26B80FFB">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应急事件处理方案：</w:t>
            </w:r>
          </w:p>
          <w:p w14:paraId="39B6495D">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评委根据投标人提供的应急事件处理方案（</w:t>
            </w:r>
            <w:r>
              <w:rPr>
                <w:rFonts w:hint="eastAsia" w:asciiTheme="minorEastAsia" w:hAnsiTheme="minorEastAsia" w:eastAsiaTheme="minorEastAsia" w:cstheme="minorEastAsia"/>
                <w:b/>
                <w:bCs/>
                <w:color w:val="auto"/>
                <w:sz w:val="22"/>
                <w:szCs w:val="22"/>
                <w:highlight w:val="none"/>
                <w:u w:val="thick"/>
              </w:rPr>
              <w:t>包括但不限于恶劣天气供应、紧急补货处理、食品安全事件处理措施、</w:t>
            </w:r>
            <w:r>
              <w:rPr>
                <w:rFonts w:hint="eastAsia" w:asciiTheme="minorEastAsia" w:hAnsiTheme="minorEastAsia" w:eastAsiaTheme="minorEastAsia" w:cstheme="minorEastAsia"/>
                <w:b/>
                <w:bCs/>
                <w:color w:val="auto"/>
                <w:sz w:val="22"/>
                <w:szCs w:val="22"/>
                <w:highlight w:val="none"/>
                <w:u w:val="thick"/>
                <w:lang w:val="en-US" w:eastAsia="zh-CN"/>
              </w:rPr>
              <w:t>突发食品疫情</w:t>
            </w:r>
            <w:r>
              <w:rPr>
                <w:rFonts w:hint="eastAsia" w:asciiTheme="minorEastAsia" w:hAnsiTheme="minorEastAsia" w:eastAsiaTheme="minorEastAsia" w:cstheme="minorEastAsia"/>
                <w:b/>
                <w:bCs/>
                <w:color w:val="auto"/>
                <w:sz w:val="22"/>
                <w:szCs w:val="22"/>
                <w:highlight w:val="none"/>
                <w:u w:val="thick"/>
              </w:rPr>
              <w:t>防控措施、售后服务等</w:t>
            </w:r>
            <w:r>
              <w:rPr>
                <w:rFonts w:hint="eastAsia" w:asciiTheme="minorEastAsia" w:hAnsiTheme="minorEastAsia" w:eastAsiaTheme="minorEastAsia" w:cstheme="minorEastAsia"/>
                <w:color w:val="auto"/>
                <w:sz w:val="22"/>
                <w:szCs w:val="22"/>
                <w:highlight w:val="none"/>
              </w:rPr>
              <w:t>）进行综合评分：</w:t>
            </w:r>
          </w:p>
          <w:p w14:paraId="20E2844C">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方案全面、合理、时效性强且有切实可行的保证措施的得10 分；</w:t>
            </w:r>
          </w:p>
          <w:p w14:paraId="3DA7E003">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方案齐全、时效性较强、保证措施可行性较强的得7分；</w:t>
            </w:r>
          </w:p>
          <w:p w14:paraId="5C064A77">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方案考虑相对不够全面，时效性一般但保证措施依旧具备可行性的得4分；</w:t>
            </w:r>
          </w:p>
          <w:p w14:paraId="605E5F59">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方案不全面，时效性、可操作性较低的得1分；</w:t>
            </w:r>
          </w:p>
          <w:p w14:paraId="01C7D30F">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未提供方案的不得分。</w:t>
            </w:r>
          </w:p>
        </w:tc>
        <w:tc>
          <w:tcPr>
            <w:tcW w:w="445" w:type="pct"/>
            <w:tcBorders>
              <w:top w:val="single" w:color="auto" w:sz="4" w:space="0"/>
              <w:left w:val="single" w:color="auto" w:sz="4" w:space="0"/>
              <w:bottom w:val="single" w:color="auto" w:sz="4" w:space="0"/>
              <w:right w:val="single" w:color="auto" w:sz="4" w:space="0"/>
            </w:tcBorders>
            <w:vAlign w:val="center"/>
          </w:tcPr>
          <w:p w14:paraId="244D2B1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10</w:t>
            </w:r>
          </w:p>
        </w:tc>
      </w:tr>
      <w:tr w14:paraId="180E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14:paraId="1BB9886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2.3</w:t>
            </w:r>
          </w:p>
        </w:tc>
        <w:tc>
          <w:tcPr>
            <w:tcW w:w="629" w:type="pct"/>
            <w:vMerge w:val="continue"/>
            <w:tcBorders>
              <w:left w:val="single" w:color="auto" w:sz="4" w:space="0"/>
              <w:right w:val="single" w:color="auto" w:sz="4" w:space="0"/>
            </w:tcBorders>
            <w:vAlign w:val="center"/>
          </w:tcPr>
          <w:p w14:paraId="7920E1E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p>
        </w:tc>
        <w:tc>
          <w:tcPr>
            <w:tcW w:w="3565" w:type="pct"/>
            <w:tcBorders>
              <w:top w:val="single" w:color="auto" w:sz="4" w:space="0"/>
              <w:left w:val="single" w:color="auto" w:sz="4" w:space="0"/>
              <w:bottom w:val="single" w:color="auto" w:sz="4" w:space="0"/>
              <w:right w:val="single" w:color="auto" w:sz="4" w:space="0"/>
            </w:tcBorders>
            <w:vAlign w:val="center"/>
          </w:tcPr>
          <w:p w14:paraId="149685DC">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质量保障措施和服务承诺：</w:t>
            </w:r>
          </w:p>
          <w:p w14:paraId="758F73C9">
            <w:pPr>
              <w:adjustRightInd w:val="0"/>
              <w:snapToGrid w:val="0"/>
              <w:spacing w:line="24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评委根据投标人提</w:t>
            </w:r>
            <w:r>
              <w:rPr>
                <w:rFonts w:hint="eastAsia" w:asciiTheme="minorEastAsia" w:hAnsiTheme="minorEastAsia" w:cstheme="minorEastAsia"/>
                <w:color w:val="auto"/>
                <w:sz w:val="22"/>
                <w:szCs w:val="22"/>
                <w:highlight w:val="none"/>
                <w:lang w:eastAsia="zh-CN"/>
              </w:rPr>
              <w:t>供的</w:t>
            </w:r>
            <w:r>
              <w:rPr>
                <w:rFonts w:hint="eastAsia" w:asciiTheme="minorEastAsia" w:hAnsiTheme="minorEastAsia" w:eastAsiaTheme="minorEastAsia" w:cstheme="minorEastAsia"/>
                <w:color w:val="auto"/>
                <w:kern w:val="0"/>
                <w:sz w:val="22"/>
                <w:szCs w:val="22"/>
                <w:highlight w:val="none"/>
              </w:rPr>
              <w:t>食材质量保障措施及质量保证服务承诺进行综合评分：</w:t>
            </w:r>
          </w:p>
          <w:p w14:paraId="5A581A95">
            <w:pPr>
              <w:adjustRightInd w:val="0"/>
              <w:snapToGrid w:val="0"/>
              <w:spacing w:line="24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对本项目有积极支持的态度、质量保证及服务承诺内容完整明确</w:t>
            </w:r>
            <w:r>
              <w:rPr>
                <w:rFonts w:hint="eastAsia" w:asciiTheme="minorEastAsia" w:hAnsiTheme="minorEastAsia" w:eastAsiaTheme="minorEastAsia" w:cstheme="minorEastAsia"/>
                <w:color w:val="auto"/>
                <w:kern w:val="0"/>
                <w:sz w:val="22"/>
                <w:szCs w:val="22"/>
                <w:highlight w:val="none"/>
                <w:lang w:eastAsia="zh-CN"/>
              </w:rPr>
              <w:t>且</w:t>
            </w:r>
            <w:r>
              <w:rPr>
                <w:rFonts w:hint="eastAsia" w:asciiTheme="minorEastAsia" w:hAnsiTheme="minorEastAsia" w:eastAsiaTheme="minorEastAsia" w:cstheme="minorEastAsia"/>
                <w:color w:val="auto"/>
                <w:kern w:val="0"/>
                <w:sz w:val="22"/>
                <w:szCs w:val="22"/>
                <w:highlight w:val="none"/>
              </w:rPr>
              <w:t>有较为实际的措施</w:t>
            </w:r>
            <w:r>
              <w:rPr>
                <w:rFonts w:hint="eastAsia" w:asciiTheme="minorEastAsia" w:hAnsiTheme="minorEastAsia" w:eastAsiaTheme="minorEastAsia" w:cstheme="minorEastAsia"/>
                <w:color w:val="auto"/>
                <w:kern w:val="0"/>
                <w:sz w:val="22"/>
                <w:szCs w:val="22"/>
                <w:highlight w:val="none"/>
                <w:lang w:val="en-US" w:eastAsia="zh-CN"/>
              </w:rPr>
              <w:t>的</w:t>
            </w:r>
            <w:r>
              <w:rPr>
                <w:rFonts w:hint="eastAsia" w:asciiTheme="minorEastAsia" w:hAnsiTheme="minorEastAsia" w:eastAsiaTheme="minorEastAsia" w:cstheme="minorEastAsia"/>
                <w:color w:val="auto"/>
                <w:kern w:val="0"/>
                <w:sz w:val="22"/>
                <w:szCs w:val="22"/>
                <w:highlight w:val="none"/>
              </w:rPr>
              <w:t>得10分；</w:t>
            </w:r>
          </w:p>
          <w:p w14:paraId="0F6AECBD">
            <w:pPr>
              <w:adjustRightInd w:val="0"/>
              <w:snapToGrid w:val="0"/>
              <w:spacing w:line="240" w:lineRule="auto"/>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对本项目有</w:t>
            </w:r>
            <w:r>
              <w:rPr>
                <w:rFonts w:hint="eastAsia" w:asciiTheme="minorEastAsia" w:hAnsiTheme="minorEastAsia" w:eastAsiaTheme="minorEastAsia" w:cstheme="minorEastAsia"/>
                <w:color w:val="auto"/>
                <w:kern w:val="0"/>
                <w:sz w:val="22"/>
                <w:szCs w:val="22"/>
                <w:highlight w:val="none"/>
                <w:lang w:val="en-US" w:eastAsia="zh-CN"/>
              </w:rPr>
              <w:t>较</w:t>
            </w:r>
            <w:r>
              <w:rPr>
                <w:rFonts w:hint="eastAsia" w:asciiTheme="minorEastAsia" w:hAnsiTheme="minorEastAsia" w:eastAsiaTheme="minorEastAsia" w:cstheme="minorEastAsia"/>
                <w:color w:val="auto"/>
                <w:kern w:val="0"/>
                <w:sz w:val="22"/>
                <w:szCs w:val="22"/>
                <w:highlight w:val="none"/>
              </w:rPr>
              <w:t>积极支持的态度、质量保证及服务承诺内容</w:t>
            </w:r>
            <w:r>
              <w:rPr>
                <w:rFonts w:hint="eastAsia" w:asciiTheme="minorEastAsia" w:hAnsiTheme="minorEastAsia" w:eastAsiaTheme="minorEastAsia" w:cstheme="minorEastAsia"/>
                <w:color w:val="auto"/>
                <w:kern w:val="0"/>
                <w:sz w:val="22"/>
                <w:szCs w:val="22"/>
                <w:highlight w:val="none"/>
                <w:lang w:val="en-US" w:eastAsia="zh-CN"/>
              </w:rPr>
              <w:t>较</w:t>
            </w:r>
            <w:r>
              <w:rPr>
                <w:rFonts w:hint="eastAsia" w:asciiTheme="minorEastAsia" w:hAnsiTheme="minorEastAsia" w:eastAsiaTheme="minorEastAsia" w:cstheme="minorEastAsia"/>
                <w:color w:val="auto"/>
                <w:kern w:val="0"/>
                <w:sz w:val="22"/>
                <w:szCs w:val="22"/>
                <w:highlight w:val="none"/>
              </w:rPr>
              <w:t>完整明确</w:t>
            </w:r>
            <w:r>
              <w:rPr>
                <w:rFonts w:hint="eastAsia" w:asciiTheme="minorEastAsia" w:hAnsiTheme="minorEastAsia" w:eastAsiaTheme="minorEastAsia" w:cstheme="minorEastAsia"/>
                <w:color w:val="auto"/>
                <w:kern w:val="0"/>
                <w:sz w:val="22"/>
                <w:szCs w:val="22"/>
                <w:highlight w:val="none"/>
                <w:lang w:eastAsia="zh-CN"/>
              </w:rPr>
              <w:t>且</w:t>
            </w:r>
            <w:r>
              <w:rPr>
                <w:rFonts w:hint="eastAsia" w:asciiTheme="minorEastAsia" w:hAnsiTheme="minorEastAsia" w:eastAsiaTheme="minorEastAsia" w:cstheme="minorEastAsia"/>
                <w:color w:val="auto"/>
                <w:kern w:val="0"/>
                <w:sz w:val="22"/>
                <w:szCs w:val="22"/>
                <w:highlight w:val="none"/>
              </w:rPr>
              <w:t>有较为实际的措施</w:t>
            </w:r>
            <w:r>
              <w:rPr>
                <w:rFonts w:hint="eastAsia" w:asciiTheme="minorEastAsia" w:hAnsiTheme="minorEastAsia" w:eastAsiaTheme="minorEastAsia" w:cstheme="minorEastAsia"/>
                <w:color w:val="auto"/>
                <w:kern w:val="0"/>
                <w:sz w:val="22"/>
                <w:szCs w:val="22"/>
                <w:highlight w:val="none"/>
                <w:lang w:val="en-US" w:eastAsia="zh-CN"/>
              </w:rPr>
              <w:t>的</w:t>
            </w:r>
            <w:r>
              <w:rPr>
                <w:rFonts w:hint="eastAsia" w:asciiTheme="minorEastAsia" w:hAnsiTheme="minorEastAsia" w:eastAsiaTheme="minorEastAsia" w:cstheme="minorEastAsia"/>
                <w:color w:val="auto"/>
                <w:kern w:val="0"/>
                <w:sz w:val="22"/>
                <w:szCs w:val="22"/>
                <w:highlight w:val="none"/>
              </w:rPr>
              <w:t>得</w:t>
            </w:r>
            <w:r>
              <w:rPr>
                <w:rFonts w:hint="eastAsia" w:asciiTheme="minorEastAsia" w:hAnsiTheme="minorEastAsia" w:eastAsiaTheme="minorEastAsia" w:cstheme="minorEastAsia"/>
                <w:color w:val="auto"/>
                <w:kern w:val="0"/>
                <w:sz w:val="22"/>
                <w:szCs w:val="22"/>
                <w:highlight w:val="none"/>
                <w:lang w:val="en-US" w:eastAsia="zh-CN"/>
              </w:rPr>
              <w:t>7</w:t>
            </w:r>
            <w:r>
              <w:rPr>
                <w:rFonts w:hint="eastAsia" w:asciiTheme="minorEastAsia" w:hAnsiTheme="minorEastAsia" w:eastAsiaTheme="minorEastAsia" w:cstheme="minorEastAsia"/>
                <w:color w:val="auto"/>
                <w:kern w:val="0"/>
                <w:sz w:val="22"/>
                <w:szCs w:val="22"/>
                <w:highlight w:val="none"/>
              </w:rPr>
              <w:t>分</w:t>
            </w:r>
            <w:r>
              <w:rPr>
                <w:rFonts w:hint="eastAsia" w:asciiTheme="minorEastAsia" w:hAnsiTheme="minorEastAsia" w:eastAsiaTheme="minorEastAsia" w:cstheme="minorEastAsia"/>
                <w:color w:val="auto"/>
                <w:kern w:val="0"/>
                <w:sz w:val="22"/>
                <w:szCs w:val="22"/>
                <w:highlight w:val="none"/>
                <w:lang w:eastAsia="zh-CN"/>
              </w:rPr>
              <w:t>；</w:t>
            </w:r>
          </w:p>
          <w:p w14:paraId="795C332F">
            <w:pPr>
              <w:adjustRightInd w:val="0"/>
              <w:snapToGrid w:val="0"/>
              <w:spacing w:line="24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质量保证及服务承诺内容一般、可行性一般</w:t>
            </w:r>
            <w:r>
              <w:rPr>
                <w:rFonts w:hint="eastAsia" w:asciiTheme="minorEastAsia" w:hAnsiTheme="minorEastAsia" w:eastAsiaTheme="minorEastAsia" w:cstheme="minorEastAsia"/>
                <w:color w:val="auto"/>
                <w:kern w:val="0"/>
                <w:sz w:val="22"/>
                <w:szCs w:val="22"/>
                <w:highlight w:val="none"/>
                <w:lang w:val="en-US" w:eastAsia="zh-CN"/>
              </w:rPr>
              <w:t>的</w:t>
            </w:r>
            <w:r>
              <w:rPr>
                <w:rFonts w:hint="eastAsia" w:asciiTheme="minorEastAsia" w:hAnsiTheme="minorEastAsia" w:eastAsiaTheme="minorEastAsia" w:cstheme="minorEastAsia"/>
                <w:color w:val="auto"/>
                <w:kern w:val="0"/>
                <w:sz w:val="22"/>
                <w:szCs w:val="22"/>
                <w:highlight w:val="none"/>
              </w:rPr>
              <w:t>得4分；</w:t>
            </w:r>
          </w:p>
          <w:p w14:paraId="789E119D">
            <w:pPr>
              <w:adjustRightInd w:val="0"/>
              <w:snapToGrid w:val="0"/>
              <w:spacing w:line="24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质量保证及服务承诺不够明确、制度措施不够结合实际</w:t>
            </w:r>
            <w:r>
              <w:rPr>
                <w:rFonts w:hint="eastAsia" w:asciiTheme="minorEastAsia" w:hAnsiTheme="minorEastAsia" w:eastAsiaTheme="minorEastAsia" w:cstheme="minorEastAsia"/>
                <w:color w:val="auto"/>
                <w:kern w:val="0"/>
                <w:sz w:val="22"/>
                <w:szCs w:val="22"/>
                <w:highlight w:val="none"/>
                <w:lang w:val="en-US" w:eastAsia="zh-CN"/>
              </w:rPr>
              <w:t>的</w:t>
            </w:r>
            <w:r>
              <w:rPr>
                <w:rFonts w:hint="eastAsia" w:asciiTheme="minorEastAsia" w:hAnsiTheme="minorEastAsia" w:eastAsiaTheme="minorEastAsia" w:cstheme="minorEastAsia"/>
                <w:color w:val="auto"/>
                <w:kern w:val="0"/>
                <w:sz w:val="22"/>
                <w:szCs w:val="22"/>
                <w:highlight w:val="none"/>
              </w:rPr>
              <w:t>得1分；</w:t>
            </w:r>
          </w:p>
          <w:p w14:paraId="5718C4E9">
            <w:pPr>
              <w:adjustRightInd w:val="0"/>
              <w:snapToGrid w:val="0"/>
              <w:spacing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未提供质量保障措施或服务承诺不得分。</w:t>
            </w:r>
          </w:p>
        </w:tc>
        <w:tc>
          <w:tcPr>
            <w:tcW w:w="445" w:type="pct"/>
            <w:tcBorders>
              <w:top w:val="single" w:color="auto" w:sz="4" w:space="0"/>
              <w:left w:val="single" w:color="auto" w:sz="4" w:space="0"/>
              <w:bottom w:val="single" w:color="auto" w:sz="4" w:space="0"/>
              <w:right w:val="single" w:color="auto" w:sz="4" w:space="0"/>
            </w:tcBorders>
            <w:vAlign w:val="center"/>
          </w:tcPr>
          <w:p w14:paraId="4E2C25E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10</w:t>
            </w:r>
          </w:p>
        </w:tc>
      </w:tr>
      <w:tr w14:paraId="3240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14:paraId="3C67469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2.4</w:t>
            </w:r>
          </w:p>
        </w:tc>
        <w:tc>
          <w:tcPr>
            <w:tcW w:w="629" w:type="pct"/>
            <w:vMerge w:val="continue"/>
            <w:tcBorders>
              <w:left w:val="single" w:color="auto" w:sz="4" w:space="0"/>
              <w:right w:val="single" w:color="auto" w:sz="4" w:space="0"/>
            </w:tcBorders>
            <w:vAlign w:val="center"/>
          </w:tcPr>
          <w:p w14:paraId="7E5F336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p>
        </w:tc>
        <w:tc>
          <w:tcPr>
            <w:tcW w:w="3565" w:type="pct"/>
            <w:tcBorders>
              <w:top w:val="single" w:color="auto" w:sz="4" w:space="0"/>
              <w:left w:val="single" w:color="auto" w:sz="4" w:space="0"/>
              <w:bottom w:val="single" w:color="auto" w:sz="4" w:space="0"/>
              <w:right w:val="single" w:color="auto" w:sz="4" w:space="0"/>
            </w:tcBorders>
            <w:vAlign w:val="center"/>
          </w:tcPr>
          <w:p w14:paraId="25EDB6FC">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采购渠道方案：</w:t>
            </w:r>
          </w:p>
          <w:p w14:paraId="0A138340">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根据</w:t>
            </w:r>
            <w:r>
              <w:rPr>
                <w:rFonts w:hint="eastAsia" w:asciiTheme="minorEastAsia" w:hAnsiTheme="minorEastAsia" w:cstheme="minorEastAsia"/>
                <w:color w:val="auto"/>
                <w:kern w:val="0"/>
                <w:sz w:val="22"/>
                <w:szCs w:val="22"/>
                <w:highlight w:val="none"/>
                <w:lang w:eastAsia="zh-CN"/>
              </w:rPr>
              <w:t>投标人</w:t>
            </w:r>
            <w:r>
              <w:rPr>
                <w:rFonts w:hint="eastAsia" w:asciiTheme="minorEastAsia" w:hAnsiTheme="minorEastAsia" w:eastAsiaTheme="minorEastAsia" w:cstheme="minorEastAsia"/>
                <w:color w:val="auto"/>
                <w:kern w:val="0"/>
                <w:sz w:val="22"/>
                <w:szCs w:val="22"/>
                <w:highlight w:val="none"/>
              </w:rPr>
              <w:t>提供的供货渠道（可提供产品来源渠道说明或证明、产品品牌质量或经销资质、进货发票或合同等相关证明材料）进行综合评分</w:t>
            </w:r>
            <w:r>
              <w:rPr>
                <w:rFonts w:hint="eastAsia" w:asciiTheme="minorEastAsia" w:hAnsiTheme="minorEastAsia" w:cstheme="minorEastAsia"/>
                <w:color w:val="auto"/>
                <w:kern w:val="0"/>
                <w:sz w:val="22"/>
                <w:szCs w:val="22"/>
                <w:highlight w:val="none"/>
                <w:lang w:eastAsia="zh-CN"/>
              </w:rPr>
              <w:t>：</w:t>
            </w:r>
          </w:p>
          <w:p w14:paraId="558569E2">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所供货品具有可追溯性供货渠道正规</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证明材料丰富</w:t>
            </w:r>
            <w:r>
              <w:rPr>
                <w:rFonts w:hint="eastAsia" w:asciiTheme="minorEastAsia" w:hAnsiTheme="minorEastAsia" w:eastAsiaTheme="minorEastAsia" w:cstheme="minorEastAsia"/>
                <w:color w:val="auto"/>
                <w:kern w:val="0"/>
                <w:sz w:val="22"/>
                <w:szCs w:val="22"/>
                <w:highlight w:val="none"/>
              </w:rPr>
              <w:t>，质量符合采购要求得5分；</w:t>
            </w:r>
          </w:p>
          <w:p w14:paraId="39F52537">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供货渠道较正规</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证明材料较丰富</w:t>
            </w:r>
            <w:r>
              <w:rPr>
                <w:rFonts w:hint="eastAsia" w:asciiTheme="minorEastAsia" w:hAnsiTheme="minorEastAsia" w:eastAsiaTheme="minorEastAsia" w:cstheme="minorEastAsia"/>
                <w:color w:val="auto"/>
                <w:kern w:val="0"/>
                <w:sz w:val="22"/>
                <w:szCs w:val="22"/>
                <w:highlight w:val="none"/>
              </w:rPr>
              <w:t>，质量较符合采购要求得3分</w:t>
            </w:r>
            <w:r>
              <w:rPr>
                <w:rFonts w:hint="eastAsia" w:asciiTheme="minorEastAsia" w:hAnsiTheme="minorEastAsia" w:eastAsiaTheme="minorEastAsia" w:cstheme="minorEastAsia"/>
                <w:color w:val="auto"/>
                <w:kern w:val="0"/>
                <w:sz w:val="22"/>
                <w:szCs w:val="22"/>
                <w:highlight w:val="none"/>
                <w:lang w:eastAsia="zh-CN"/>
              </w:rPr>
              <w:t>；</w:t>
            </w:r>
          </w:p>
          <w:p w14:paraId="76068A2F">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供货渠道不清晰</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证明材料一般</w:t>
            </w:r>
            <w:r>
              <w:rPr>
                <w:rFonts w:hint="eastAsia" w:asciiTheme="minorEastAsia" w:hAnsiTheme="minorEastAsia" w:eastAsiaTheme="minorEastAsia" w:cstheme="minorEastAsia"/>
                <w:color w:val="auto"/>
                <w:kern w:val="0"/>
                <w:sz w:val="22"/>
                <w:szCs w:val="22"/>
                <w:highlight w:val="none"/>
              </w:rPr>
              <w:t>，质量基本符合采购要求得1分</w:t>
            </w:r>
            <w:r>
              <w:rPr>
                <w:rFonts w:hint="eastAsia" w:asciiTheme="minorEastAsia" w:hAnsiTheme="minorEastAsia" w:eastAsiaTheme="minorEastAsia" w:cstheme="minorEastAsia"/>
                <w:color w:val="auto"/>
                <w:kern w:val="0"/>
                <w:sz w:val="22"/>
                <w:szCs w:val="22"/>
                <w:highlight w:val="none"/>
                <w:lang w:eastAsia="zh-CN"/>
              </w:rPr>
              <w:t>；</w:t>
            </w:r>
          </w:p>
          <w:p w14:paraId="251CD21A">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未提供方案的不得分。</w:t>
            </w:r>
          </w:p>
        </w:tc>
        <w:tc>
          <w:tcPr>
            <w:tcW w:w="445" w:type="pct"/>
            <w:tcBorders>
              <w:top w:val="single" w:color="auto" w:sz="4" w:space="0"/>
              <w:left w:val="single" w:color="auto" w:sz="4" w:space="0"/>
              <w:bottom w:val="single" w:color="auto" w:sz="4" w:space="0"/>
              <w:right w:val="single" w:color="auto" w:sz="4" w:space="0"/>
            </w:tcBorders>
            <w:vAlign w:val="center"/>
          </w:tcPr>
          <w:p w14:paraId="575BF7C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5</w:t>
            </w:r>
          </w:p>
        </w:tc>
      </w:tr>
      <w:tr w14:paraId="749F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14:paraId="63EE5DA0">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cstheme="minorEastAsia"/>
                <w:b/>
                <w:color w:val="auto"/>
                <w:sz w:val="22"/>
                <w:szCs w:val="22"/>
                <w:highlight w:val="none"/>
                <w:lang w:val="en-US" w:eastAsia="zh-CN"/>
              </w:rPr>
              <w:t>2.5</w:t>
            </w:r>
          </w:p>
        </w:tc>
        <w:tc>
          <w:tcPr>
            <w:tcW w:w="629" w:type="pct"/>
            <w:vMerge w:val="continue"/>
            <w:tcBorders>
              <w:left w:val="single" w:color="auto" w:sz="4" w:space="0"/>
              <w:right w:val="single" w:color="auto" w:sz="4" w:space="0"/>
            </w:tcBorders>
            <w:vAlign w:val="center"/>
          </w:tcPr>
          <w:p w14:paraId="19ABD838">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p>
        </w:tc>
        <w:tc>
          <w:tcPr>
            <w:tcW w:w="3565" w:type="pct"/>
            <w:tcBorders>
              <w:top w:val="single" w:color="auto" w:sz="4" w:space="0"/>
              <w:left w:val="single" w:color="auto" w:sz="4" w:space="0"/>
              <w:bottom w:val="single" w:color="auto" w:sz="4" w:space="0"/>
              <w:right w:val="single" w:color="auto" w:sz="4" w:space="0"/>
            </w:tcBorders>
            <w:vAlign w:val="center"/>
          </w:tcPr>
          <w:p w14:paraId="1EFC370B">
            <w:pPr>
              <w:adjustRightInd w:val="0"/>
              <w:snapToGrid w:val="0"/>
              <w:spacing w:line="240" w:lineRule="auto"/>
              <w:rPr>
                <w:rFonts w:hint="eastAsia" w:asciiTheme="minorEastAsia" w:hAnsiTheme="minorEastAsia" w:cstheme="minorEastAsia"/>
                <w:b/>
                <w:bCs/>
                <w:color w:val="auto"/>
                <w:sz w:val="22"/>
                <w:szCs w:val="22"/>
                <w:highlight w:val="none"/>
                <w:lang w:eastAsia="zh-CN"/>
              </w:rPr>
            </w:pPr>
            <w:r>
              <w:rPr>
                <w:rFonts w:hint="eastAsia" w:asciiTheme="minorEastAsia" w:hAnsiTheme="minorEastAsia" w:eastAsiaTheme="minorEastAsia" w:cstheme="minorEastAsia"/>
                <w:b/>
                <w:bCs/>
                <w:color w:val="auto"/>
                <w:sz w:val="22"/>
                <w:szCs w:val="22"/>
                <w:highlight w:val="none"/>
              </w:rPr>
              <w:t>文档建立管理方案</w:t>
            </w:r>
            <w:r>
              <w:rPr>
                <w:rFonts w:hint="eastAsia" w:asciiTheme="minorEastAsia" w:hAnsiTheme="minorEastAsia" w:cstheme="minorEastAsia"/>
                <w:b/>
                <w:bCs/>
                <w:color w:val="auto"/>
                <w:sz w:val="22"/>
                <w:szCs w:val="22"/>
                <w:highlight w:val="none"/>
                <w:lang w:eastAsia="zh-CN"/>
              </w:rPr>
              <w:t>：</w:t>
            </w:r>
          </w:p>
          <w:p w14:paraId="28B188CC">
            <w:pPr>
              <w:adjustRightInd w:val="0"/>
              <w:snapToGrid w:val="0"/>
              <w:spacing w:line="24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cstheme="minorEastAsia"/>
                <w:color w:val="auto"/>
                <w:kern w:val="0"/>
                <w:sz w:val="22"/>
                <w:szCs w:val="22"/>
                <w:highlight w:val="none"/>
                <w:lang w:val="en-US" w:eastAsia="zh-CN"/>
              </w:rPr>
              <w:t>评委</w:t>
            </w:r>
            <w:r>
              <w:rPr>
                <w:rFonts w:hint="eastAsia" w:asciiTheme="minorEastAsia" w:hAnsiTheme="minorEastAsia" w:eastAsiaTheme="minorEastAsia" w:cstheme="minorEastAsia"/>
                <w:color w:val="auto"/>
                <w:kern w:val="0"/>
                <w:sz w:val="22"/>
                <w:szCs w:val="22"/>
                <w:highlight w:val="none"/>
              </w:rPr>
              <w:t>根据</w:t>
            </w:r>
            <w:r>
              <w:rPr>
                <w:rFonts w:hint="eastAsia" w:asciiTheme="minorEastAsia" w:hAnsiTheme="minorEastAsia" w:cstheme="minorEastAsia"/>
                <w:color w:val="auto"/>
                <w:kern w:val="0"/>
                <w:sz w:val="22"/>
                <w:szCs w:val="22"/>
                <w:highlight w:val="none"/>
                <w:lang w:eastAsia="zh-CN"/>
              </w:rPr>
              <w:t>投标人</w:t>
            </w:r>
            <w:r>
              <w:rPr>
                <w:rFonts w:hint="eastAsia" w:asciiTheme="minorEastAsia" w:hAnsiTheme="minorEastAsia" w:eastAsiaTheme="minorEastAsia" w:cstheme="minorEastAsia"/>
                <w:color w:val="auto"/>
                <w:kern w:val="0"/>
                <w:sz w:val="22"/>
                <w:szCs w:val="22"/>
                <w:highlight w:val="none"/>
              </w:rPr>
              <w:t>提供的文档建立管理方案进行综合评分：</w:t>
            </w:r>
          </w:p>
          <w:p w14:paraId="47128D7C">
            <w:pPr>
              <w:pStyle w:val="16"/>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文档建立管理方案中服务过程记录全面，票据保管及相关文件管理归档规定明确合理的得5分；</w:t>
            </w:r>
          </w:p>
          <w:p w14:paraId="17E1C57B">
            <w:pPr>
              <w:pStyle w:val="16"/>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文档建立管理方案中服务过程记录较全面，票据保管及相关文件管理归档规定较明确的得3分；</w:t>
            </w:r>
          </w:p>
          <w:p w14:paraId="4E18F3FC">
            <w:pPr>
              <w:pStyle w:val="16"/>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文档建立管理方案中服务过程记录全面性、票据保管及相关文件管理归档规定明确合理性一般的得1分；</w:t>
            </w:r>
          </w:p>
          <w:p w14:paraId="78AC4DA5">
            <w:pPr>
              <w:pStyle w:val="16"/>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val="en-US" w:eastAsia="zh-CN" w:bidi="ar-SA"/>
              </w:rPr>
              <w:t>未提供方案的不得分。</w:t>
            </w:r>
          </w:p>
        </w:tc>
        <w:tc>
          <w:tcPr>
            <w:tcW w:w="445" w:type="pct"/>
            <w:tcBorders>
              <w:top w:val="single" w:color="auto" w:sz="4" w:space="0"/>
              <w:left w:val="single" w:color="auto" w:sz="4" w:space="0"/>
              <w:bottom w:val="single" w:color="auto" w:sz="4" w:space="0"/>
              <w:right w:val="single" w:color="auto" w:sz="4" w:space="0"/>
            </w:tcBorders>
            <w:vAlign w:val="center"/>
          </w:tcPr>
          <w:p w14:paraId="041581BB">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cstheme="minorEastAsia"/>
                <w:b/>
                <w:color w:val="auto"/>
                <w:sz w:val="22"/>
                <w:szCs w:val="22"/>
                <w:highlight w:val="none"/>
                <w:lang w:val="en-US" w:eastAsia="zh-CN"/>
              </w:rPr>
              <w:t>5</w:t>
            </w:r>
          </w:p>
        </w:tc>
      </w:tr>
      <w:tr w14:paraId="2803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14:paraId="12789E2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3.1</w:t>
            </w:r>
          </w:p>
        </w:tc>
        <w:tc>
          <w:tcPr>
            <w:tcW w:w="629" w:type="pct"/>
            <w:vMerge w:val="restart"/>
            <w:tcBorders>
              <w:left w:val="single" w:color="auto" w:sz="4" w:space="0"/>
              <w:right w:val="single" w:color="auto" w:sz="4" w:space="0"/>
            </w:tcBorders>
            <w:vAlign w:val="center"/>
          </w:tcPr>
          <w:p w14:paraId="7950C5B9">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heme="minorEastAsia" w:hAnsiTheme="minorEastAsia" w:eastAsiaTheme="minorEastAsia" w:cstheme="minorEastAsia"/>
                <w:b/>
                <w:bCs/>
                <w:color w:val="auto"/>
                <w:kern w:val="0"/>
                <w:sz w:val="22"/>
                <w:szCs w:val="22"/>
                <w:highlight w:val="none"/>
              </w:rPr>
            </w:pPr>
          </w:p>
          <w:p w14:paraId="23D51909">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项目团队</w:t>
            </w:r>
          </w:p>
          <w:p w14:paraId="3CEB9749">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w:t>
            </w:r>
            <w:r>
              <w:rPr>
                <w:rFonts w:hint="eastAsia" w:asciiTheme="minorEastAsia" w:hAnsiTheme="minorEastAsia" w:cstheme="minorEastAsia"/>
                <w:b/>
                <w:bCs/>
                <w:color w:val="auto"/>
                <w:kern w:val="0"/>
                <w:sz w:val="22"/>
                <w:szCs w:val="22"/>
                <w:highlight w:val="none"/>
                <w:lang w:val="en-US" w:eastAsia="zh-CN"/>
              </w:rPr>
              <w:t>4</w:t>
            </w:r>
            <w:r>
              <w:rPr>
                <w:rFonts w:hint="eastAsia" w:asciiTheme="minorEastAsia" w:hAnsiTheme="minorEastAsia" w:eastAsiaTheme="minorEastAsia" w:cstheme="minorEastAsia"/>
                <w:b/>
                <w:bCs/>
                <w:color w:val="auto"/>
                <w:kern w:val="0"/>
                <w:sz w:val="22"/>
                <w:szCs w:val="22"/>
                <w:highlight w:val="none"/>
              </w:rPr>
              <w:t>分）</w:t>
            </w:r>
          </w:p>
          <w:p w14:paraId="2660A7F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p>
        </w:tc>
        <w:tc>
          <w:tcPr>
            <w:tcW w:w="3565" w:type="pct"/>
            <w:tcBorders>
              <w:top w:val="single" w:color="auto" w:sz="4" w:space="0"/>
              <w:left w:val="single" w:color="auto" w:sz="4" w:space="0"/>
              <w:bottom w:val="single" w:color="auto" w:sz="4" w:space="0"/>
              <w:right w:val="single" w:color="auto" w:sz="4" w:space="0"/>
            </w:tcBorders>
            <w:vAlign w:val="center"/>
          </w:tcPr>
          <w:p w14:paraId="14D130E1">
            <w:pPr>
              <w:keepNext w:val="0"/>
              <w:keepLines w:val="0"/>
              <w:pageBreakBefore w:val="0"/>
              <w:widowControl/>
              <w:kinsoku/>
              <w:wordWrap/>
              <w:overflowPunct/>
              <w:topLinePunct w:val="0"/>
              <w:autoSpaceDE/>
              <w:autoSpaceDN/>
              <w:bidi w:val="0"/>
              <w:spacing w:line="240" w:lineRule="auto"/>
              <w:ind w:firstLine="0" w:firstLineChars="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本项目需明确项目负责人1名，团队所有成员（含项目负责人和长期驻本地人员）不少于6人，投标人需提供人员配置名单及具体负责事项，项目负责人及团队所有成员必须是投标人的正式员工，投标人须提供健康证、劳动合同、投标前近6个月的社会保险证明，满足上述要求，并提供相关证明材料复印件得3分，未提供团队服务人员名单及相关证明材料</w:t>
            </w:r>
            <w:r>
              <w:rPr>
                <w:rFonts w:hint="eastAsia" w:asciiTheme="minorEastAsia" w:hAnsiTheme="minorEastAsia" w:cstheme="minorEastAsia"/>
                <w:color w:val="auto"/>
                <w:kern w:val="0"/>
                <w:sz w:val="22"/>
                <w:szCs w:val="22"/>
                <w:highlight w:val="none"/>
                <w:lang w:val="en-US" w:eastAsia="zh-CN"/>
              </w:rPr>
              <w:t>或不符合要求</w:t>
            </w:r>
            <w:r>
              <w:rPr>
                <w:rFonts w:hint="eastAsia" w:asciiTheme="minorEastAsia" w:hAnsiTheme="minorEastAsia" w:eastAsiaTheme="minorEastAsia" w:cstheme="minorEastAsia"/>
                <w:color w:val="auto"/>
                <w:kern w:val="0"/>
                <w:sz w:val="22"/>
                <w:szCs w:val="22"/>
                <w:highlight w:val="none"/>
              </w:rPr>
              <w:t>不得分。</w:t>
            </w:r>
          </w:p>
        </w:tc>
        <w:tc>
          <w:tcPr>
            <w:tcW w:w="445" w:type="pct"/>
            <w:tcBorders>
              <w:top w:val="single" w:color="auto" w:sz="4" w:space="0"/>
              <w:left w:val="single" w:color="auto" w:sz="4" w:space="0"/>
              <w:bottom w:val="single" w:color="auto" w:sz="4" w:space="0"/>
              <w:right w:val="single" w:color="auto" w:sz="4" w:space="0"/>
            </w:tcBorders>
            <w:vAlign w:val="center"/>
          </w:tcPr>
          <w:p w14:paraId="68B4678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w:t>
            </w:r>
          </w:p>
        </w:tc>
      </w:tr>
      <w:tr w14:paraId="1E2E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14:paraId="6C10F67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3.2</w:t>
            </w:r>
          </w:p>
        </w:tc>
        <w:tc>
          <w:tcPr>
            <w:tcW w:w="629" w:type="pct"/>
            <w:vMerge w:val="continue"/>
            <w:tcBorders>
              <w:left w:val="single" w:color="auto" w:sz="4" w:space="0"/>
              <w:right w:val="single" w:color="auto" w:sz="4" w:space="0"/>
            </w:tcBorders>
            <w:vAlign w:val="center"/>
          </w:tcPr>
          <w:p w14:paraId="3AAEDDE4">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heme="minorEastAsia" w:hAnsiTheme="minorEastAsia" w:eastAsiaTheme="minorEastAsia" w:cstheme="minorEastAsia"/>
                <w:b/>
                <w:bCs/>
                <w:color w:val="auto"/>
                <w:kern w:val="0"/>
                <w:sz w:val="22"/>
                <w:szCs w:val="22"/>
                <w:highlight w:val="none"/>
              </w:rPr>
            </w:pPr>
          </w:p>
        </w:tc>
        <w:tc>
          <w:tcPr>
            <w:tcW w:w="3565" w:type="pct"/>
            <w:tcBorders>
              <w:top w:val="single" w:color="auto" w:sz="4" w:space="0"/>
              <w:left w:val="single" w:color="auto" w:sz="4" w:space="0"/>
              <w:bottom w:val="single" w:color="auto" w:sz="4" w:space="0"/>
              <w:right w:val="single" w:color="auto" w:sz="4" w:space="0"/>
            </w:tcBorders>
            <w:vAlign w:val="center"/>
          </w:tcPr>
          <w:p w14:paraId="4C0DCDA8">
            <w:pPr>
              <w:keepNext w:val="0"/>
              <w:keepLines w:val="0"/>
              <w:pageBreakBefore w:val="0"/>
              <w:widowControl/>
              <w:kinsoku/>
              <w:wordWrap/>
              <w:overflowPunct/>
              <w:topLinePunct w:val="0"/>
              <w:autoSpaceDE/>
              <w:autoSpaceDN/>
              <w:bidi w:val="0"/>
              <w:spacing w:line="240" w:lineRule="auto"/>
              <w:ind w:firstLine="0" w:firstLineChars="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投标人具备应急服务能力，且有长期驻本地人员，有一定的处理紧急情况的经验，同时为保证食材的卫生安全，能够</w:t>
            </w:r>
            <w:r>
              <w:rPr>
                <w:rFonts w:hint="eastAsia" w:asciiTheme="minorEastAsia" w:hAnsiTheme="minorEastAsia" w:cstheme="minorEastAsia"/>
                <w:color w:val="auto"/>
                <w:kern w:val="0"/>
                <w:sz w:val="22"/>
                <w:szCs w:val="22"/>
                <w:highlight w:val="none"/>
                <w:lang w:eastAsia="zh-CN"/>
              </w:rPr>
              <w:t>接到</w:t>
            </w:r>
            <w:r>
              <w:rPr>
                <w:rFonts w:hint="eastAsia" w:asciiTheme="minorEastAsia" w:hAnsiTheme="minorEastAsia" w:eastAsiaTheme="minorEastAsia" w:cstheme="minorEastAsia"/>
                <w:color w:val="auto"/>
                <w:kern w:val="0"/>
                <w:sz w:val="22"/>
                <w:szCs w:val="22"/>
                <w:highlight w:val="none"/>
              </w:rPr>
              <w:t>采购人通知后2小时内赶到项目现场，提供承诺书得</w:t>
            </w:r>
            <w:r>
              <w:rPr>
                <w:rFonts w:hint="eastAsia" w:asciiTheme="minorEastAsia" w:hAnsiTheme="minorEastAsia" w:cstheme="minorEastAsia"/>
                <w:color w:val="auto"/>
                <w:kern w:val="0"/>
                <w:sz w:val="22"/>
                <w:szCs w:val="22"/>
                <w:highlight w:val="none"/>
                <w:lang w:val="en-US" w:eastAsia="zh-CN"/>
              </w:rPr>
              <w:t>1</w:t>
            </w:r>
            <w:r>
              <w:rPr>
                <w:rFonts w:hint="eastAsia" w:asciiTheme="minorEastAsia" w:hAnsiTheme="minorEastAsia" w:eastAsiaTheme="minorEastAsia" w:cstheme="minorEastAsia"/>
                <w:color w:val="auto"/>
                <w:kern w:val="0"/>
                <w:sz w:val="22"/>
                <w:szCs w:val="22"/>
                <w:highlight w:val="none"/>
              </w:rPr>
              <w:t>分 ，未提供承诺书</w:t>
            </w:r>
            <w:r>
              <w:rPr>
                <w:rFonts w:hint="eastAsia" w:ascii="宋体" w:hAnsi="宋体" w:eastAsia="宋体" w:cs="宋体"/>
                <w:color w:val="auto"/>
                <w:kern w:val="0"/>
                <w:sz w:val="22"/>
                <w:szCs w:val="22"/>
                <w:highlight w:val="none"/>
                <w:lang w:val="en-US" w:eastAsia="zh-CN"/>
              </w:rPr>
              <w:t>或承诺书内容不符合要求</w:t>
            </w:r>
            <w:r>
              <w:rPr>
                <w:rFonts w:hint="eastAsia" w:asciiTheme="minorEastAsia" w:hAnsiTheme="minorEastAsia" w:eastAsiaTheme="minorEastAsia" w:cstheme="minorEastAsia"/>
                <w:color w:val="auto"/>
                <w:kern w:val="0"/>
                <w:sz w:val="22"/>
                <w:szCs w:val="22"/>
                <w:highlight w:val="none"/>
              </w:rPr>
              <w:t>的不得分。</w:t>
            </w:r>
          </w:p>
        </w:tc>
        <w:tc>
          <w:tcPr>
            <w:tcW w:w="445" w:type="pct"/>
            <w:tcBorders>
              <w:top w:val="single" w:color="auto" w:sz="4" w:space="0"/>
              <w:left w:val="single" w:color="auto" w:sz="4" w:space="0"/>
              <w:bottom w:val="single" w:color="auto" w:sz="4" w:space="0"/>
              <w:right w:val="single" w:color="auto" w:sz="4" w:space="0"/>
            </w:tcBorders>
            <w:vAlign w:val="center"/>
          </w:tcPr>
          <w:p w14:paraId="118E2C5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lang w:eastAsia="zh-CN"/>
              </w:rPr>
            </w:pPr>
            <w:r>
              <w:rPr>
                <w:rFonts w:hint="eastAsia" w:asciiTheme="minorEastAsia" w:hAnsiTheme="minorEastAsia" w:cstheme="minorEastAsia"/>
                <w:b/>
                <w:color w:val="auto"/>
                <w:sz w:val="22"/>
                <w:szCs w:val="22"/>
                <w:highlight w:val="none"/>
                <w:lang w:val="en-US" w:eastAsia="zh-CN"/>
              </w:rPr>
              <w:t>1</w:t>
            </w:r>
          </w:p>
        </w:tc>
      </w:tr>
      <w:tr w14:paraId="6823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14:paraId="710104A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rPr>
              <w:t>4</w:t>
            </w:r>
            <w:r>
              <w:rPr>
                <w:rFonts w:hint="eastAsia" w:asciiTheme="minorEastAsia" w:hAnsiTheme="minorEastAsia" w:cstheme="minorEastAsia"/>
                <w:b/>
                <w:color w:val="auto"/>
                <w:sz w:val="22"/>
                <w:szCs w:val="22"/>
                <w:highlight w:val="none"/>
                <w:lang w:val="en-US" w:eastAsia="zh-CN"/>
              </w:rPr>
              <w:t>.1</w:t>
            </w:r>
          </w:p>
        </w:tc>
        <w:tc>
          <w:tcPr>
            <w:tcW w:w="629" w:type="pct"/>
            <w:vMerge w:val="restart"/>
            <w:tcBorders>
              <w:left w:val="single" w:color="auto" w:sz="4" w:space="0"/>
              <w:right w:val="single" w:color="auto" w:sz="4" w:space="0"/>
            </w:tcBorders>
            <w:vAlign w:val="center"/>
          </w:tcPr>
          <w:p w14:paraId="228D835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履约能力</w:t>
            </w:r>
          </w:p>
          <w:p w14:paraId="4D43FF6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cstheme="minorEastAsia"/>
                <w:b/>
                <w:color w:val="auto"/>
                <w:sz w:val="22"/>
                <w:szCs w:val="22"/>
                <w:highlight w:val="none"/>
                <w:lang w:val="en-US" w:eastAsia="zh-CN"/>
              </w:rPr>
              <w:t>7</w:t>
            </w:r>
            <w:r>
              <w:rPr>
                <w:rFonts w:hint="eastAsia" w:asciiTheme="minorEastAsia" w:hAnsiTheme="minorEastAsia" w:eastAsiaTheme="minorEastAsia" w:cstheme="minorEastAsia"/>
                <w:b/>
                <w:color w:val="auto"/>
                <w:sz w:val="22"/>
                <w:szCs w:val="22"/>
                <w:highlight w:val="none"/>
              </w:rPr>
              <w:t>分）</w:t>
            </w:r>
          </w:p>
        </w:tc>
        <w:tc>
          <w:tcPr>
            <w:tcW w:w="3565" w:type="pct"/>
            <w:tcBorders>
              <w:top w:val="single" w:color="auto" w:sz="4" w:space="0"/>
              <w:left w:val="single" w:color="auto" w:sz="4" w:space="0"/>
              <w:right w:val="single" w:color="auto" w:sz="4" w:space="0"/>
            </w:tcBorders>
            <w:vAlign w:val="center"/>
          </w:tcPr>
          <w:p w14:paraId="27F8024A">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heme="minorEastAsia" w:hAnsiTheme="minorEastAsia" w:eastAsiaTheme="minorEastAsia" w:cstheme="minorEastAsia"/>
                <w:b/>
                <w:bCs/>
                <w:color w:val="auto"/>
                <w:kern w:val="0"/>
                <w:sz w:val="22"/>
                <w:szCs w:val="22"/>
                <w:highlight w:val="none"/>
                <w:lang w:val="en-US" w:eastAsia="zh-CN"/>
              </w:rPr>
            </w:pPr>
            <w:r>
              <w:rPr>
                <w:rFonts w:hint="eastAsia" w:asciiTheme="minorEastAsia" w:hAnsiTheme="minorEastAsia" w:cstheme="minorEastAsia"/>
                <w:b/>
                <w:bCs/>
                <w:color w:val="auto"/>
                <w:kern w:val="0"/>
                <w:sz w:val="22"/>
                <w:szCs w:val="22"/>
                <w:highlight w:val="none"/>
                <w:lang w:val="en-US" w:eastAsia="zh-CN"/>
              </w:rPr>
              <w:t>仓储或保鲜要求：</w:t>
            </w:r>
          </w:p>
          <w:p w14:paraId="5AE4D7CF">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投标人应具有与所投分包配送的食材品种、数量相适应的仓储空间或冷库</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kern w:val="0"/>
                <w:sz w:val="22"/>
                <w:szCs w:val="22"/>
                <w:highlight w:val="none"/>
              </w:rPr>
              <w:t>仓储空间或冷库</w:t>
            </w:r>
            <w:r>
              <w:rPr>
                <w:rFonts w:hint="eastAsia" w:asciiTheme="minorEastAsia" w:hAnsiTheme="minorEastAsia" w:eastAsiaTheme="minorEastAsia" w:cstheme="minorEastAsia"/>
                <w:color w:val="auto"/>
                <w:sz w:val="22"/>
                <w:szCs w:val="22"/>
                <w:highlight w:val="none"/>
              </w:rPr>
              <w:t>面积满150平方米及以上的得</w:t>
            </w:r>
            <w:r>
              <w:rPr>
                <w:rFonts w:hint="eastAsia" w:asciiTheme="minorEastAsia" w:hAnsi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分，面积150平方米（不含）-100平方米（含）的得</w:t>
            </w:r>
            <w:r>
              <w:rPr>
                <w:rFonts w:hint="eastAsia" w:asciiTheme="minorEastAsia" w:hAnsi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分，面积100平方米（不含）-50平方米（含）的得</w:t>
            </w:r>
            <w:r>
              <w:rPr>
                <w:rFonts w:hint="eastAsia" w:asciiTheme="minorEastAsia" w:hAnsi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分，50平方米以下不得分。</w:t>
            </w:r>
          </w:p>
          <w:p w14:paraId="5582F53D">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u w:val="thick"/>
              </w:rPr>
              <w:t>（需提供自有产权证明或租赁合同复印件并加盖公章，产权证书或租赁合同需在有效期，并明确房屋面积。原件备查，</w:t>
            </w:r>
            <w:r>
              <w:rPr>
                <w:rFonts w:hint="eastAsia" w:asciiTheme="minorEastAsia" w:hAnsiTheme="minorEastAsia" w:eastAsiaTheme="minorEastAsia" w:cstheme="minorEastAsia"/>
                <w:b/>
                <w:bCs/>
                <w:color w:val="auto"/>
                <w:kern w:val="0"/>
                <w:sz w:val="22"/>
                <w:szCs w:val="22"/>
                <w:highlight w:val="none"/>
                <w:u w:val="thick"/>
              </w:rPr>
              <w:t>不提供证明材料</w:t>
            </w:r>
            <w:r>
              <w:rPr>
                <w:rFonts w:hint="eastAsia" w:asciiTheme="minorEastAsia" w:hAnsiTheme="minorEastAsia" w:eastAsiaTheme="minorEastAsia" w:cstheme="minorEastAsia"/>
                <w:b/>
                <w:bCs/>
                <w:color w:val="auto"/>
                <w:sz w:val="22"/>
                <w:szCs w:val="22"/>
                <w:highlight w:val="none"/>
                <w:u w:val="thick"/>
              </w:rPr>
              <w:t>或不符合要求</w:t>
            </w:r>
            <w:r>
              <w:rPr>
                <w:rFonts w:hint="eastAsia" w:asciiTheme="minorEastAsia" w:hAnsiTheme="minorEastAsia" w:eastAsiaTheme="minorEastAsia" w:cstheme="minorEastAsia"/>
                <w:b/>
                <w:bCs/>
                <w:color w:val="auto"/>
                <w:kern w:val="0"/>
                <w:sz w:val="22"/>
                <w:szCs w:val="22"/>
                <w:highlight w:val="none"/>
                <w:u w:val="thick"/>
              </w:rPr>
              <w:t>不得分</w:t>
            </w:r>
            <w:r>
              <w:rPr>
                <w:rFonts w:hint="eastAsia" w:asciiTheme="minorEastAsia" w:hAnsiTheme="minorEastAsia" w:eastAsiaTheme="minorEastAsia" w:cstheme="minorEastAsia"/>
                <w:b/>
                <w:bCs/>
                <w:color w:val="auto"/>
                <w:sz w:val="22"/>
                <w:szCs w:val="22"/>
                <w:highlight w:val="none"/>
                <w:u w:val="thick"/>
              </w:rPr>
              <w:t>）</w:t>
            </w:r>
          </w:p>
        </w:tc>
        <w:tc>
          <w:tcPr>
            <w:tcW w:w="445" w:type="pct"/>
            <w:tcBorders>
              <w:top w:val="single" w:color="auto" w:sz="4" w:space="0"/>
              <w:left w:val="single" w:color="auto" w:sz="4" w:space="0"/>
              <w:right w:val="single" w:color="auto" w:sz="4" w:space="0"/>
            </w:tcBorders>
            <w:vAlign w:val="center"/>
          </w:tcPr>
          <w:p w14:paraId="5D387B2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lang w:eastAsia="zh-CN"/>
              </w:rPr>
            </w:pPr>
            <w:r>
              <w:rPr>
                <w:rFonts w:hint="eastAsia" w:asciiTheme="minorEastAsia" w:hAnsiTheme="minorEastAsia" w:cstheme="minorEastAsia"/>
                <w:b/>
                <w:color w:val="auto"/>
                <w:sz w:val="22"/>
                <w:szCs w:val="22"/>
                <w:highlight w:val="none"/>
                <w:lang w:val="en-US" w:eastAsia="zh-CN"/>
              </w:rPr>
              <w:t>3</w:t>
            </w:r>
          </w:p>
        </w:tc>
      </w:tr>
      <w:tr w14:paraId="3C10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14:paraId="65BB554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cstheme="minorEastAsia"/>
                <w:b/>
                <w:color w:val="auto"/>
                <w:sz w:val="22"/>
                <w:szCs w:val="22"/>
                <w:highlight w:val="none"/>
                <w:lang w:val="en-US" w:eastAsia="zh-CN"/>
              </w:rPr>
              <w:t>4.2</w:t>
            </w:r>
          </w:p>
        </w:tc>
        <w:tc>
          <w:tcPr>
            <w:tcW w:w="629" w:type="pct"/>
            <w:vMerge w:val="continue"/>
            <w:tcBorders>
              <w:left w:val="single" w:color="auto" w:sz="4" w:space="0"/>
              <w:right w:val="single" w:color="auto" w:sz="4" w:space="0"/>
            </w:tcBorders>
            <w:vAlign w:val="center"/>
          </w:tcPr>
          <w:p w14:paraId="45158EE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p>
        </w:tc>
        <w:tc>
          <w:tcPr>
            <w:tcW w:w="3565" w:type="pct"/>
            <w:tcBorders>
              <w:left w:val="single" w:color="auto" w:sz="4" w:space="0"/>
              <w:bottom w:val="single" w:color="auto" w:sz="4" w:space="0"/>
              <w:right w:val="single" w:color="auto" w:sz="4" w:space="0"/>
            </w:tcBorders>
            <w:shd w:val="clear" w:color="auto" w:fill="auto"/>
            <w:vAlign w:val="center"/>
          </w:tcPr>
          <w:p w14:paraId="141881A3">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bCs/>
                <w:color w:val="auto"/>
                <w:kern w:val="0"/>
                <w:sz w:val="22"/>
                <w:szCs w:val="22"/>
                <w:highlight w:val="none"/>
                <w:lang w:eastAsia="zh-CN"/>
              </w:rPr>
            </w:pPr>
            <w:r>
              <w:rPr>
                <w:rFonts w:hint="eastAsia" w:asciiTheme="minorEastAsia" w:hAnsiTheme="minorEastAsia" w:eastAsiaTheme="minorEastAsia" w:cstheme="minorEastAsia"/>
                <w:b/>
                <w:bCs/>
                <w:color w:val="auto"/>
                <w:kern w:val="0"/>
                <w:sz w:val="22"/>
                <w:szCs w:val="22"/>
                <w:highlight w:val="none"/>
              </w:rPr>
              <w:t>车辆设备</w:t>
            </w:r>
            <w:r>
              <w:rPr>
                <w:rFonts w:hint="eastAsia" w:asciiTheme="minorEastAsia" w:hAnsiTheme="minorEastAsia" w:cstheme="minorEastAsia"/>
                <w:b/>
                <w:bCs/>
                <w:color w:val="auto"/>
                <w:kern w:val="0"/>
                <w:sz w:val="22"/>
                <w:szCs w:val="22"/>
                <w:highlight w:val="none"/>
                <w:lang w:eastAsia="zh-CN"/>
              </w:rPr>
              <w:t>：</w:t>
            </w:r>
          </w:p>
          <w:p w14:paraId="1E783DA8">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为满足食堂的配送任务，投标人</w:t>
            </w:r>
            <w:r>
              <w:rPr>
                <w:rFonts w:hint="eastAsia" w:asciiTheme="minorEastAsia" w:hAnsiTheme="minorEastAsia" w:eastAsiaTheme="minorEastAsia" w:cstheme="minorEastAsia"/>
                <w:color w:val="auto"/>
                <w:sz w:val="22"/>
                <w:szCs w:val="22"/>
                <w:highlight w:val="none"/>
              </w:rPr>
              <w:t>具有自有或租赁配送车辆的</w:t>
            </w:r>
            <w:r>
              <w:rPr>
                <w:rFonts w:hint="eastAsia" w:ascii="宋体" w:hAnsi="宋体" w:eastAsia="宋体" w:cs="宋体"/>
                <w:b/>
                <w:bCs/>
                <w:color w:val="auto"/>
                <w:sz w:val="22"/>
                <w:szCs w:val="22"/>
                <w:highlight w:val="none"/>
              </w:rPr>
              <w:t>（其中至少含车辆1辆，否则本项不得分）</w:t>
            </w:r>
            <w:r>
              <w:rPr>
                <w:rFonts w:hint="eastAsia" w:asciiTheme="minorEastAsia" w:hAnsiTheme="minorEastAsia" w:eastAsiaTheme="minorEastAsia" w:cstheme="minorEastAsia"/>
                <w:color w:val="auto"/>
                <w:sz w:val="22"/>
                <w:szCs w:val="22"/>
                <w:highlight w:val="none"/>
              </w:rPr>
              <w:t>，每提供一台车辆得</w:t>
            </w:r>
            <w:r>
              <w:rPr>
                <w:rFonts w:hint="eastAsia" w:asciiTheme="minorEastAsia" w:hAnsi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分，最多得</w:t>
            </w:r>
            <w:r>
              <w:rPr>
                <w:rFonts w:hint="eastAsia" w:asciiTheme="minorEastAsia" w:hAnsi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分。</w:t>
            </w:r>
          </w:p>
          <w:p w14:paraId="13364819">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lang w:val="en-US" w:eastAsia="zh-CN" w:bidi="ar-SA"/>
              </w:rPr>
            </w:pPr>
            <w:r>
              <w:rPr>
                <w:rFonts w:hint="eastAsia" w:asciiTheme="minorEastAsia" w:hAnsiTheme="minorEastAsia" w:eastAsiaTheme="minorEastAsia" w:cstheme="minorEastAsia"/>
                <w:b/>
                <w:bCs/>
                <w:color w:val="auto"/>
                <w:kern w:val="0"/>
                <w:sz w:val="22"/>
                <w:szCs w:val="22"/>
                <w:highlight w:val="none"/>
                <w:u w:val="thick"/>
              </w:rPr>
              <w:t>注：需提供车辆</w:t>
            </w:r>
            <w:r>
              <w:rPr>
                <w:rFonts w:hint="eastAsia" w:asciiTheme="minorEastAsia" w:hAnsiTheme="minorEastAsia" w:eastAsiaTheme="minorEastAsia" w:cstheme="minorEastAsia"/>
                <w:b/>
                <w:bCs/>
                <w:color w:val="auto"/>
                <w:sz w:val="22"/>
                <w:szCs w:val="22"/>
                <w:highlight w:val="none"/>
                <w:u w:val="thick"/>
              </w:rPr>
              <w:t>购买发票（车辆</w:t>
            </w:r>
            <w:r>
              <w:rPr>
                <w:rFonts w:hint="eastAsia" w:asciiTheme="minorEastAsia" w:hAnsiTheme="minorEastAsia" w:eastAsiaTheme="minorEastAsia" w:cstheme="minorEastAsia"/>
                <w:b/>
                <w:bCs/>
                <w:color w:val="auto"/>
                <w:kern w:val="0"/>
                <w:sz w:val="22"/>
                <w:szCs w:val="22"/>
                <w:highlight w:val="none"/>
                <w:u w:val="thick"/>
              </w:rPr>
              <w:t>隶属于投标单位，个人购买的车辆不予计分</w:t>
            </w:r>
            <w:r>
              <w:rPr>
                <w:rFonts w:hint="eastAsia" w:asciiTheme="minorEastAsia" w:hAnsiTheme="minorEastAsia" w:eastAsiaTheme="minorEastAsia" w:cstheme="minorEastAsia"/>
                <w:b/>
                <w:bCs/>
                <w:color w:val="auto"/>
                <w:sz w:val="22"/>
                <w:szCs w:val="22"/>
                <w:highlight w:val="none"/>
                <w:u w:val="thick"/>
              </w:rPr>
              <w:t>）</w:t>
            </w:r>
            <w:r>
              <w:rPr>
                <w:rFonts w:hint="eastAsia" w:asciiTheme="minorEastAsia" w:hAnsiTheme="minorEastAsia" w:eastAsiaTheme="minorEastAsia" w:cstheme="minorEastAsia"/>
                <w:b/>
                <w:bCs/>
                <w:color w:val="auto"/>
                <w:kern w:val="0"/>
                <w:sz w:val="22"/>
                <w:szCs w:val="22"/>
                <w:highlight w:val="none"/>
                <w:u w:val="thick"/>
              </w:rPr>
              <w:t>或租赁证明（</w:t>
            </w:r>
            <w:r>
              <w:rPr>
                <w:rFonts w:hint="eastAsia" w:asciiTheme="minorEastAsia" w:hAnsiTheme="minorEastAsia" w:eastAsiaTheme="minorEastAsia" w:cstheme="minorEastAsia"/>
                <w:b/>
                <w:bCs/>
                <w:color w:val="auto"/>
                <w:sz w:val="22"/>
                <w:szCs w:val="22"/>
                <w:highlight w:val="none"/>
                <w:u w:val="thick"/>
              </w:rPr>
              <w:t>投标人签订的在有效期内的租用合同，车辆承租单位营业执照</w:t>
            </w:r>
            <w:r>
              <w:rPr>
                <w:rFonts w:hint="eastAsia" w:asciiTheme="minorEastAsia" w:hAnsiTheme="minorEastAsia" w:eastAsiaTheme="minorEastAsia" w:cstheme="minorEastAsia"/>
                <w:b/>
                <w:bCs/>
                <w:color w:val="auto"/>
                <w:kern w:val="0"/>
                <w:sz w:val="22"/>
                <w:szCs w:val="22"/>
                <w:highlight w:val="none"/>
                <w:u w:val="thick"/>
              </w:rPr>
              <w:t>）、</w:t>
            </w:r>
            <w:r>
              <w:rPr>
                <w:rFonts w:hint="eastAsia" w:asciiTheme="minorEastAsia" w:hAnsiTheme="minorEastAsia" w:eastAsiaTheme="minorEastAsia" w:cstheme="minorEastAsia"/>
                <w:b/>
                <w:bCs/>
                <w:color w:val="auto"/>
                <w:sz w:val="22"/>
                <w:szCs w:val="22"/>
                <w:highlight w:val="none"/>
                <w:u w:val="thick"/>
              </w:rPr>
              <w:t>车辆行驶证、车辆正面及内部照片（必须体现车牌号，车牌号须与车辆行驶证一致）等证明材料复印件并加盖公章</w:t>
            </w:r>
            <w:r>
              <w:rPr>
                <w:rFonts w:hint="eastAsia" w:asciiTheme="minorEastAsia" w:hAnsiTheme="minorEastAsia" w:cstheme="minorEastAsia"/>
                <w:b/>
                <w:bCs/>
                <w:color w:val="auto"/>
                <w:sz w:val="22"/>
                <w:szCs w:val="22"/>
                <w:highlight w:val="none"/>
                <w:u w:val="thick"/>
                <w:lang w:eastAsia="zh-CN"/>
              </w:rPr>
              <w:t>，</w:t>
            </w:r>
            <w:r>
              <w:rPr>
                <w:rFonts w:hint="eastAsia" w:asciiTheme="minorEastAsia" w:hAnsiTheme="minorEastAsia" w:cstheme="minorEastAsia"/>
                <w:b/>
                <w:bCs/>
                <w:color w:val="auto"/>
                <w:sz w:val="22"/>
                <w:szCs w:val="22"/>
                <w:highlight w:val="none"/>
                <w:u w:val="thick"/>
                <w:lang w:val="en-US" w:eastAsia="zh-CN"/>
              </w:rPr>
              <w:t>未提供或不符合要求不得分</w:t>
            </w:r>
            <w:r>
              <w:rPr>
                <w:rFonts w:hint="eastAsia" w:asciiTheme="minorEastAsia" w:hAnsiTheme="minorEastAsia" w:eastAsiaTheme="minorEastAsia" w:cstheme="minorEastAsia"/>
                <w:b/>
                <w:bCs/>
                <w:color w:val="auto"/>
                <w:sz w:val="22"/>
                <w:szCs w:val="22"/>
                <w:highlight w:val="none"/>
                <w:u w:val="thick"/>
              </w:rPr>
              <w:t>。</w:t>
            </w:r>
          </w:p>
        </w:tc>
        <w:tc>
          <w:tcPr>
            <w:tcW w:w="445" w:type="pct"/>
            <w:tcBorders>
              <w:left w:val="single" w:color="auto" w:sz="4" w:space="0"/>
              <w:bottom w:val="single" w:color="auto" w:sz="4" w:space="0"/>
              <w:right w:val="single" w:color="auto" w:sz="4" w:space="0"/>
            </w:tcBorders>
            <w:vAlign w:val="center"/>
          </w:tcPr>
          <w:p w14:paraId="4D2712B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cstheme="minorEastAsia"/>
                <w:b/>
                <w:color w:val="auto"/>
                <w:sz w:val="22"/>
                <w:szCs w:val="22"/>
                <w:highlight w:val="none"/>
                <w:lang w:val="en-US" w:eastAsia="zh-CN"/>
              </w:rPr>
              <w:t>4</w:t>
            </w:r>
          </w:p>
        </w:tc>
      </w:tr>
      <w:tr w14:paraId="40B5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14:paraId="74295D9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5</w:t>
            </w:r>
          </w:p>
        </w:tc>
        <w:tc>
          <w:tcPr>
            <w:tcW w:w="629" w:type="pct"/>
            <w:tcBorders>
              <w:left w:val="single" w:color="auto" w:sz="4" w:space="0"/>
              <w:right w:val="single" w:color="auto" w:sz="4" w:space="0"/>
            </w:tcBorders>
            <w:vAlign w:val="center"/>
          </w:tcPr>
          <w:p w14:paraId="68AAEF4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检测报告</w:t>
            </w:r>
          </w:p>
          <w:p w14:paraId="045BA21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（6分）</w:t>
            </w:r>
          </w:p>
        </w:tc>
        <w:tc>
          <w:tcPr>
            <w:tcW w:w="3565" w:type="pct"/>
            <w:tcBorders>
              <w:top w:val="single" w:color="auto" w:sz="4" w:space="0"/>
              <w:left w:val="single" w:color="auto" w:sz="4" w:space="0"/>
              <w:bottom w:val="single" w:color="auto" w:sz="4" w:space="0"/>
              <w:right w:val="single" w:color="auto" w:sz="4" w:space="0"/>
            </w:tcBorders>
            <w:vAlign w:val="center"/>
          </w:tcPr>
          <w:p w14:paraId="1C4ECE66">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投标人提供所投分包产品有第三方检测机构出具的产品检验报告或检测报告或检疫合格证明，</w:t>
            </w:r>
            <w:r>
              <w:rPr>
                <w:rFonts w:hint="eastAsia" w:asciiTheme="minorEastAsia" w:hAnsiTheme="minorEastAsia" w:eastAsiaTheme="minorEastAsia" w:cstheme="minorEastAsia"/>
                <w:color w:val="auto"/>
                <w:sz w:val="22"/>
                <w:szCs w:val="22"/>
                <w:highlight w:val="none"/>
              </w:rPr>
              <w:t>每提供1 份得2分，最多得6分。</w:t>
            </w:r>
          </w:p>
          <w:p w14:paraId="13C6635A">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u w:val="thick"/>
              </w:rPr>
              <w:t>（需提供相关证明材料并加盖公章，原件备查，未提供或不符合要求不得分）</w:t>
            </w:r>
          </w:p>
        </w:tc>
        <w:tc>
          <w:tcPr>
            <w:tcW w:w="445" w:type="pct"/>
            <w:tcBorders>
              <w:top w:val="single" w:color="auto" w:sz="4" w:space="0"/>
              <w:left w:val="single" w:color="auto" w:sz="4" w:space="0"/>
              <w:bottom w:val="single" w:color="auto" w:sz="4" w:space="0"/>
              <w:right w:val="single" w:color="auto" w:sz="4" w:space="0"/>
            </w:tcBorders>
            <w:vAlign w:val="center"/>
          </w:tcPr>
          <w:p w14:paraId="1C09C31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6</w:t>
            </w:r>
          </w:p>
        </w:tc>
      </w:tr>
      <w:tr w14:paraId="67C3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9" w:type="pct"/>
            <w:tcBorders>
              <w:top w:val="single" w:color="auto" w:sz="4" w:space="0"/>
              <w:left w:val="single" w:color="auto" w:sz="4" w:space="0"/>
              <w:right w:val="single" w:color="auto" w:sz="4" w:space="0"/>
            </w:tcBorders>
            <w:vAlign w:val="center"/>
          </w:tcPr>
          <w:p w14:paraId="4B42FAA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6</w:t>
            </w:r>
          </w:p>
        </w:tc>
        <w:tc>
          <w:tcPr>
            <w:tcW w:w="629" w:type="pct"/>
            <w:tcBorders>
              <w:top w:val="single" w:color="auto" w:sz="4" w:space="0"/>
              <w:left w:val="single" w:color="auto" w:sz="4" w:space="0"/>
              <w:right w:val="single" w:color="auto" w:sz="4" w:space="0"/>
            </w:tcBorders>
            <w:vAlign w:val="center"/>
          </w:tcPr>
          <w:p w14:paraId="1F4C49D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业绩</w:t>
            </w:r>
          </w:p>
          <w:p w14:paraId="1C0636E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cstheme="minorEastAsia"/>
                <w:b/>
                <w:color w:val="auto"/>
                <w:sz w:val="22"/>
                <w:szCs w:val="22"/>
                <w:highlight w:val="none"/>
                <w:lang w:val="en-US" w:eastAsia="zh-CN"/>
              </w:rPr>
              <w:t>8</w:t>
            </w:r>
            <w:r>
              <w:rPr>
                <w:rFonts w:hint="eastAsia" w:asciiTheme="minorEastAsia" w:hAnsiTheme="minorEastAsia" w:eastAsiaTheme="minorEastAsia" w:cstheme="minorEastAsia"/>
                <w:b/>
                <w:color w:val="auto"/>
                <w:sz w:val="22"/>
                <w:szCs w:val="22"/>
                <w:highlight w:val="none"/>
              </w:rPr>
              <w:t>分）</w:t>
            </w:r>
          </w:p>
        </w:tc>
        <w:tc>
          <w:tcPr>
            <w:tcW w:w="3565" w:type="pct"/>
            <w:tcBorders>
              <w:top w:val="single" w:color="auto" w:sz="4" w:space="0"/>
              <w:left w:val="single" w:color="auto" w:sz="4" w:space="0"/>
              <w:bottom w:val="single" w:color="auto" w:sz="4" w:space="0"/>
              <w:right w:val="single" w:color="auto" w:sz="4" w:space="0"/>
            </w:tcBorders>
            <w:vAlign w:val="center"/>
          </w:tcPr>
          <w:p w14:paraId="4E449C41">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投标人自202</w:t>
            </w:r>
            <w:r>
              <w:rPr>
                <w:rFonts w:hint="eastAsia" w:asciiTheme="minorEastAsia" w:hAnsi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年1月1日（含）以来，具有学校或类似食堂食材供货项目业绩的，每提供1个业绩得2分，最多得</w:t>
            </w:r>
            <w:r>
              <w:rPr>
                <w:rFonts w:hint="eastAsia" w:asciiTheme="minorEastAsia" w:hAnsi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rPr>
              <w:t>分。</w:t>
            </w:r>
          </w:p>
          <w:p w14:paraId="45A279A2">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u w:val="thick"/>
              </w:rPr>
              <w:t xml:space="preserve">（需提供合同或中标通知书等相关证明材料，未提供证明材料或不符合要求不得分，原件备查）。 </w:t>
            </w:r>
          </w:p>
        </w:tc>
        <w:tc>
          <w:tcPr>
            <w:tcW w:w="445" w:type="pct"/>
            <w:tcBorders>
              <w:top w:val="single" w:color="auto" w:sz="4" w:space="0"/>
              <w:left w:val="single" w:color="auto" w:sz="4" w:space="0"/>
              <w:right w:val="single" w:color="auto" w:sz="4" w:space="0"/>
            </w:tcBorders>
            <w:vAlign w:val="center"/>
          </w:tcPr>
          <w:p w14:paraId="0617C6A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lang w:eastAsia="zh-CN"/>
              </w:rPr>
            </w:pPr>
            <w:r>
              <w:rPr>
                <w:rFonts w:hint="eastAsia" w:asciiTheme="minorEastAsia" w:hAnsiTheme="minorEastAsia" w:cstheme="minorEastAsia"/>
                <w:b/>
                <w:color w:val="auto"/>
                <w:sz w:val="22"/>
                <w:szCs w:val="22"/>
                <w:highlight w:val="none"/>
                <w:lang w:val="en-US" w:eastAsia="zh-CN"/>
              </w:rPr>
              <w:t>8</w:t>
            </w:r>
          </w:p>
        </w:tc>
      </w:tr>
      <w:tr w14:paraId="1CE4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9" w:type="pct"/>
            <w:tcBorders>
              <w:top w:val="single" w:color="auto" w:sz="4" w:space="0"/>
              <w:left w:val="single" w:color="auto" w:sz="4" w:space="0"/>
              <w:right w:val="single" w:color="auto" w:sz="4" w:space="0"/>
            </w:tcBorders>
            <w:vAlign w:val="center"/>
          </w:tcPr>
          <w:p w14:paraId="1FBA916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cstheme="minorEastAsia"/>
                <w:b/>
                <w:color w:val="auto"/>
                <w:sz w:val="22"/>
                <w:szCs w:val="22"/>
                <w:highlight w:val="none"/>
                <w:lang w:val="en-US" w:eastAsia="zh-CN"/>
              </w:rPr>
              <w:t>7</w:t>
            </w:r>
          </w:p>
        </w:tc>
        <w:tc>
          <w:tcPr>
            <w:tcW w:w="629" w:type="pct"/>
            <w:tcBorders>
              <w:top w:val="single" w:color="auto" w:sz="4" w:space="0"/>
              <w:left w:val="single" w:color="auto" w:sz="4" w:space="0"/>
              <w:right w:val="single" w:color="auto" w:sz="4" w:space="0"/>
            </w:tcBorders>
            <w:vAlign w:val="center"/>
          </w:tcPr>
          <w:p w14:paraId="1CD4985A">
            <w:pPr>
              <w:adjustRightInd w:val="0"/>
              <w:snapToGrid w:val="0"/>
              <w:spacing w:line="240" w:lineRule="auto"/>
              <w:jc w:val="center"/>
              <w:rPr>
                <w:rFonts w:hint="eastAsia" w:asciiTheme="minorEastAsia" w:hAnsiTheme="minorEastAsia" w:cstheme="minorEastAsia"/>
                <w:b/>
                <w:color w:val="auto"/>
                <w:sz w:val="22"/>
                <w:szCs w:val="22"/>
                <w:highlight w:val="none"/>
                <w:lang w:val="en-US" w:eastAsia="zh-CN"/>
              </w:rPr>
            </w:pPr>
            <w:r>
              <w:rPr>
                <w:rFonts w:hint="eastAsia" w:asciiTheme="minorEastAsia" w:hAnsiTheme="minorEastAsia" w:cstheme="minorEastAsia"/>
                <w:b/>
                <w:color w:val="auto"/>
                <w:sz w:val="22"/>
                <w:szCs w:val="22"/>
                <w:highlight w:val="none"/>
                <w:lang w:val="en-US" w:eastAsia="zh-CN"/>
              </w:rPr>
              <w:t>满意度评价</w:t>
            </w:r>
          </w:p>
          <w:p w14:paraId="34C0EB66">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cstheme="minorEastAsia"/>
                <w:b/>
                <w:color w:val="auto"/>
                <w:sz w:val="22"/>
                <w:szCs w:val="22"/>
                <w:highlight w:val="none"/>
                <w:lang w:val="en-US" w:eastAsia="zh-CN"/>
              </w:rPr>
              <w:t>（5分）</w:t>
            </w:r>
          </w:p>
        </w:tc>
        <w:tc>
          <w:tcPr>
            <w:tcW w:w="3565" w:type="pct"/>
            <w:tcBorders>
              <w:top w:val="single" w:color="auto" w:sz="4" w:space="0"/>
              <w:left w:val="single" w:color="auto" w:sz="4" w:space="0"/>
              <w:bottom w:val="single" w:color="auto" w:sz="4" w:space="0"/>
              <w:right w:val="single" w:color="auto" w:sz="4" w:space="0"/>
            </w:tcBorders>
            <w:vAlign w:val="center"/>
          </w:tcPr>
          <w:p w14:paraId="2EC106C8">
            <w:pPr>
              <w:adjustRightInd w:val="0"/>
              <w:snapToGrid w:val="0"/>
              <w:spacing w:line="240" w:lineRule="auto"/>
              <w:rPr>
                <w:rFonts w:hint="eastAsia" w:asciiTheme="minorEastAsia" w:hAnsiTheme="minorEastAsia" w:eastAsiaTheme="minorEastAsia" w:cstheme="minorEastAsia"/>
                <w:b/>
                <w:bCs/>
                <w:color w:val="auto"/>
                <w:sz w:val="22"/>
                <w:szCs w:val="22"/>
                <w:highlight w:val="none"/>
                <w:u w:val="thick"/>
              </w:rPr>
            </w:pPr>
            <w:r>
              <w:rPr>
                <w:rFonts w:hint="eastAsia" w:asciiTheme="minorEastAsia" w:hAnsiTheme="minorEastAsia" w:cstheme="minorEastAsia"/>
                <w:color w:val="auto"/>
                <w:sz w:val="22"/>
                <w:szCs w:val="22"/>
                <w:highlight w:val="none"/>
                <w:lang w:val="en-US" w:eastAsia="zh-CN"/>
              </w:rPr>
              <w:t>投标人自2022</w:t>
            </w:r>
            <w:r>
              <w:rPr>
                <w:rFonts w:hint="eastAsia" w:asciiTheme="minorEastAsia" w:hAnsiTheme="minorEastAsia" w:eastAsiaTheme="minorEastAsia" w:cstheme="minorEastAsia"/>
                <w:color w:val="auto"/>
                <w:sz w:val="22"/>
                <w:szCs w:val="22"/>
                <w:highlight w:val="none"/>
              </w:rPr>
              <w:t>年1月 1（含）以来，</w:t>
            </w:r>
            <w:r>
              <w:rPr>
                <w:rFonts w:hint="eastAsia" w:asciiTheme="minorEastAsia" w:hAnsiTheme="minorEastAsia" w:cstheme="minorEastAsia"/>
                <w:color w:val="auto"/>
                <w:sz w:val="22"/>
                <w:szCs w:val="22"/>
                <w:highlight w:val="none"/>
                <w:lang w:val="en-US" w:eastAsia="zh-CN"/>
              </w:rPr>
              <w:t>具有</w:t>
            </w:r>
            <w:r>
              <w:rPr>
                <w:rFonts w:hint="eastAsia" w:asciiTheme="minorEastAsia" w:hAnsiTheme="minorEastAsia" w:eastAsiaTheme="minorEastAsia" w:cstheme="minorEastAsia"/>
                <w:color w:val="auto"/>
                <w:sz w:val="22"/>
                <w:szCs w:val="22"/>
                <w:highlight w:val="none"/>
              </w:rPr>
              <w:t>类似学校或类似食堂食材供货项目被服务单位证明合同履行优秀或满意的评价</w:t>
            </w:r>
            <w:r>
              <w:rPr>
                <w:rFonts w:hint="eastAsia" w:asciiTheme="minorEastAsia" w:hAnsiTheme="minorEastAsia" w:cstheme="minorEastAsia"/>
                <w:color w:val="auto"/>
                <w:sz w:val="22"/>
                <w:szCs w:val="22"/>
                <w:highlight w:val="none"/>
                <w:lang w:val="en-US" w:eastAsia="zh-CN"/>
              </w:rPr>
              <w:t>证明材料</w:t>
            </w:r>
            <w:r>
              <w:rPr>
                <w:rFonts w:hint="eastAsia" w:asciiTheme="minorEastAsia" w:hAnsiTheme="minorEastAsia" w:eastAsiaTheme="minorEastAsia" w:cstheme="minorEastAsia"/>
                <w:color w:val="auto"/>
                <w:sz w:val="22"/>
                <w:szCs w:val="22"/>
                <w:highlight w:val="none"/>
              </w:rPr>
              <w:t>的，每提供1份得</w:t>
            </w:r>
            <w:r>
              <w:rPr>
                <w:rFonts w:hint="eastAsia" w:asciiTheme="minorEastAsia" w:hAnsiTheme="minorEastAsia" w:cstheme="minorEastAsia"/>
                <w:color w:val="auto"/>
                <w:sz w:val="22"/>
                <w:szCs w:val="22"/>
                <w:highlight w:val="none"/>
                <w:lang w:val="en-US" w:eastAsia="zh-CN"/>
              </w:rPr>
              <w:t>2.5</w:t>
            </w:r>
            <w:r>
              <w:rPr>
                <w:rFonts w:hint="eastAsia" w:asciiTheme="minorEastAsia" w:hAnsiTheme="minorEastAsia" w:eastAsiaTheme="minorEastAsia" w:cstheme="minorEastAsia"/>
                <w:color w:val="auto"/>
                <w:sz w:val="22"/>
                <w:szCs w:val="22"/>
                <w:highlight w:val="none"/>
              </w:rPr>
              <w:t>分，最高得</w:t>
            </w:r>
            <w:r>
              <w:rPr>
                <w:rFonts w:hint="eastAsia" w:asciiTheme="minorEastAsia" w:hAnsi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eastAsiaTheme="minorEastAsia" w:cstheme="minorEastAsia"/>
                <w:b/>
                <w:bCs/>
                <w:color w:val="auto"/>
                <w:sz w:val="22"/>
                <w:szCs w:val="22"/>
                <w:highlight w:val="none"/>
              </w:rPr>
              <w:t>（提供</w:t>
            </w:r>
            <w:r>
              <w:rPr>
                <w:rFonts w:hint="eastAsia" w:asciiTheme="minorEastAsia" w:hAnsiTheme="minorEastAsia" w:cstheme="minorEastAsia"/>
                <w:b/>
                <w:bCs/>
                <w:color w:val="auto"/>
                <w:sz w:val="22"/>
                <w:szCs w:val="22"/>
                <w:highlight w:val="none"/>
                <w:lang w:val="en-US" w:eastAsia="zh-CN"/>
              </w:rPr>
              <w:t>加盖</w:t>
            </w:r>
            <w:r>
              <w:rPr>
                <w:rFonts w:hint="eastAsia" w:asciiTheme="minorEastAsia" w:hAnsiTheme="minorEastAsia" w:eastAsiaTheme="minorEastAsia" w:cstheme="minorEastAsia"/>
                <w:b/>
                <w:bCs/>
                <w:color w:val="auto"/>
                <w:sz w:val="22"/>
                <w:szCs w:val="22"/>
                <w:highlight w:val="none"/>
              </w:rPr>
              <w:t>被服务单位</w:t>
            </w:r>
            <w:r>
              <w:rPr>
                <w:rFonts w:hint="eastAsia" w:asciiTheme="minorEastAsia" w:hAnsiTheme="minorEastAsia" w:cstheme="minorEastAsia"/>
                <w:b/>
                <w:bCs/>
                <w:color w:val="auto"/>
                <w:sz w:val="22"/>
                <w:szCs w:val="22"/>
                <w:highlight w:val="none"/>
                <w:lang w:val="en-US" w:eastAsia="zh-CN"/>
              </w:rPr>
              <w:t>公章的</w:t>
            </w:r>
            <w:r>
              <w:rPr>
                <w:rFonts w:hint="eastAsia" w:asciiTheme="minorEastAsia" w:hAnsiTheme="minorEastAsia" w:eastAsiaTheme="minorEastAsia" w:cstheme="minorEastAsia"/>
                <w:b/>
                <w:bCs/>
                <w:color w:val="auto"/>
                <w:sz w:val="22"/>
                <w:szCs w:val="22"/>
                <w:highlight w:val="none"/>
              </w:rPr>
              <w:t>评价</w:t>
            </w:r>
            <w:r>
              <w:rPr>
                <w:rFonts w:hint="eastAsia" w:asciiTheme="minorEastAsia" w:hAnsiTheme="minorEastAsia" w:cstheme="minorEastAsia"/>
                <w:b/>
                <w:bCs/>
                <w:color w:val="auto"/>
                <w:sz w:val="22"/>
                <w:szCs w:val="22"/>
                <w:highlight w:val="none"/>
                <w:lang w:val="en-US" w:eastAsia="zh-CN"/>
              </w:rPr>
              <w:t>证明材料</w:t>
            </w:r>
            <w:r>
              <w:rPr>
                <w:rFonts w:hint="eastAsia" w:asciiTheme="minorEastAsia" w:hAnsiTheme="minorEastAsia" w:eastAsiaTheme="minorEastAsia" w:cstheme="minorEastAsia"/>
                <w:b/>
                <w:bCs/>
                <w:color w:val="auto"/>
                <w:sz w:val="22"/>
                <w:szCs w:val="22"/>
                <w:highlight w:val="none"/>
                <w:u w:val="thick"/>
              </w:rPr>
              <w:t>，未提供证明材料</w:t>
            </w:r>
            <w:r>
              <w:rPr>
                <w:rFonts w:hint="eastAsia" w:asciiTheme="minorEastAsia" w:hAnsiTheme="minorEastAsia" w:cstheme="minorEastAsia"/>
                <w:b/>
                <w:bCs/>
                <w:color w:val="auto"/>
                <w:sz w:val="22"/>
                <w:szCs w:val="22"/>
                <w:highlight w:val="none"/>
                <w:u w:val="thick"/>
                <w:lang w:val="en-US" w:eastAsia="zh-CN"/>
              </w:rPr>
              <w:t>或不符合要求</w:t>
            </w:r>
            <w:r>
              <w:rPr>
                <w:rFonts w:hint="eastAsia" w:asciiTheme="minorEastAsia" w:hAnsiTheme="minorEastAsia" w:eastAsiaTheme="minorEastAsia" w:cstheme="minorEastAsia"/>
                <w:b/>
                <w:bCs/>
                <w:color w:val="auto"/>
                <w:sz w:val="22"/>
                <w:szCs w:val="22"/>
                <w:highlight w:val="none"/>
                <w:u w:val="thick"/>
              </w:rPr>
              <w:t>不得分，原件备查</w:t>
            </w:r>
            <w:r>
              <w:rPr>
                <w:rFonts w:hint="eastAsia" w:asciiTheme="minorEastAsia" w:hAnsiTheme="minorEastAsia" w:eastAsiaTheme="minorEastAsia" w:cstheme="minorEastAsia"/>
                <w:color w:val="auto"/>
                <w:sz w:val="22"/>
                <w:szCs w:val="22"/>
                <w:highlight w:val="none"/>
              </w:rPr>
              <w:t>）。</w:t>
            </w:r>
          </w:p>
        </w:tc>
        <w:tc>
          <w:tcPr>
            <w:tcW w:w="445" w:type="pct"/>
            <w:tcBorders>
              <w:top w:val="single" w:color="auto" w:sz="4" w:space="0"/>
              <w:left w:val="single" w:color="auto" w:sz="4" w:space="0"/>
              <w:right w:val="single" w:color="auto" w:sz="4" w:space="0"/>
            </w:tcBorders>
            <w:vAlign w:val="center"/>
          </w:tcPr>
          <w:p w14:paraId="3D3FADA2">
            <w:pPr>
              <w:adjustRightInd w:val="0"/>
              <w:snapToGrid w:val="0"/>
              <w:spacing w:line="240" w:lineRule="auto"/>
              <w:jc w:val="center"/>
              <w:rPr>
                <w:rFonts w:hint="eastAsia" w:asciiTheme="minorEastAsia" w:hAnsiTheme="minorEastAsia" w:cstheme="minorEastAsia"/>
                <w:b/>
                <w:color w:val="auto"/>
                <w:sz w:val="22"/>
                <w:szCs w:val="22"/>
                <w:highlight w:val="none"/>
                <w:lang w:val="en-US" w:eastAsia="zh-CN"/>
              </w:rPr>
            </w:pPr>
            <w:r>
              <w:rPr>
                <w:rFonts w:hint="eastAsia" w:asciiTheme="minorEastAsia" w:hAnsiTheme="minorEastAsia" w:cstheme="minorEastAsia"/>
                <w:b/>
                <w:color w:val="auto"/>
                <w:sz w:val="22"/>
                <w:szCs w:val="22"/>
                <w:highlight w:val="none"/>
                <w:lang w:val="en-US" w:eastAsia="zh-CN"/>
              </w:rPr>
              <w:t>5</w:t>
            </w:r>
          </w:p>
        </w:tc>
      </w:tr>
      <w:tr w14:paraId="7FF9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14:paraId="2AF986C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8</w:t>
            </w:r>
          </w:p>
        </w:tc>
        <w:tc>
          <w:tcPr>
            <w:tcW w:w="629" w:type="pct"/>
            <w:tcBorders>
              <w:top w:val="single" w:color="auto" w:sz="4" w:space="0"/>
              <w:left w:val="single" w:color="auto" w:sz="4" w:space="0"/>
              <w:right w:val="single" w:color="auto" w:sz="4" w:space="0"/>
            </w:tcBorders>
            <w:vAlign w:val="center"/>
          </w:tcPr>
          <w:p w14:paraId="3CF3BF5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合计</w:t>
            </w:r>
          </w:p>
        </w:tc>
        <w:tc>
          <w:tcPr>
            <w:tcW w:w="3565" w:type="pct"/>
            <w:tcBorders>
              <w:top w:val="single" w:color="auto" w:sz="4" w:space="0"/>
              <w:left w:val="single" w:color="auto" w:sz="4" w:space="0"/>
              <w:bottom w:val="single" w:color="auto" w:sz="4" w:space="0"/>
              <w:right w:val="single" w:color="auto" w:sz="4" w:space="0"/>
            </w:tcBorders>
            <w:vAlign w:val="center"/>
          </w:tcPr>
          <w:p w14:paraId="4614A6DA">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p>
        </w:tc>
        <w:tc>
          <w:tcPr>
            <w:tcW w:w="445" w:type="pct"/>
            <w:tcBorders>
              <w:top w:val="single" w:color="auto" w:sz="4" w:space="0"/>
              <w:left w:val="single" w:color="auto" w:sz="4" w:space="0"/>
              <w:bottom w:val="single" w:color="auto" w:sz="4" w:space="0"/>
              <w:right w:val="single" w:color="auto" w:sz="4" w:space="0"/>
            </w:tcBorders>
            <w:vAlign w:val="center"/>
          </w:tcPr>
          <w:p w14:paraId="33E7C02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100</w:t>
            </w:r>
          </w:p>
        </w:tc>
      </w:tr>
    </w:tbl>
    <w:p w14:paraId="2688595D">
      <w:pPr>
        <w:autoSpaceDE w:val="0"/>
        <w:autoSpaceDN w:val="0"/>
        <w:adjustRightInd w:val="0"/>
        <w:spacing w:line="440" w:lineRule="exact"/>
        <w:ind w:firstLine="482" w:firstLineChars="200"/>
        <w:jc w:val="left"/>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说明：</w:t>
      </w:r>
    </w:p>
    <w:p w14:paraId="7D5501DF">
      <w:pPr>
        <w:autoSpaceDE w:val="0"/>
        <w:autoSpaceDN w:val="0"/>
        <w:adjustRightInd w:val="0"/>
        <w:spacing w:line="440" w:lineRule="exact"/>
        <w:ind w:firstLine="482" w:firstLineChars="200"/>
        <w:jc w:val="left"/>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1.投标人必须在投标文件中逐条响应上述评标办法细则并提供有效证明材料并列明索引，否则将可能导致不得分。</w:t>
      </w:r>
    </w:p>
    <w:p w14:paraId="3F6A1AF3">
      <w:pPr>
        <w:autoSpaceDE w:val="0"/>
        <w:autoSpaceDN w:val="0"/>
        <w:adjustRightInd w:val="0"/>
        <w:spacing w:line="440" w:lineRule="exact"/>
        <w:ind w:firstLine="480" w:firstLineChars="200"/>
        <w:jc w:val="left"/>
        <w:rPr>
          <w:rFonts w:hint="eastAsia" w:asciiTheme="minorEastAsia" w:hAnsiTheme="minorEastAsia" w:cstheme="minorEastAsia"/>
          <w:b w:val="0"/>
          <w:bCs w:val="0"/>
          <w:color w:val="auto"/>
          <w:sz w:val="24"/>
          <w:szCs w:val="24"/>
          <w:highlight w:val="none"/>
          <w:lang w:val="en-US" w:eastAsia="zh-CN"/>
        </w:rPr>
      </w:pPr>
    </w:p>
    <w:p w14:paraId="0BF203F9">
      <w:pPr>
        <w:pStyle w:val="16"/>
        <w:rPr>
          <w:rFonts w:hint="eastAsia"/>
          <w:color w:val="auto"/>
          <w:highlight w:val="none"/>
          <w:lang w:val="en-US" w:eastAsia="zh-CN"/>
        </w:rPr>
      </w:pPr>
    </w:p>
    <w:p w14:paraId="16BFABD2">
      <w:pPr>
        <w:autoSpaceDE w:val="0"/>
        <w:autoSpaceDN w:val="0"/>
        <w:adjustRightInd w:val="0"/>
        <w:spacing w:line="440" w:lineRule="exact"/>
        <w:ind w:firstLine="482" w:firstLineChars="200"/>
        <w:jc w:val="left"/>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标段四：冷冻制品类</w:t>
      </w:r>
    </w:p>
    <w:tbl>
      <w:tblPr>
        <w:tblStyle w:val="4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18"/>
        <w:gridCol w:w="6902"/>
        <w:gridCol w:w="862"/>
      </w:tblGrid>
      <w:tr w14:paraId="4A76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14:paraId="633FF14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序号</w:t>
            </w:r>
          </w:p>
        </w:tc>
        <w:tc>
          <w:tcPr>
            <w:tcW w:w="629" w:type="pct"/>
            <w:tcBorders>
              <w:top w:val="single" w:color="auto" w:sz="4" w:space="0"/>
              <w:left w:val="single" w:color="auto" w:sz="4" w:space="0"/>
              <w:bottom w:val="single" w:color="auto" w:sz="4" w:space="0"/>
              <w:right w:val="single" w:color="auto" w:sz="4" w:space="0"/>
            </w:tcBorders>
            <w:vAlign w:val="center"/>
          </w:tcPr>
          <w:p w14:paraId="02786DF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评分因素</w:t>
            </w:r>
          </w:p>
        </w:tc>
        <w:tc>
          <w:tcPr>
            <w:tcW w:w="3565" w:type="pct"/>
            <w:tcBorders>
              <w:top w:val="single" w:color="auto" w:sz="4" w:space="0"/>
              <w:left w:val="single" w:color="auto" w:sz="4" w:space="0"/>
              <w:bottom w:val="single" w:color="auto" w:sz="4" w:space="0"/>
              <w:right w:val="single" w:color="auto" w:sz="4" w:space="0"/>
            </w:tcBorders>
            <w:vAlign w:val="center"/>
          </w:tcPr>
          <w:p w14:paraId="6A763B7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评分标准</w:t>
            </w:r>
          </w:p>
        </w:tc>
        <w:tc>
          <w:tcPr>
            <w:tcW w:w="445" w:type="pct"/>
            <w:tcBorders>
              <w:top w:val="single" w:color="auto" w:sz="4" w:space="0"/>
              <w:left w:val="single" w:color="auto" w:sz="4" w:space="0"/>
              <w:bottom w:val="single" w:color="auto" w:sz="4" w:space="0"/>
              <w:right w:val="single" w:color="auto" w:sz="4" w:space="0"/>
            </w:tcBorders>
            <w:vAlign w:val="center"/>
          </w:tcPr>
          <w:p w14:paraId="71CF833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分值</w:t>
            </w:r>
          </w:p>
        </w:tc>
      </w:tr>
      <w:tr w14:paraId="22C7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14:paraId="59B8315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w:t>
            </w:r>
          </w:p>
        </w:tc>
        <w:tc>
          <w:tcPr>
            <w:tcW w:w="629" w:type="pct"/>
            <w:tcBorders>
              <w:top w:val="single" w:color="auto" w:sz="4" w:space="0"/>
              <w:left w:val="single" w:color="auto" w:sz="4" w:space="0"/>
              <w:right w:val="single" w:color="auto" w:sz="4" w:space="0"/>
            </w:tcBorders>
            <w:vAlign w:val="center"/>
          </w:tcPr>
          <w:p w14:paraId="58D49F0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价格</w:t>
            </w:r>
          </w:p>
          <w:p w14:paraId="4DD9E2E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cstheme="minorEastAsia"/>
                <w:b/>
                <w:color w:val="auto"/>
                <w:sz w:val="22"/>
                <w:szCs w:val="22"/>
                <w:highlight w:val="none"/>
                <w:lang w:val="en-US" w:eastAsia="zh-CN"/>
              </w:rPr>
              <w:t>30</w:t>
            </w:r>
            <w:r>
              <w:rPr>
                <w:rFonts w:hint="eastAsia" w:asciiTheme="minorEastAsia" w:hAnsiTheme="minorEastAsia" w:eastAsiaTheme="minorEastAsia" w:cstheme="minorEastAsia"/>
                <w:b/>
                <w:color w:val="auto"/>
                <w:sz w:val="22"/>
                <w:szCs w:val="22"/>
                <w:highlight w:val="none"/>
              </w:rPr>
              <w:t>分）</w:t>
            </w:r>
          </w:p>
        </w:tc>
        <w:tc>
          <w:tcPr>
            <w:tcW w:w="3565" w:type="pct"/>
            <w:tcBorders>
              <w:top w:val="single" w:color="auto" w:sz="4" w:space="0"/>
              <w:left w:val="single" w:color="auto" w:sz="4" w:space="0"/>
              <w:bottom w:val="single" w:color="auto" w:sz="4" w:space="0"/>
              <w:right w:val="single" w:color="auto" w:sz="4" w:space="0"/>
            </w:tcBorders>
            <w:vAlign w:val="center"/>
          </w:tcPr>
          <w:p w14:paraId="6D3A9C79">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采用低价优先法计算，即满足招标文件要求且</w:t>
            </w:r>
            <w:r>
              <w:rPr>
                <w:rFonts w:hint="eastAsia" w:asciiTheme="minorEastAsia" w:hAnsiTheme="minorEastAsia" w:cstheme="minorEastAsia"/>
                <w:b/>
                <w:bCs/>
                <w:color w:val="auto"/>
                <w:sz w:val="22"/>
                <w:szCs w:val="22"/>
                <w:highlight w:val="none"/>
                <w:lang w:val="en-US" w:eastAsia="zh-CN"/>
              </w:rPr>
              <w:t>投标折扣</w:t>
            </w:r>
            <w:r>
              <w:rPr>
                <w:rFonts w:hint="eastAsia" w:asciiTheme="minorEastAsia" w:hAnsiTheme="minorEastAsia" w:eastAsiaTheme="minorEastAsia" w:cstheme="minorEastAsia"/>
                <w:color w:val="auto"/>
                <w:sz w:val="22"/>
                <w:szCs w:val="22"/>
                <w:highlight w:val="none"/>
              </w:rPr>
              <w:t>最低的投标报价为评标基准价，其价格分为满分。本项目其他投标人的价格分统一按照下列公式计算：投标报价得分=</w:t>
            </w:r>
            <w:r>
              <w:rPr>
                <w:rFonts w:hint="eastAsia" w:asciiTheme="minorEastAsia" w:hAnsi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评标基准价/投标折扣</w:t>
            </w:r>
            <w:r>
              <w:rPr>
                <w:rFonts w:hint="eastAsia" w:asciiTheme="minorEastAsia" w:hAnsi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cstheme="minorEastAsia"/>
                <w:color w:val="auto"/>
                <w:sz w:val="22"/>
                <w:szCs w:val="22"/>
                <w:highlight w:val="none"/>
                <w:lang w:val="en-US" w:eastAsia="zh-CN"/>
              </w:rPr>
              <w:t>30</w:t>
            </w:r>
            <w:r>
              <w:rPr>
                <w:rFonts w:hint="eastAsia" w:asciiTheme="minorEastAsia" w:hAnsiTheme="minorEastAsia" w:eastAsiaTheme="minorEastAsia" w:cstheme="minorEastAsia"/>
                <w:color w:val="auto"/>
                <w:sz w:val="22"/>
                <w:szCs w:val="22"/>
                <w:highlight w:val="none"/>
              </w:rPr>
              <w:t>（小数点保留两位）。</w:t>
            </w:r>
          </w:p>
        </w:tc>
        <w:tc>
          <w:tcPr>
            <w:tcW w:w="445" w:type="pct"/>
            <w:tcBorders>
              <w:top w:val="single" w:color="auto" w:sz="4" w:space="0"/>
              <w:left w:val="single" w:color="auto" w:sz="4" w:space="0"/>
              <w:bottom w:val="single" w:color="auto" w:sz="4" w:space="0"/>
              <w:right w:val="single" w:color="auto" w:sz="4" w:space="0"/>
            </w:tcBorders>
            <w:vAlign w:val="center"/>
          </w:tcPr>
          <w:p w14:paraId="2FDD440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b/>
                <w:color w:val="auto"/>
                <w:sz w:val="22"/>
                <w:szCs w:val="22"/>
                <w:highlight w:val="none"/>
                <w:lang w:val="en-US"/>
              </w:rPr>
            </w:pPr>
            <w:r>
              <w:rPr>
                <w:rFonts w:hint="eastAsia" w:asciiTheme="minorEastAsia" w:hAnsiTheme="minorEastAsia" w:cstheme="minorEastAsia"/>
                <w:b/>
                <w:color w:val="auto"/>
                <w:sz w:val="22"/>
                <w:szCs w:val="22"/>
                <w:highlight w:val="none"/>
                <w:lang w:val="en-US" w:eastAsia="zh-CN"/>
              </w:rPr>
              <w:t>30</w:t>
            </w:r>
          </w:p>
        </w:tc>
      </w:tr>
      <w:tr w14:paraId="62D3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14:paraId="3C2020B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2.1</w:t>
            </w:r>
          </w:p>
        </w:tc>
        <w:tc>
          <w:tcPr>
            <w:tcW w:w="629" w:type="pct"/>
            <w:vMerge w:val="restart"/>
            <w:tcBorders>
              <w:left w:val="single" w:color="auto" w:sz="4" w:space="0"/>
              <w:right w:val="single" w:color="auto" w:sz="4" w:space="0"/>
            </w:tcBorders>
            <w:vAlign w:val="center"/>
          </w:tcPr>
          <w:p w14:paraId="6CCCEEC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服务方案</w:t>
            </w:r>
          </w:p>
          <w:p w14:paraId="26E6A04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cstheme="minorEastAsia"/>
                <w:b/>
                <w:color w:val="auto"/>
                <w:sz w:val="22"/>
                <w:szCs w:val="22"/>
                <w:highlight w:val="none"/>
                <w:lang w:val="en-US" w:eastAsia="zh-CN"/>
              </w:rPr>
              <w:t>40</w:t>
            </w:r>
            <w:r>
              <w:rPr>
                <w:rFonts w:hint="eastAsia" w:asciiTheme="minorEastAsia" w:hAnsiTheme="minorEastAsia" w:eastAsiaTheme="minorEastAsia" w:cstheme="minorEastAsia"/>
                <w:b/>
                <w:color w:val="auto"/>
                <w:sz w:val="22"/>
                <w:szCs w:val="22"/>
                <w:highlight w:val="none"/>
              </w:rPr>
              <w:t>分）</w:t>
            </w:r>
          </w:p>
        </w:tc>
        <w:tc>
          <w:tcPr>
            <w:tcW w:w="3565" w:type="pct"/>
            <w:tcBorders>
              <w:top w:val="single" w:color="auto" w:sz="4" w:space="0"/>
              <w:left w:val="single" w:color="auto" w:sz="4" w:space="0"/>
              <w:bottom w:val="single" w:color="auto" w:sz="4" w:space="0"/>
              <w:right w:val="single" w:color="auto" w:sz="4" w:space="0"/>
            </w:tcBorders>
            <w:vAlign w:val="center"/>
          </w:tcPr>
          <w:p w14:paraId="000E6E1D">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配送管理方案：</w:t>
            </w:r>
          </w:p>
          <w:p w14:paraId="2C8C2D1E">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评委根据投标人提供的食材配送管理方案（</w:t>
            </w:r>
            <w:r>
              <w:rPr>
                <w:rFonts w:hint="eastAsia" w:asciiTheme="minorEastAsia" w:hAnsiTheme="minorEastAsia" w:eastAsiaTheme="minorEastAsia" w:cstheme="minorEastAsia"/>
                <w:b/>
                <w:bCs/>
                <w:color w:val="auto"/>
                <w:sz w:val="22"/>
                <w:szCs w:val="22"/>
                <w:highlight w:val="none"/>
                <w:u w:val="thick"/>
              </w:rPr>
              <w:t>包括但不限于配送能力、服务流程、库存不足解决方案</w:t>
            </w:r>
            <w:r>
              <w:rPr>
                <w:rFonts w:hint="eastAsia" w:asciiTheme="minorEastAsia" w:hAnsiTheme="minorEastAsia" w:cstheme="minorEastAsia"/>
                <w:b/>
                <w:bCs/>
                <w:color w:val="auto"/>
                <w:sz w:val="22"/>
                <w:szCs w:val="22"/>
                <w:highlight w:val="none"/>
                <w:u w:val="thick"/>
                <w:lang w:eastAsia="zh-CN"/>
              </w:rPr>
              <w:t>，以及</w:t>
            </w:r>
            <w:r>
              <w:rPr>
                <w:rFonts w:hint="eastAsia" w:asciiTheme="minorEastAsia" w:hAnsiTheme="minorEastAsia" w:eastAsiaTheme="minorEastAsia" w:cstheme="minorEastAsia"/>
                <w:b/>
                <w:bCs/>
                <w:color w:val="auto"/>
                <w:sz w:val="22"/>
                <w:szCs w:val="22"/>
                <w:highlight w:val="none"/>
                <w:u w:val="thick"/>
              </w:rPr>
              <w:t>配送过程中安全保障措施等</w:t>
            </w:r>
            <w:r>
              <w:rPr>
                <w:rFonts w:hint="eastAsia" w:asciiTheme="minorEastAsia" w:hAnsiTheme="minorEastAsia" w:eastAsiaTheme="minorEastAsia" w:cstheme="minorEastAsia"/>
                <w:color w:val="auto"/>
                <w:sz w:val="22"/>
                <w:szCs w:val="22"/>
                <w:highlight w:val="none"/>
              </w:rPr>
              <w:t>）进行综合评分：</w:t>
            </w:r>
          </w:p>
          <w:p w14:paraId="2F3A528F">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方案全面、合理、可操作性强的得10 分；</w:t>
            </w:r>
          </w:p>
          <w:p w14:paraId="2D956D01">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方案齐全、具有实际可操作性的得7分；</w:t>
            </w:r>
          </w:p>
          <w:p w14:paraId="6F783E89">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方案考虑相对不够全面，但依旧具备可行性的得4分；</w:t>
            </w:r>
          </w:p>
          <w:p w14:paraId="76F2F5DF">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方案不全面，可操作性较低的得1分；</w:t>
            </w:r>
          </w:p>
          <w:p w14:paraId="13A5B82D">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未提供方案的不得分。</w:t>
            </w:r>
          </w:p>
        </w:tc>
        <w:tc>
          <w:tcPr>
            <w:tcW w:w="445" w:type="pct"/>
            <w:tcBorders>
              <w:top w:val="single" w:color="auto" w:sz="4" w:space="0"/>
              <w:left w:val="single" w:color="auto" w:sz="4" w:space="0"/>
              <w:bottom w:val="single" w:color="auto" w:sz="4" w:space="0"/>
              <w:right w:val="single" w:color="auto" w:sz="4" w:space="0"/>
            </w:tcBorders>
            <w:vAlign w:val="center"/>
          </w:tcPr>
          <w:p w14:paraId="6CA0460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10</w:t>
            </w:r>
          </w:p>
        </w:tc>
      </w:tr>
      <w:tr w14:paraId="3002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14:paraId="7F85E56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2.2</w:t>
            </w:r>
          </w:p>
        </w:tc>
        <w:tc>
          <w:tcPr>
            <w:tcW w:w="629" w:type="pct"/>
            <w:vMerge w:val="continue"/>
            <w:tcBorders>
              <w:left w:val="single" w:color="auto" w:sz="4" w:space="0"/>
              <w:right w:val="single" w:color="auto" w:sz="4" w:space="0"/>
            </w:tcBorders>
            <w:vAlign w:val="center"/>
          </w:tcPr>
          <w:p w14:paraId="15A4713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p>
        </w:tc>
        <w:tc>
          <w:tcPr>
            <w:tcW w:w="3565" w:type="pct"/>
            <w:tcBorders>
              <w:top w:val="single" w:color="auto" w:sz="4" w:space="0"/>
              <w:left w:val="single" w:color="auto" w:sz="4" w:space="0"/>
              <w:bottom w:val="single" w:color="auto" w:sz="4" w:space="0"/>
              <w:right w:val="single" w:color="auto" w:sz="4" w:space="0"/>
            </w:tcBorders>
            <w:vAlign w:val="center"/>
          </w:tcPr>
          <w:p w14:paraId="4A23E722">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应急事件处理方案：</w:t>
            </w:r>
          </w:p>
          <w:p w14:paraId="481F566D">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评委根据投标人提供的应急事件处理方案（</w:t>
            </w:r>
            <w:r>
              <w:rPr>
                <w:rFonts w:hint="eastAsia" w:asciiTheme="minorEastAsia" w:hAnsiTheme="minorEastAsia" w:eastAsiaTheme="minorEastAsia" w:cstheme="minorEastAsia"/>
                <w:b/>
                <w:bCs/>
                <w:color w:val="auto"/>
                <w:sz w:val="22"/>
                <w:szCs w:val="22"/>
                <w:highlight w:val="none"/>
                <w:u w:val="thick"/>
              </w:rPr>
              <w:t>包括但不限于恶劣天气供应、紧急补货处理、食品安全事件处理措施、</w:t>
            </w:r>
            <w:r>
              <w:rPr>
                <w:rFonts w:hint="eastAsia" w:asciiTheme="minorEastAsia" w:hAnsiTheme="minorEastAsia" w:eastAsiaTheme="minorEastAsia" w:cstheme="minorEastAsia"/>
                <w:b/>
                <w:bCs/>
                <w:color w:val="auto"/>
                <w:sz w:val="22"/>
                <w:szCs w:val="22"/>
                <w:highlight w:val="none"/>
                <w:u w:val="thick"/>
                <w:lang w:val="en-US" w:eastAsia="zh-CN"/>
              </w:rPr>
              <w:t>突发食品疫情</w:t>
            </w:r>
            <w:r>
              <w:rPr>
                <w:rFonts w:hint="eastAsia" w:asciiTheme="minorEastAsia" w:hAnsiTheme="minorEastAsia" w:eastAsiaTheme="minorEastAsia" w:cstheme="minorEastAsia"/>
                <w:b/>
                <w:bCs/>
                <w:color w:val="auto"/>
                <w:sz w:val="22"/>
                <w:szCs w:val="22"/>
                <w:highlight w:val="none"/>
                <w:u w:val="thick"/>
              </w:rPr>
              <w:t>防控措施、售后服务等</w:t>
            </w:r>
            <w:r>
              <w:rPr>
                <w:rFonts w:hint="eastAsia" w:asciiTheme="minorEastAsia" w:hAnsiTheme="minorEastAsia" w:eastAsiaTheme="minorEastAsia" w:cstheme="minorEastAsia"/>
                <w:color w:val="auto"/>
                <w:sz w:val="22"/>
                <w:szCs w:val="22"/>
                <w:highlight w:val="none"/>
              </w:rPr>
              <w:t>）进行综合评分：</w:t>
            </w:r>
          </w:p>
          <w:p w14:paraId="35930DD8">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方案全面、合理、时效性强且有切实可行的保证措施的得10 分；</w:t>
            </w:r>
          </w:p>
          <w:p w14:paraId="24B282DF">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方案齐全、时效性较强、保证措施可行性较强的得7分；</w:t>
            </w:r>
          </w:p>
          <w:p w14:paraId="7BA133E9">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方案考虑相对不够全面，时效性一般但保证措施依旧具备可行性的得4分；</w:t>
            </w:r>
          </w:p>
          <w:p w14:paraId="214D60C7">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方案不全面，时效性、可操作性较低的得1分；</w:t>
            </w:r>
          </w:p>
          <w:p w14:paraId="7882F1F8">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未提供方案的不得分。</w:t>
            </w:r>
          </w:p>
        </w:tc>
        <w:tc>
          <w:tcPr>
            <w:tcW w:w="445" w:type="pct"/>
            <w:tcBorders>
              <w:top w:val="single" w:color="auto" w:sz="4" w:space="0"/>
              <w:left w:val="single" w:color="auto" w:sz="4" w:space="0"/>
              <w:bottom w:val="single" w:color="auto" w:sz="4" w:space="0"/>
              <w:right w:val="single" w:color="auto" w:sz="4" w:space="0"/>
            </w:tcBorders>
            <w:vAlign w:val="center"/>
          </w:tcPr>
          <w:p w14:paraId="7797A98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10</w:t>
            </w:r>
          </w:p>
        </w:tc>
      </w:tr>
      <w:tr w14:paraId="2B63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14:paraId="0BA9288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2.3</w:t>
            </w:r>
          </w:p>
        </w:tc>
        <w:tc>
          <w:tcPr>
            <w:tcW w:w="629" w:type="pct"/>
            <w:vMerge w:val="continue"/>
            <w:tcBorders>
              <w:left w:val="single" w:color="auto" w:sz="4" w:space="0"/>
              <w:right w:val="single" w:color="auto" w:sz="4" w:space="0"/>
            </w:tcBorders>
            <w:vAlign w:val="center"/>
          </w:tcPr>
          <w:p w14:paraId="2277E53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p>
        </w:tc>
        <w:tc>
          <w:tcPr>
            <w:tcW w:w="3565" w:type="pct"/>
            <w:tcBorders>
              <w:top w:val="single" w:color="auto" w:sz="4" w:space="0"/>
              <w:left w:val="single" w:color="auto" w:sz="4" w:space="0"/>
              <w:bottom w:val="single" w:color="auto" w:sz="4" w:space="0"/>
              <w:right w:val="single" w:color="auto" w:sz="4" w:space="0"/>
            </w:tcBorders>
            <w:vAlign w:val="center"/>
          </w:tcPr>
          <w:p w14:paraId="314BDA72">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质量保障措施和服务承诺：</w:t>
            </w:r>
          </w:p>
          <w:p w14:paraId="62F21A98">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评委根据投标人提</w:t>
            </w:r>
            <w:r>
              <w:rPr>
                <w:rFonts w:hint="eastAsia" w:asciiTheme="minorEastAsia" w:hAnsiTheme="minorEastAsia" w:cstheme="minorEastAsia"/>
                <w:color w:val="auto"/>
                <w:sz w:val="22"/>
                <w:szCs w:val="22"/>
                <w:highlight w:val="none"/>
                <w:lang w:eastAsia="zh-CN"/>
              </w:rPr>
              <w:t>供的</w:t>
            </w:r>
            <w:r>
              <w:rPr>
                <w:rFonts w:hint="eastAsia" w:asciiTheme="minorEastAsia" w:hAnsiTheme="minorEastAsia" w:eastAsiaTheme="minorEastAsia" w:cstheme="minorEastAsia"/>
                <w:color w:val="auto"/>
                <w:kern w:val="0"/>
                <w:sz w:val="22"/>
                <w:szCs w:val="22"/>
                <w:highlight w:val="none"/>
              </w:rPr>
              <w:t>食材质量保障措施及质量保证服务承诺进行综合评分：</w:t>
            </w:r>
          </w:p>
          <w:p w14:paraId="15004801">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对本项目有积极支持的态度、质量保证及服务承诺内容完整明确且有较为实际的措施的得10分；</w:t>
            </w:r>
          </w:p>
          <w:p w14:paraId="6865D9B5">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对本项目有较积极支持的态度、质量保证及服务承诺内容较完整明确且有较为实际的措施的得7分；</w:t>
            </w:r>
          </w:p>
          <w:p w14:paraId="29956C7C">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质量保证及服务承诺内容一般、可行性一般的得4分；</w:t>
            </w:r>
          </w:p>
          <w:p w14:paraId="57A335E2">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质量保证及服务承诺不够明确、制度措施不够结合实际的得1分；</w:t>
            </w:r>
          </w:p>
          <w:p w14:paraId="56E436E7">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未提供质量保障措施或服务承诺不得分。</w:t>
            </w:r>
          </w:p>
        </w:tc>
        <w:tc>
          <w:tcPr>
            <w:tcW w:w="445" w:type="pct"/>
            <w:tcBorders>
              <w:top w:val="single" w:color="auto" w:sz="4" w:space="0"/>
              <w:left w:val="single" w:color="auto" w:sz="4" w:space="0"/>
              <w:bottom w:val="single" w:color="auto" w:sz="4" w:space="0"/>
              <w:right w:val="single" w:color="auto" w:sz="4" w:space="0"/>
            </w:tcBorders>
            <w:vAlign w:val="center"/>
          </w:tcPr>
          <w:p w14:paraId="1226579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10</w:t>
            </w:r>
          </w:p>
        </w:tc>
      </w:tr>
      <w:tr w14:paraId="41A5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14:paraId="0DF9A26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2.4</w:t>
            </w:r>
          </w:p>
        </w:tc>
        <w:tc>
          <w:tcPr>
            <w:tcW w:w="629" w:type="pct"/>
            <w:vMerge w:val="continue"/>
            <w:tcBorders>
              <w:left w:val="single" w:color="auto" w:sz="4" w:space="0"/>
              <w:right w:val="single" w:color="auto" w:sz="4" w:space="0"/>
            </w:tcBorders>
            <w:vAlign w:val="center"/>
          </w:tcPr>
          <w:p w14:paraId="5D92EED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p>
        </w:tc>
        <w:tc>
          <w:tcPr>
            <w:tcW w:w="3565" w:type="pct"/>
            <w:tcBorders>
              <w:top w:val="single" w:color="auto" w:sz="4" w:space="0"/>
              <w:left w:val="single" w:color="auto" w:sz="4" w:space="0"/>
              <w:bottom w:val="single" w:color="auto" w:sz="4" w:space="0"/>
              <w:right w:val="single" w:color="auto" w:sz="4" w:space="0"/>
            </w:tcBorders>
            <w:vAlign w:val="center"/>
          </w:tcPr>
          <w:p w14:paraId="1D82E3DA">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采购渠道方案：</w:t>
            </w:r>
          </w:p>
          <w:p w14:paraId="35F2A59F">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根据</w:t>
            </w:r>
            <w:r>
              <w:rPr>
                <w:rFonts w:hint="eastAsia" w:asciiTheme="minorEastAsia" w:hAnsiTheme="minorEastAsia" w:cstheme="minorEastAsia"/>
                <w:color w:val="auto"/>
                <w:kern w:val="0"/>
                <w:sz w:val="22"/>
                <w:szCs w:val="22"/>
                <w:highlight w:val="none"/>
                <w:lang w:eastAsia="zh-CN"/>
              </w:rPr>
              <w:t>投标人</w:t>
            </w:r>
            <w:r>
              <w:rPr>
                <w:rFonts w:hint="eastAsia" w:asciiTheme="minorEastAsia" w:hAnsiTheme="minorEastAsia" w:eastAsiaTheme="minorEastAsia" w:cstheme="minorEastAsia"/>
                <w:color w:val="auto"/>
                <w:kern w:val="0"/>
                <w:sz w:val="22"/>
                <w:szCs w:val="22"/>
                <w:highlight w:val="none"/>
              </w:rPr>
              <w:t>提供的供货渠道（可提供产品来源渠道说明或证明、产品品牌质量或经销资质、进货发票或合同等相关证明材料）进行综合评分</w:t>
            </w:r>
            <w:r>
              <w:rPr>
                <w:rFonts w:hint="eastAsia" w:asciiTheme="minorEastAsia" w:hAnsiTheme="minorEastAsia" w:cstheme="minorEastAsia"/>
                <w:color w:val="auto"/>
                <w:kern w:val="0"/>
                <w:sz w:val="22"/>
                <w:szCs w:val="22"/>
                <w:highlight w:val="none"/>
                <w:lang w:eastAsia="zh-CN"/>
              </w:rPr>
              <w:t>：</w:t>
            </w:r>
          </w:p>
          <w:p w14:paraId="39EFEF75">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所供货品具有可追溯性供货渠道正规、证明材料丰富，质量符合采购要求得5分；</w:t>
            </w:r>
          </w:p>
          <w:p w14:paraId="21870287">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供货渠道较正规、证明材料较丰富，质量较符合采购要求得3分；</w:t>
            </w:r>
          </w:p>
          <w:p w14:paraId="637DA844">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供货渠道不清晰、证明材料一般，质量基本符合采购要求得1分；</w:t>
            </w:r>
          </w:p>
          <w:p w14:paraId="4D94A2C7">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未提供方案的不得分。</w:t>
            </w:r>
          </w:p>
        </w:tc>
        <w:tc>
          <w:tcPr>
            <w:tcW w:w="445" w:type="pct"/>
            <w:tcBorders>
              <w:top w:val="single" w:color="auto" w:sz="4" w:space="0"/>
              <w:left w:val="single" w:color="auto" w:sz="4" w:space="0"/>
              <w:bottom w:val="single" w:color="auto" w:sz="4" w:space="0"/>
              <w:right w:val="single" w:color="auto" w:sz="4" w:space="0"/>
            </w:tcBorders>
            <w:vAlign w:val="center"/>
          </w:tcPr>
          <w:p w14:paraId="58167FA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5</w:t>
            </w:r>
          </w:p>
        </w:tc>
      </w:tr>
      <w:tr w14:paraId="4362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14:paraId="7D4C3F4E">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cstheme="minorEastAsia"/>
                <w:b/>
                <w:color w:val="auto"/>
                <w:sz w:val="22"/>
                <w:szCs w:val="22"/>
                <w:highlight w:val="none"/>
                <w:lang w:val="en-US" w:eastAsia="zh-CN"/>
              </w:rPr>
              <w:t>2.5</w:t>
            </w:r>
          </w:p>
        </w:tc>
        <w:tc>
          <w:tcPr>
            <w:tcW w:w="629" w:type="pct"/>
            <w:vMerge w:val="continue"/>
            <w:tcBorders>
              <w:left w:val="single" w:color="auto" w:sz="4" w:space="0"/>
              <w:right w:val="single" w:color="auto" w:sz="4" w:space="0"/>
            </w:tcBorders>
            <w:vAlign w:val="center"/>
          </w:tcPr>
          <w:p w14:paraId="55FBD471">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p>
        </w:tc>
        <w:tc>
          <w:tcPr>
            <w:tcW w:w="3565" w:type="pct"/>
            <w:tcBorders>
              <w:top w:val="single" w:color="auto" w:sz="4" w:space="0"/>
              <w:left w:val="single" w:color="auto" w:sz="4" w:space="0"/>
              <w:bottom w:val="single" w:color="auto" w:sz="4" w:space="0"/>
              <w:right w:val="single" w:color="auto" w:sz="4" w:space="0"/>
            </w:tcBorders>
            <w:vAlign w:val="center"/>
          </w:tcPr>
          <w:p w14:paraId="157A2A7C">
            <w:pPr>
              <w:adjustRightInd w:val="0"/>
              <w:snapToGrid w:val="0"/>
              <w:spacing w:line="240" w:lineRule="auto"/>
              <w:rPr>
                <w:rFonts w:hint="eastAsia" w:asciiTheme="minorEastAsia" w:hAnsiTheme="minorEastAsia" w:cstheme="minorEastAsia"/>
                <w:b/>
                <w:bCs/>
                <w:color w:val="auto"/>
                <w:sz w:val="22"/>
                <w:szCs w:val="22"/>
                <w:highlight w:val="none"/>
                <w:lang w:eastAsia="zh-CN"/>
              </w:rPr>
            </w:pPr>
            <w:r>
              <w:rPr>
                <w:rFonts w:hint="eastAsia" w:asciiTheme="minorEastAsia" w:hAnsiTheme="minorEastAsia" w:eastAsiaTheme="minorEastAsia" w:cstheme="minorEastAsia"/>
                <w:b/>
                <w:bCs/>
                <w:color w:val="auto"/>
                <w:sz w:val="22"/>
                <w:szCs w:val="22"/>
                <w:highlight w:val="none"/>
              </w:rPr>
              <w:t>文档建立管理方案</w:t>
            </w:r>
            <w:r>
              <w:rPr>
                <w:rFonts w:hint="eastAsia" w:asciiTheme="minorEastAsia" w:hAnsiTheme="minorEastAsia" w:cstheme="minorEastAsia"/>
                <w:b/>
                <w:bCs/>
                <w:color w:val="auto"/>
                <w:sz w:val="22"/>
                <w:szCs w:val="22"/>
                <w:highlight w:val="none"/>
                <w:lang w:eastAsia="zh-CN"/>
              </w:rPr>
              <w:t>：</w:t>
            </w:r>
          </w:p>
          <w:p w14:paraId="69023B16">
            <w:pPr>
              <w:adjustRightInd w:val="0"/>
              <w:snapToGrid w:val="0"/>
              <w:spacing w:line="24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cstheme="minorEastAsia"/>
                <w:color w:val="auto"/>
                <w:kern w:val="0"/>
                <w:sz w:val="22"/>
                <w:szCs w:val="22"/>
                <w:highlight w:val="none"/>
                <w:lang w:val="en-US" w:eastAsia="zh-CN"/>
              </w:rPr>
              <w:t>评委</w:t>
            </w:r>
            <w:r>
              <w:rPr>
                <w:rFonts w:hint="eastAsia" w:asciiTheme="minorEastAsia" w:hAnsiTheme="minorEastAsia" w:eastAsiaTheme="minorEastAsia" w:cstheme="minorEastAsia"/>
                <w:color w:val="auto"/>
                <w:kern w:val="0"/>
                <w:sz w:val="22"/>
                <w:szCs w:val="22"/>
                <w:highlight w:val="none"/>
              </w:rPr>
              <w:t>根据</w:t>
            </w:r>
            <w:r>
              <w:rPr>
                <w:rFonts w:hint="eastAsia" w:asciiTheme="minorEastAsia" w:hAnsiTheme="minorEastAsia" w:cstheme="minorEastAsia"/>
                <w:color w:val="auto"/>
                <w:kern w:val="0"/>
                <w:sz w:val="22"/>
                <w:szCs w:val="22"/>
                <w:highlight w:val="none"/>
                <w:lang w:eastAsia="zh-CN"/>
              </w:rPr>
              <w:t>投标人</w:t>
            </w:r>
            <w:r>
              <w:rPr>
                <w:rFonts w:hint="eastAsia" w:asciiTheme="minorEastAsia" w:hAnsiTheme="minorEastAsia" w:eastAsiaTheme="minorEastAsia" w:cstheme="minorEastAsia"/>
                <w:color w:val="auto"/>
                <w:kern w:val="0"/>
                <w:sz w:val="22"/>
                <w:szCs w:val="22"/>
                <w:highlight w:val="none"/>
              </w:rPr>
              <w:t>提供的文档建立管理方案进行综合评分：</w:t>
            </w:r>
          </w:p>
          <w:p w14:paraId="7D024CD7">
            <w:pPr>
              <w:pStyle w:val="16"/>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文档建立管理方案中服务过程记录全面，票据保管及相关文件管理归档规定明确合理的得5分；</w:t>
            </w:r>
          </w:p>
          <w:p w14:paraId="07309CBE">
            <w:pPr>
              <w:pStyle w:val="16"/>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文档建立管理方案中服务过程记录较全面，票据保管及相关文件管理归档规定较明确的得3分；</w:t>
            </w:r>
          </w:p>
          <w:p w14:paraId="1E7DC31B">
            <w:pPr>
              <w:pStyle w:val="16"/>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文档建立管理方案中服务过程记录全面性、票据保管及相关文件管理归档规定明确合理性一般的得1分；</w:t>
            </w:r>
          </w:p>
          <w:p w14:paraId="2A8774BF">
            <w:pPr>
              <w:pStyle w:val="16"/>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val="en-US" w:eastAsia="zh-CN" w:bidi="ar-SA"/>
              </w:rPr>
              <w:t>未提供方案的不得分。</w:t>
            </w:r>
          </w:p>
        </w:tc>
        <w:tc>
          <w:tcPr>
            <w:tcW w:w="445" w:type="pct"/>
            <w:tcBorders>
              <w:top w:val="single" w:color="auto" w:sz="4" w:space="0"/>
              <w:left w:val="single" w:color="auto" w:sz="4" w:space="0"/>
              <w:bottom w:val="single" w:color="auto" w:sz="4" w:space="0"/>
              <w:right w:val="single" w:color="auto" w:sz="4" w:space="0"/>
            </w:tcBorders>
            <w:vAlign w:val="center"/>
          </w:tcPr>
          <w:p w14:paraId="0961FE1C">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cstheme="minorEastAsia"/>
                <w:b/>
                <w:color w:val="auto"/>
                <w:sz w:val="22"/>
                <w:szCs w:val="22"/>
                <w:highlight w:val="none"/>
                <w:lang w:val="en-US" w:eastAsia="zh-CN"/>
              </w:rPr>
              <w:t>5</w:t>
            </w:r>
          </w:p>
        </w:tc>
      </w:tr>
      <w:tr w14:paraId="6193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14:paraId="585A522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3.1</w:t>
            </w:r>
          </w:p>
        </w:tc>
        <w:tc>
          <w:tcPr>
            <w:tcW w:w="629" w:type="pct"/>
            <w:vMerge w:val="restart"/>
            <w:tcBorders>
              <w:left w:val="single" w:color="auto" w:sz="4" w:space="0"/>
              <w:right w:val="single" w:color="auto" w:sz="4" w:space="0"/>
            </w:tcBorders>
            <w:vAlign w:val="center"/>
          </w:tcPr>
          <w:p w14:paraId="470FFFC6">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项目团队</w:t>
            </w:r>
          </w:p>
          <w:p w14:paraId="6A8F7BFE">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bCs/>
                <w:color w:val="auto"/>
                <w:kern w:val="0"/>
                <w:sz w:val="22"/>
                <w:szCs w:val="22"/>
                <w:highlight w:val="none"/>
              </w:rPr>
              <w:t>（</w:t>
            </w:r>
            <w:r>
              <w:rPr>
                <w:rFonts w:hint="eastAsia" w:asciiTheme="minorEastAsia" w:hAnsiTheme="minorEastAsia" w:cstheme="minorEastAsia"/>
                <w:b/>
                <w:bCs/>
                <w:color w:val="auto"/>
                <w:kern w:val="0"/>
                <w:sz w:val="22"/>
                <w:szCs w:val="22"/>
                <w:highlight w:val="none"/>
                <w:lang w:val="en-US" w:eastAsia="zh-CN"/>
              </w:rPr>
              <w:t>4</w:t>
            </w:r>
            <w:r>
              <w:rPr>
                <w:rFonts w:hint="eastAsia" w:asciiTheme="minorEastAsia" w:hAnsiTheme="minorEastAsia" w:eastAsiaTheme="minorEastAsia" w:cstheme="minorEastAsia"/>
                <w:b/>
                <w:bCs/>
                <w:color w:val="auto"/>
                <w:kern w:val="0"/>
                <w:sz w:val="22"/>
                <w:szCs w:val="22"/>
                <w:highlight w:val="none"/>
              </w:rPr>
              <w:t>分）</w:t>
            </w:r>
          </w:p>
        </w:tc>
        <w:tc>
          <w:tcPr>
            <w:tcW w:w="3565" w:type="pct"/>
            <w:tcBorders>
              <w:top w:val="single" w:color="auto" w:sz="4" w:space="0"/>
              <w:left w:val="single" w:color="auto" w:sz="4" w:space="0"/>
              <w:bottom w:val="single" w:color="auto" w:sz="4" w:space="0"/>
              <w:right w:val="single" w:color="auto" w:sz="4" w:space="0"/>
            </w:tcBorders>
            <w:vAlign w:val="center"/>
          </w:tcPr>
          <w:p w14:paraId="7BA9407C">
            <w:pPr>
              <w:keepNext w:val="0"/>
              <w:keepLines w:val="0"/>
              <w:pageBreakBefore w:val="0"/>
              <w:widowControl/>
              <w:kinsoku/>
              <w:wordWrap/>
              <w:overflowPunct/>
              <w:topLinePunct w:val="0"/>
              <w:autoSpaceDE/>
              <w:autoSpaceDN/>
              <w:bidi w:val="0"/>
              <w:spacing w:line="240" w:lineRule="auto"/>
              <w:ind w:firstLine="0" w:firstLineChars="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本项目需明确项目负责人1名，团队所有成员（含项目负责人和长期驻本地人员）不少于6人，投标人需提供人员配置名单及具体负责事项，项目负责人及团队所有成员必须是投标人的正式员工，投标人须提供健康证、劳动合同、投标前近6个月的社会保险证明，满足上述要求，并提供相关证明材料复印件得3分，未提供团队服务人员名单及相关证明材料</w:t>
            </w:r>
            <w:r>
              <w:rPr>
                <w:rFonts w:hint="eastAsia" w:asciiTheme="minorEastAsia" w:hAnsiTheme="minorEastAsia" w:cstheme="minorEastAsia"/>
                <w:color w:val="auto"/>
                <w:kern w:val="0"/>
                <w:sz w:val="22"/>
                <w:szCs w:val="22"/>
                <w:highlight w:val="none"/>
                <w:lang w:val="en-US" w:eastAsia="zh-CN"/>
              </w:rPr>
              <w:t>或不符合要求</w:t>
            </w:r>
            <w:r>
              <w:rPr>
                <w:rFonts w:hint="eastAsia" w:asciiTheme="minorEastAsia" w:hAnsiTheme="minorEastAsia" w:eastAsiaTheme="minorEastAsia" w:cstheme="minorEastAsia"/>
                <w:color w:val="auto"/>
                <w:kern w:val="0"/>
                <w:sz w:val="22"/>
                <w:szCs w:val="22"/>
                <w:highlight w:val="none"/>
              </w:rPr>
              <w:t>不得分。</w:t>
            </w:r>
          </w:p>
        </w:tc>
        <w:tc>
          <w:tcPr>
            <w:tcW w:w="445" w:type="pct"/>
            <w:tcBorders>
              <w:top w:val="single" w:color="auto" w:sz="4" w:space="0"/>
              <w:left w:val="single" w:color="auto" w:sz="4" w:space="0"/>
              <w:bottom w:val="single" w:color="auto" w:sz="4" w:space="0"/>
              <w:right w:val="single" w:color="auto" w:sz="4" w:space="0"/>
            </w:tcBorders>
            <w:vAlign w:val="center"/>
          </w:tcPr>
          <w:p w14:paraId="6E9A22B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w:t>
            </w:r>
          </w:p>
        </w:tc>
      </w:tr>
      <w:tr w14:paraId="3A8A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14:paraId="238E1FE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3.2</w:t>
            </w:r>
          </w:p>
        </w:tc>
        <w:tc>
          <w:tcPr>
            <w:tcW w:w="629" w:type="pct"/>
            <w:vMerge w:val="continue"/>
            <w:tcBorders>
              <w:left w:val="single" w:color="auto" w:sz="4" w:space="0"/>
              <w:right w:val="single" w:color="auto" w:sz="4" w:space="0"/>
            </w:tcBorders>
            <w:vAlign w:val="center"/>
          </w:tcPr>
          <w:p w14:paraId="0ECD044E">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heme="minorEastAsia" w:hAnsiTheme="minorEastAsia" w:eastAsiaTheme="minorEastAsia" w:cstheme="minorEastAsia"/>
                <w:b/>
                <w:bCs/>
                <w:color w:val="auto"/>
                <w:kern w:val="0"/>
                <w:sz w:val="22"/>
                <w:szCs w:val="22"/>
                <w:highlight w:val="none"/>
              </w:rPr>
            </w:pPr>
          </w:p>
        </w:tc>
        <w:tc>
          <w:tcPr>
            <w:tcW w:w="3565" w:type="pct"/>
            <w:tcBorders>
              <w:top w:val="single" w:color="auto" w:sz="4" w:space="0"/>
              <w:left w:val="single" w:color="auto" w:sz="4" w:space="0"/>
              <w:bottom w:val="single" w:color="auto" w:sz="4" w:space="0"/>
              <w:right w:val="single" w:color="auto" w:sz="4" w:space="0"/>
            </w:tcBorders>
            <w:vAlign w:val="center"/>
          </w:tcPr>
          <w:p w14:paraId="1AB72187">
            <w:pPr>
              <w:keepNext w:val="0"/>
              <w:keepLines w:val="0"/>
              <w:pageBreakBefore w:val="0"/>
              <w:widowControl/>
              <w:kinsoku/>
              <w:wordWrap/>
              <w:overflowPunct/>
              <w:topLinePunct w:val="0"/>
              <w:autoSpaceDE/>
              <w:autoSpaceDN/>
              <w:bidi w:val="0"/>
              <w:spacing w:line="240" w:lineRule="auto"/>
              <w:ind w:firstLine="0" w:firstLineChars="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投标人具备应急服务能力，且有长期驻本地人员，有一定的处理紧急情况的经验，同时为保证食材的卫生安全，能够</w:t>
            </w:r>
            <w:r>
              <w:rPr>
                <w:rFonts w:hint="eastAsia" w:asciiTheme="minorEastAsia" w:hAnsiTheme="minorEastAsia" w:cstheme="minorEastAsia"/>
                <w:color w:val="auto"/>
                <w:kern w:val="0"/>
                <w:sz w:val="22"/>
                <w:szCs w:val="22"/>
                <w:highlight w:val="none"/>
                <w:lang w:eastAsia="zh-CN"/>
              </w:rPr>
              <w:t>接到</w:t>
            </w:r>
            <w:r>
              <w:rPr>
                <w:rFonts w:hint="eastAsia" w:asciiTheme="minorEastAsia" w:hAnsiTheme="minorEastAsia" w:eastAsiaTheme="minorEastAsia" w:cstheme="minorEastAsia"/>
                <w:color w:val="auto"/>
                <w:kern w:val="0"/>
                <w:sz w:val="22"/>
                <w:szCs w:val="22"/>
                <w:highlight w:val="none"/>
              </w:rPr>
              <w:t>采购人通知后2小时内赶到项目现场，提供承诺书得</w:t>
            </w:r>
            <w:r>
              <w:rPr>
                <w:rFonts w:hint="eastAsia" w:asciiTheme="minorEastAsia" w:hAnsiTheme="minorEastAsia" w:cstheme="minorEastAsia"/>
                <w:color w:val="auto"/>
                <w:kern w:val="0"/>
                <w:sz w:val="22"/>
                <w:szCs w:val="22"/>
                <w:highlight w:val="none"/>
                <w:lang w:val="en-US" w:eastAsia="zh-CN"/>
              </w:rPr>
              <w:t>1</w:t>
            </w:r>
            <w:r>
              <w:rPr>
                <w:rFonts w:hint="eastAsia" w:asciiTheme="minorEastAsia" w:hAnsiTheme="minorEastAsia" w:eastAsiaTheme="minorEastAsia" w:cstheme="minorEastAsia"/>
                <w:color w:val="auto"/>
                <w:kern w:val="0"/>
                <w:sz w:val="22"/>
                <w:szCs w:val="22"/>
                <w:highlight w:val="none"/>
              </w:rPr>
              <w:t>分 ，未提供承诺书</w:t>
            </w:r>
            <w:r>
              <w:rPr>
                <w:rFonts w:hint="eastAsia" w:ascii="宋体" w:hAnsi="宋体" w:eastAsia="宋体" w:cs="宋体"/>
                <w:color w:val="auto"/>
                <w:kern w:val="0"/>
                <w:sz w:val="22"/>
                <w:szCs w:val="22"/>
                <w:highlight w:val="none"/>
                <w:lang w:val="en-US" w:eastAsia="zh-CN"/>
              </w:rPr>
              <w:t>或承诺书内容不符合要求</w:t>
            </w:r>
            <w:r>
              <w:rPr>
                <w:rFonts w:hint="eastAsia" w:asciiTheme="minorEastAsia" w:hAnsiTheme="minorEastAsia" w:eastAsiaTheme="minorEastAsia" w:cstheme="minorEastAsia"/>
                <w:color w:val="auto"/>
                <w:kern w:val="0"/>
                <w:sz w:val="22"/>
                <w:szCs w:val="22"/>
                <w:highlight w:val="none"/>
              </w:rPr>
              <w:t>的不得分。</w:t>
            </w:r>
          </w:p>
        </w:tc>
        <w:tc>
          <w:tcPr>
            <w:tcW w:w="445" w:type="pct"/>
            <w:tcBorders>
              <w:top w:val="single" w:color="auto" w:sz="4" w:space="0"/>
              <w:left w:val="single" w:color="auto" w:sz="4" w:space="0"/>
              <w:bottom w:val="single" w:color="auto" w:sz="4" w:space="0"/>
              <w:right w:val="single" w:color="auto" w:sz="4" w:space="0"/>
            </w:tcBorders>
            <w:vAlign w:val="center"/>
          </w:tcPr>
          <w:p w14:paraId="079A58F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cstheme="minorEastAsia"/>
                <w:b/>
                <w:color w:val="auto"/>
                <w:sz w:val="22"/>
                <w:szCs w:val="22"/>
                <w:highlight w:val="none"/>
                <w:lang w:val="en-US" w:eastAsia="zh-CN"/>
              </w:rPr>
              <w:t>1</w:t>
            </w:r>
          </w:p>
        </w:tc>
      </w:tr>
      <w:tr w14:paraId="0420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14:paraId="041A181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rPr>
              <w:t>4</w:t>
            </w:r>
            <w:r>
              <w:rPr>
                <w:rFonts w:hint="eastAsia" w:asciiTheme="minorEastAsia" w:hAnsiTheme="minorEastAsia" w:cstheme="minorEastAsia"/>
                <w:b/>
                <w:color w:val="auto"/>
                <w:sz w:val="22"/>
                <w:szCs w:val="22"/>
                <w:highlight w:val="none"/>
                <w:lang w:val="en-US" w:eastAsia="zh-CN"/>
              </w:rPr>
              <w:t>.1</w:t>
            </w:r>
          </w:p>
        </w:tc>
        <w:tc>
          <w:tcPr>
            <w:tcW w:w="629" w:type="pct"/>
            <w:vMerge w:val="restart"/>
            <w:tcBorders>
              <w:left w:val="single" w:color="auto" w:sz="4" w:space="0"/>
              <w:right w:val="single" w:color="auto" w:sz="4" w:space="0"/>
            </w:tcBorders>
            <w:vAlign w:val="center"/>
          </w:tcPr>
          <w:p w14:paraId="67900475">
            <w:pPr>
              <w:adjustRightInd w:val="0"/>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履约能力</w:t>
            </w:r>
          </w:p>
          <w:p w14:paraId="74D6E6B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7</w:t>
            </w:r>
            <w:r>
              <w:rPr>
                <w:rFonts w:hint="eastAsia" w:ascii="宋体" w:hAnsi="宋体" w:eastAsia="宋体" w:cs="宋体"/>
                <w:b/>
                <w:color w:val="auto"/>
                <w:sz w:val="22"/>
                <w:szCs w:val="22"/>
                <w:highlight w:val="none"/>
              </w:rPr>
              <w:t>分）</w:t>
            </w:r>
          </w:p>
        </w:tc>
        <w:tc>
          <w:tcPr>
            <w:tcW w:w="3565" w:type="pct"/>
            <w:tcBorders>
              <w:top w:val="single" w:color="auto" w:sz="4" w:space="0"/>
              <w:left w:val="single" w:color="auto" w:sz="4" w:space="0"/>
              <w:bottom w:val="single" w:color="auto" w:sz="4" w:space="0"/>
              <w:right w:val="single" w:color="auto" w:sz="4" w:space="0"/>
            </w:tcBorders>
            <w:vAlign w:val="center"/>
          </w:tcPr>
          <w:p w14:paraId="0C0C4DF1">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cstheme="minorEastAsia"/>
                <w:b/>
                <w:bCs/>
                <w:color w:val="auto"/>
                <w:kern w:val="0"/>
                <w:sz w:val="22"/>
                <w:szCs w:val="22"/>
                <w:highlight w:val="none"/>
                <w:lang w:val="en-US" w:eastAsia="zh-CN"/>
              </w:rPr>
              <w:t>冷冻</w:t>
            </w:r>
            <w:r>
              <w:rPr>
                <w:rFonts w:hint="eastAsia" w:asciiTheme="minorEastAsia" w:hAnsiTheme="minorEastAsia" w:eastAsiaTheme="minorEastAsia" w:cstheme="minorEastAsia"/>
                <w:b/>
                <w:bCs/>
                <w:color w:val="auto"/>
                <w:kern w:val="0"/>
                <w:sz w:val="22"/>
                <w:szCs w:val="22"/>
                <w:highlight w:val="none"/>
              </w:rPr>
              <w:t>仓储要求：</w:t>
            </w:r>
          </w:p>
          <w:p w14:paraId="127A70CD">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投标人应具有与所投分包配送的食材品种、数量相适应的仓储冷库</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kern w:val="0"/>
                <w:sz w:val="22"/>
                <w:szCs w:val="22"/>
                <w:highlight w:val="none"/>
              </w:rPr>
              <w:t>仓储冷库</w:t>
            </w:r>
            <w:r>
              <w:rPr>
                <w:rFonts w:hint="eastAsia" w:asciiTheme="minorEastAsia" w:hAnsiTheme="minorEastAsia" w:eastAsiaTheme="minorEastAsia" w:cstheme="minorEastAsia"/>
                <w:color w:val="auto"/>
                <w:sz w:val="22"/>
                <w:szCs w:val="22"/>
                <w:highlight w:val="none"/>
              </w:rPr>
              <w:t>面积满150平方米及以上的得</w:t>
            </w:r>
            <w:r>
              <w:rPr>
                <w:rFonts w:hint="eastAsia" w:asciiTheme="minorEastAsia" w:hAnsi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分，面积150平方米（不含）-100平方米（含）的得</w:t>
            </w:r>
            <w:r>
              <w:rPr>
                <w:rFonts w:hint="eastAsia" w:asciiTheme="minorEastAsia" w:hAnsi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分，面积100平方米（不含）-50平方米（含）的得</w:t>
            </w:r>
            <w:r>
              <w:rPr>
                <w:rFonts w:hint="eastAsia" w:asciiTheme="minorEastAsia" w:hAnsi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分，50平方米以下不得分。</w:t>
            </w:r>
          </w:p>
          <w:p w14:paraId="04F97DAA">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u w:val="thick"/>
              </w:rPr>
              <w:t>（需提供自有产权证明或租赁合同复印件并加盖公章，产权证书或租赁合同需在有效期，并明确房屋面积。原件备查，</w:t>
            </w:r>
            <w:r>
              <w:rPr>
                <w:rFonts w:hint="eastAsia" w:asciiTheme="minorEastAsia" w:hAnsiTheme="minorEastAsia" w:eastAsiaTheme="minorEastAsia" w:cstheme="minorEastAsia"/>
                <w:b/>
                <w:bCs/>
                <w:color w:val="auto"/>
                <w:kern w:val="0"/>
                <w:sz w:val="22"/>
                <w:szCs w:val="22"/>
                <w:highlight w:val="none"/>
                <w:u w:val="thick"/>
              </w:rPr>
              <w:t>不提供证明材料</w:t>
            </w:r>
            <w:r>
              <w:rPr>
                <w:rFonts w:hint="eastAsia" w:asciiTheme="minorEastAsia" w:hAnsiTheme="minorEastAsia" w:eastAsiaTheme="minorEastAsia" w:cstheme="minorEastAsia"/>
                <w:b/>
                <w:bCs/>
                <w:color w:val="auto"/>
                <w:sz w:val="22"/>
                <w:szCs w:val="22"/>
                <w:highlight w:val="none"/>
                <w:u w:val="thick"/>
              </w:rPr>
              <w:t>或不符合要求</w:t>
            </w:r>
            <w:r>
              <w:rPr>
                <w:rFonts w:hint="eastAsia" w:asciiTheme="minorEastAsia" w:hAnsiTheme="minorEastAsia" w:eastAsiaTheme="minorEastAsia" w:cstheme="minorEastAsia"/>
                <w:b/>
                <w:bCs/>
                <w:color w:val="auto"/>
                <w:kern w:val="0"/>
                <w:sz w:val="22"/>
                <w:szCs w:val="22"/>
                <w:highlight w:val="none"/>
                <w:u w:val="thick"/>
              </w:rPr>
              <w:t>不得分</w:t>
            </w:r>
            <w:r>
              <w:rPr>
                <w:rFonts w:hint="eastAsia" w:asciiTheme="minorEastAsia" w:hAnsiTheme="minorEastAsia" w:eastAsiaTheme="minorEastAsia" w:cstheme="minorEastAsia"/>
                <w:b/>
                <w:bCs/>
                <w:color w:val="auto"/>
                <w:sz w:val="22"/>
                <w:szCs w:val="22"/>
                <w:highlight w:val="none"/>
                <w:u w:val="thick"/>
              </w:rPr>
              <w:t>）</w:t>
            </w:r>
          </w:p>
        </w:tc>
        <w:tc>
          <w:tcPr>
            <w:tcW w:w="445" w:type="pct"/>
            <w:tcBorders>
              <w:top w:val="single" w:color="auto" w:sz="4" w:space="0"/>
              <w:left w:val="single" w:color="auto" w:sz="4" w:space="0"/>
              <w:bottom w:val="single" w:color="auto" w:sz="4" w:space="0"/>
              <w:right w:val="single" w:color="auto" w:sz="4" w:space="0"/>
            </w:tcBorders>
            <w:vAlign w:val="center"/>
          </w:tcPr>
          <w:p w14:paraId="5CDA030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lang w:eastAsia="zh-CN"/>
              </w:rPr>
            </w:pPr>
            <w:r>
              <w:rPr>
                <w:rFonts w:hint="eastAsia" w:asciiTheme="minorEastAsia" w:hAnsiTheme="minorEastAsia" w:cstheme="minorEastAsia"/>
                <w:b/>
                <w:color w:val="auto"/>
                <w:sz w:val="22"/>
                <w:szCs w:val="22"/>
                <w:highlight w:val="none"/>
                <w:lang w:val="en-US" w:eastAsia="zh-CN"/>
              </w:rPr>
              <w:t>3</w:t>
            </w:r>
          </w:p>
        </w:tc>
      </w:tr>
      <w:tr w14:paraId="4F91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14:paraId="46BD8D1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cstheme="minorEastAsia"/>
                <w:b/>
                <w:color w:val="auto"/>
                <w:sz w:val="22"/>
                <w:szCs w:val="22"/>
                <w:highlight w:val="none"/>
                <w:lang w:val="en-US" w:eastAsia="zh-CN"/>
              </w:rPr>
              <w:t>4.2</w:t>
            </w:r>
          </w:p>
        </w:tc>
        <w:tc>
          <w:tcPr>
            <w:tcW w:w="629" w:type="pct"/>
            <w:vMerge w:val="continue"/>
            <w:tcBorders>
              <w:left w:val="single" w:color="auto" w:sz="4" w:space="0"/>
              <w:right w:val="single" w:color="auto" w:sz="4" w:space="0"/>
            </w:tcBorders>
            <w:vAlign w:val="center"/>
          </w:tcPr>
          <w:p w14:paraId="2B728A5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p>
        </w:tc>
        <w:tc>
          <w:tcPr>
            <w:tcW w:w="3565" w:type="pct"/>
            <w:tcBorders>
              <w:top w:val="single" w:color="auto" w:sz="4" w:space="0"/>
              <w:left w:val="single" w:color="auto" w:sz="4" w:space="0"/>
              <w:bottom w:val="single" w:color="auto" w:sz="4" w:space="0"/>
              <w:right w:val="single" w:color="auto" w:sz="4" w:space="0"/>
            </w:tcBorders>
            <w:vAlign w:val="center"/>
          </w:tcPr>
          <w:p w14:paraId="69D0AEBC">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bCs/>
                <w:color w:val="auto"/>
                <w:sz w:val="22"/>
                <w:szCs w:val="22"/>
                <w:highlight w:val="none"/>
                <w:u w:val="thick"/>
              </w:rPr>
            </w:pPr>
            <w:r>
              <w:rPr>
                <w:rFonts w:hint="eastAsia" w:asciiTheme="minorEastAsia" w:hAnsiTheme="minorEastAsia" w:eastAsiaTheme="minorEastAsia" w:cstheme="minorEastAsia"/>
                <w:b/>
                <w:bCs/>
                <w:color w:val="auto"/>
                <w:kern w:val="0"/>
                <w:sz w:val="22"/>
                <w:szCs w:val="22"/>
                <w:highlight w:val="none"/>
              </w:rPr>
              <w:t>车辆设备</w:t>
            </w:r>
            <w:r>
              <w:rPr>
                <w:rFonts w:hint="eastAsia" w:asciiTheme="minorEastAsia" w:hAnsiTheme="minorEastAsia" w:cstheme="minorEastAsia"/>
                <w:b/>
                <w:bCs/>
                <w:color w:val="auto"/>
                <w:kern w:val="0"/>
                <w:sz w:val="22"/>
                <w:szCs w:val="22"/>
                <w:highlight w:val="none"/>
                <w:lang w:eastAsia="zh-CN"/>
              </w:rPr>
              <w:t>：</w:t>
            </w:r>
          </w:p>
          <w:p w14:paraId="2374DA7B">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为满足食堂的配送任务，投标人</w:t>
            </w:r>
            <w:r>
              <w:rPr>
                <w:rFonts w:hint="eastAsia" w:asciiTheme="minorEastAsia" w:hAnsiTheme="minorEastAsia" w:eastAsiaTheme="minorEastAsia" w:cstheme="minorEastAsia"/>
                <w:color w:val="auto"/>
                <w:sz w:val="22"/>
                <w:szCs w:val="22"/>
                <w:highlight w:val="none"/>
              </w:rPr>
              <w:t>具有自有或租赁配送车辆</w:t>
            </w:r>
            <w:r>
              <w:rPr>
                <w:rFonts w:hint="eastAsia" w:asciiTheme="minorEastAsia" w:hAnsiTheme="minorEastAsia" w:eastAsiaTheme="minorEastAsia" w:cstheme="minorEastAsia"/>
                <w:b/>
                <w:bCs/>
                <w:color w:val="auto"/>
                <w:sz w:val="22"/>
                <w:szCs w:val="22"/>
                <w:highlight w:val="none"/>
                <w:u w:val="thick"/>
              </w:rPr>
              <w:t>（其中至少含冷藏车辆1辆</w:t>
            </w:r>
            <w:r>
              <w:rPr>
                <w:rFonts w:hint="eastAsia" w:asciiTheme="minorEastAsia" w:hAnsiTheme="minorEastAsia" w:eastAsiaTheme="minorEastAsia" w:cstheme="minorEastAsia"/>
                <w:b/>
                <w:bCs/>
                <w:color w:val="auto"/>
                <w:sz w:val="22"/>
                <w:szCs w:val="22"/>
                <w:highlight w:val="none"/>
                <w:u w:val="thick"/>
                <w:lang w:eastAsia="zh-CN"/>
              </w:rPr>
              <w:t>，</w:t>
            </w:r>
            <w:r>
              <w:rPr>
                <w:rFonts w:hint="eastAsia" w:asciiTheme="minorEastAsia" w:hAnsiTheme="minorEastAsia" w:eastAsiaTheme="minorEastAsia" w:cstheme="minorEastAsia"/>
                <w:b/>
                <w:bCs/>
                <w:color w:val="auto"/>
                <w:sz w:val="22"/>
                <w:szCs w:val="22"/>
                <w:highlight w:val="none"/>
                <w:u w:val="thick"/>
                <w:lang w:val="en-US" w:eastAsia="zh-CN"/>
              </w:rPr>
              <w:t>否则本项不得分</w:t>
            </w:r>
            <w:r>
              <w:rPr>
                <w:rFonts w:hint="eastAsia" w:asciiTheme="minorEastAsia" w:hAnsiTheme="minorEastAsia" w:eastAsiaTheme="minorEastAsia" w:cstheme="minorEastAsia"/>
                <w:b/>
                <w:bCs/>
                <w:color w:val="auto"/>
                <w:sz w:val="22"/>
                <w:szCs w:val="22"/>
                <w:highlight w:val="none"/>
                <w:u w:val="thick"/>
              </w:rPr>
              <w:t>）</w:t>
            </w:r>
            <w:r>
              <w:rPr>
                <w:rFonts w:hint="eastAsia" w:asciiTheme="minorEastAsia" w:hAnsiTheme="minorEastAsia" w:eastAsiaTheme="minorEastAsia" w:cstheme="minorEastAsia"/>
                <w:color w:val="auto"/>
                <w:sz w:val="22"/>
                <w:szCs w:val="22"/>
                <w:highlight w:val="none"/>
              </w:rPr>
              <w:t>的，每提供一台车辆得</w:t>
            </w:r>
            <w:r>
              <w:rPr>
                <w:rFonts w:hint="eastAsia" w:asciiTheme="minorEastAsia" w:hAnsi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分，最多得</w:t>
            </w:r>
            <w:r>
              <w:rPr>
                <w:rFonts w:hint="eastAsia" w:asciiTheme="minorEastAsia" w:hAnsi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分。</w:t>
            </w:r>
          </w:p>
          <w:p w14:paraId="7F08734B">
            <w:pPr>
              <w:rPr>
                <w:rFonts w:hint="eastAsia"/>
                <w:color w:val="auto"/>
                <w:highlight w:val="none"/>
              </w:rPr>
            </w:pPr>
            <w:r>
              <w:rPr>
                <w:rFonts w:hint="eastAsia" w:asciiTheme="minorEastAsia" w:hAnsiTheme="minorEastAsia" w:eastAsiaTheme="minorEastAsia" w:cstheme="minorEastAsia"/>
                <w:b/>
                <w:bCs/>
                <w:color w:val="auto"/>
                <w:kern w:val="0"/>
                <w:sz w:val="22"/>
                <w:szCs w:val="22"/>
                <w:highlight w:val="none"/>
                <w:u w:val="thick"/>
              </w:rPr>
              <w:t>注：需提供车辆</w:t>
            </w:r>
            <w:r>
              <w:rPr>
                <w:rFonts w:hint="eastAsia" w:asciiTheme="minorEastAsia" w:hAnsiTheme="minorEastAsia" w:eastAsiaTheme="minorEastAsia" w:cstheme="minorEastAsia"/>
                <w:b/>
                <w:bCs/>
                <w:color w:val="auto"/>
                <w:sz w:val="22"/>
                <w:szCs w:val="22"/>
                <w:highlight w:val="none"/>
                <w:u w:val="thick"/>
              </w:rPr>
              <w:t>购买发票（车辆</w:t>
            </w:r>
            <w:r>
              <w:rPr>
                <w:rFonts w:hint="eastAsia" w:asciiTheme="minorEastAsia" w:hAnsiTheme="minorEastAsia" w:eastAsiaTheme="minorEastAsia" w:cstheme="minorEastAsia"/>
                <w:b/>
                <w:bCs/>
                <w:color w:val="auto"/>
                <w:kern w:val="0"/>
                <w:sz w:val="22"/>
                <w:szCs w:val="22"/>
                <w:highlight w:val="none"/>
                <w:u w:val="thick"/>
              </w:rPr>
              <w:t>隶属于投标单位，个人购买的车辆不予计分</w:t>
            </w:r>
            <w:r>
              <w:rPr>
                <w:rFonts w:hint="eastAsia" w:asciiTheme="minorEastAsia" w:hAnsiTheme="minorEastAsia" w:eastAsiaTheme="minorEastAsia" w:cstheme="minorEastAsia"/>
                <w:b/>
                <w:bCs/>
                <w:color w:val="auto"/>
                <w:sz w:val="22"/>
                <w:szCs w:val="22"/>
                <w:highlight w:val="none"/>
                <w:u w:val="thick"/>
              </w:rPr>
              <w:t>）</w:t>
            </w:r>
            <w:r>
              <w:rPr>
                <w:rFonts w:hint="eastAsia" w:asciiTheme="minorEastAsia" w:hAnsiTheme="minorEastAsia" w:eastAsiaTheme="minorEastAsia" w:cstheme="minorEastAsia"/>
                <w:b/>
                <w:bCs/>
                <w:color w:val="auto"/>
                <w:kern w:val="0"/>
                <w:sz w:val="22"/>
                <w:szCs w:val="22"/>
                <w:highlight w:val="none"/>
                <w:u w:val="thick"/>
              </w:rPr>
              <w:t>或租赁证明（</w:t>
            </w:r>
            <w:r>
              <w:rPr>
                <w:rFonts w:hint="eastAsia" w:asciiTheme="minorEastAsia" w:hAnsiTheme="minorEastAsia" w:eastAsiaTheme="minorEastAsia" w:cstheme="minorEastAsia"/>
                <w:b/>
                <w:bCs/>
                <w:color w:val="auto"/>
                <w:sz w:val="22"/>
                <w:szCs w:val="22"/>
                <w:highlight w:val="none"/>
                <w:u w:val="thick"/>
              </w:rPr>
              <w:t>投标人签订的在有效期内的租用合同，车辆承租单位营业执照</w:t>
            </w:r>
            <w:r>
              <w:rPr>
                <w:rFonts w:hint="eastAsia" w:asciiTheme="minorEastAsia" w:hAnsiTheme="minorEastAsia" w:eastAsiaTheme="minorEastAsia" w:cstheme="minorEastAsia"/>
                <w:b/>
                <w:bCs/>
                <w:color w:val="auto"/>
                <w:kern w:val="0"/>
                <w:sz w:val="22"/>
                <w:szCs w:val="22"/>
                <w:highlight w:val="none"/>
                <w:u w:val="thick"/>
              </w:rPr>
              <w:t>）、</w:t>
            </w:r>
            <w:r>
              <w:rPr>
                <w:rFonts w:hint="eastAsia" w:asciiTheme="minorEastAsia" w:hAnsiTheme="minorEastAsia" w:eastAsiaTheme="minorEastAsia" w:cstheme="minorEastAsia"/>
                <w:b/>
                <w:bCs/>
                <w:color w:val="auto"/>
                <w:sz w:val="22"/>
                <w:szCs w:val="22"/>
                <w:highlight w:val="none"/>
                <w:u w:val="thick"/>
              </w:rPr>
              <w:t>车辆行驶证、车辆正面及内部照片（必须体现车牌号，车牌号须与车辆行驶证一致）等证明材料复印件并加盖公章</w:t>
            </w:r>
            <w:r>
              <w:rPr>
                <w:rFonts w:hint="eastAsia" w:asciiTheme="minorEastAsia" w:hAnsiTheme="minorEastAsia" w:cstheme="minorEastAsia"/>
                <w:b/>
                <w:bCs/>
                <w:color w:val="auto"/>
                <w:sz w:val="22"/>
                <w:szCs w:val="22"/>
                <w:highlight w:val="none"/>
                <w:u w:val="thick"/>
                <w:lang w:eastAsia="zh-CN"/>
              </w:rPr>
              <w:t>，</w:t>
            </w:r>
            <w:r>
              <w:rPr>
                <w:rFonts w:hint="eastAsia" w:asciiTheme="minorEastAsia" w:hAnsiTheme="minorEastAsia" w:cstheme="minorEastAsia"/>
                <w:b/>
                <w:bCs/>
                <w:color w:val="auto"/>
                <w:sz w:val="22"/>
                <w:szCs w:val="22"/>
                <w:highlight w:val="none"/>
                <w:u w:val="thick"/>
                <w:lang w:val="en-US" w:eastAsia="zh-CN"/>
              </w:rPr>
              <w:t>未提供或不符合要求不得分</w:t>
            </w:r>
            <w:r>
              <w:rPr>
                <w:rFonts w:hint="eastAsia" w:asciiTheme="minorEastAsia" w:hAnsiTheme="minorEastAsia" w:eastAsiaTheme="minorEastAsia" w:cstheme="minorEastAsia"/>
                <w:b/>
                <w:bCs/>
                <w:color w:val="auto"/>
                <w:sz w:val="22"/>
                <w:szCs w:val="22"/>
                <w:highlight w:val="none"/>
                <w:u w:val="thick"/>
              </w:rPr>
              <w:t>。</w:t>
            </w:r>
          </w:p>
        </w:tc>
        <w:tc>
          <w:tcPr>
            <w:tcW w:w="445" w:type="pct"/>
            <w:tcBorders>
              <w:top w:val="single" w:color="auto" w:sz="4" w:space="0"/>
              <w:left w:val="single" w:color="auto" w:sz="4" w:space="0"/>
              <w:bottom w:val="single" w:color="auto" w:sz="4" w:space="0"/>
              <w:right w:val="single" w:color="auto" w:sz="4" w:space="0"/>
            </w:tcBorders>
            <w:vAlign w:val="center"/>
          </w:tcPr>
          <w:p w14:paraId="58A6D26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cstheme="minorEastAsia"/>
                <w:b/>
                <w:color w:val="auto"/>
                <w:sz w:val="22"/>
                <w:szCs w:val="22"/>
                <w:highlight w:val="none"/>
                <w:lang w:val="en-US" w:eastAsia="zh-CN"/>
              </w:rPr>
              <w:t>4</w:t>
            </w:r>
          </w:p>
        </w:tc>
      </w:tr>
      <w:tr w14:paraId="7207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14:paraId="4A5BF6A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5</w:t>
            </w:r>
          </w:p>
        </w:tc>
        <w:tc>
          <w:tcPr>
            <w:tcW w:w="629" w:type="pct"/>
            <w:tcBorders>
              <w:left w:val="single" w:color="auto" w:sz="4" w:space="0"/>
              <w:right w:val="single" w:color="auto" w:sz="4" w:space="0"/>
            </w:tcBorders>
            <w:vAlign w:val="center"/>
          </w:tcPr>
          <w:p w14:paraId="2DB44F4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检测报告</w:t>
            </w:r>
          </w:p>
          <w:p w14:paraId="375F58F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（6分）</w:t>
            </w:r>
          </w:p>
        </w:tc>
        <w:tc>
          <w:tcPr>
            <w:tcW w:w="3565" w:type="pct"/>
            <w:tcBorders>
              <w:top w:val="single" w:color="auto" w:sz="4" w:space="0"/>
              <w:left w:val="single" w:color="auto" w:sz="4" w:space="0"/>
              <w:bottom w:val="single" w:color="auto" w:sz="4" w:space="0"/>
              <w:right w:val="single" w:color="auto" w:sz="4" w:space="0"/>
            </w:tcBorders>
            <w:vAlign w:val="center"/>
          </w:tcPr>
          <w:p w14:paraId="03ACCE2B">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投标人提供所投分包产品有第三方检测机构出具的产品检验报告或检测报告或检疫合格证明，</w:t>
            </w:r>
            <w:r>
              <w:rPr>
                <w:rFonts w:hint="eastAsia" w:asciiTheme="minorEastAsia" w:hAnsiTheme="minorEastAsia" w:eastAsiaTheme="minorEastAsia" w:cstheme="minorEastAsia"/>
                <w:color w:val="auto"/>
                <w:sz w:val="22"/>
                <w:szCs w:val="22"/>
                <w:highlight w:val="none"/>
              </w:rPr>
              <w:t>每提供1 份得2分，最多得6分。</w:t>
            </w:r>
          </w:p>
          <w:p w14:paraId="135B7F65">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u w:val="thick"/>
              </w:rPr>
              <w:t>（需提供相关证明材料并加盖公章，原件备查，未提供或不符合要求不得分）</w:t>
            </w:r>
          </w:p>
        </w:tc>
        <w:tc>
          <w:tcPr>
            <w:tcW w:w="445" w:type="pct"/>
            <w:tcBorders>
              <w:top w:val="single" w:color="auto" w:sz="4" w:space="0"/>
              <w:left w:val="single" w:color="auto" w:sz="4" w:space="0"/>
              <w:bottom w:val="single" w:color="auto" w:sz="4" w:space="0"/>
              <w:right w:val="single" w:color="auto" w:sz="4" w:space="0"/>
            </w:tcBorders>
            <w:vAlign w:val="center"/>
          </w:tcPr>
          <w:p w14:paraId="19E12AF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6</w:t>
            </w:r>
          </w:p>
        </w:tc>
      </w:tr>
      <w:tr w14:paraId="41D8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360" w:type="pct"/>
            <w:tcBorders>
              <w:top w:val="single" w:color="auto" w:sz="4" w:space="0"/>
              <w:left w:val="single" w:color="auto" w:sz="4" w:space="0"/>
              <w:right w:val="single" w:color="auto" w:sz="4" w:space="0"/>
            </w:tcBorders>
            <w:vAlign w:val="center"/>
          </w:tcPr>
          <w:p w14:paraId="19F3D55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6</w:t>
            </w:r>
          </w:p>
        </w:tc>
        <w:tc>
          <w:tcPr>
            <w:tcW w:w="629" w:type="pct"/>
            <w:tcBorders>
              <w:top w:val="single" w:color="auto" w:sz="4" w:space="0"/>
              <w:left w:val="single" w:color="auto" w:sz="4" w:space="0"/>
              <w:right w:val="single" w:color="auto" w:sz="4" w:space="0"/>
            </w:tcBorders>
            <w:vAlign w:val="center"/>
          </w:tcPr>
          <w:p w14:paraId="3C31903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业绩</w:t>
            </w:r>
          </w:p>
          <w:p w14:paraId="0D35016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cstheme="minorEastAsia"/>
                <w:b/>
                <w:color w:val="auto"/>
                <w:sz w:val="22"/>
                <w:szCs w:val="22"/>
                <w:highlight w:val="none"/>
                <w:lang w:val="en-US" w:eastAsia="zh-CN"/>
              </w:rPr>
              <w:t>8</w:t>
            </w:r>
            <w:r>
              <w:rPr>
                <w:rFonts w:hint="eastAsia" w:asciiTheme="minorEastAsia" w:hAnsiTheme="minorEastAsia" w:eastAsiaTheme="minorEastAsia" w:cstheme="minorEastAsia"/>
                <w:b/>
                <w:color w:val="auto"/>
                <w:sz w:val="22"/>
                <w:szCs w:val="22"/>
                <w:highlight w:val="none"/>
              </w:rPr>
              <w:t>分）</w:t>
            </w:r>
          </w:p>
        </w:tc>
        <w:tc>
          <w:tcPr>
            <w:tcW w:w="3565" w:type="pct"/>
            <w:tcBorders>
              <w:top w:val="single" w:color="auto" w:sz="4" w:space="0"/>
              <w:left w:val="single" w:color="auto" w:sz="4" w:space="0"/>
              <w:bottom w:val="single" w:color="auto" w:sz="4" w:space="0"/>
              <w:right w:val="single" w:color="auto" w:sz="4" w:space="0"/>
            </w:tcBorders>
            <w:vAlign w:val="center"/>
          </w:tcPr>
          <w:p w14:paraId="723DC856">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投标人自202</w:t>
            </w:r>
            <w:r>
              <w:rPr>
                <w:rFonts w:hint="eastAsia" w:asciiTheme="minorEastAsia" w:hAnsi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年1月1日（含）以来，具有学校或类似食堂食材供货项目业绩的，每提供1个业绩得2分，最多得</w:t>
            </w:r>
            <w:r>
              <w:rPr>
                <w:rFonts w:hint="eastAsia" w:asciiTheme="minorEastAsia" w:hAnsi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rPr>
              <w:t>分。</w:t>
            </w:r>
          </w:p>
          <w:p w14:paraId="3A03A8EE">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u w:val="thick"/>
              </w:rPr>
              <w:t xml:space="preserve">（需提供合同或中标通知书等相关证明材料，未提供证明材料或不符合要求不得分，原件备查）。 </w:t>
            </w:r>
          </w:p>
        </w:tc>
        <w:tc>
          <w:tcPr>
            <w:tcW w:w="445" w:type="pct"/>
            <w:tcBorders>
              <w:top w:val="single" w:color="auto" w:sz="4" w:space="0"/>
              <w:left w:val="single" w:color="auto" w:sz="4" w:space="0"/>
              <w:right w:val="single" w:color="auto" w:sz="4" w:space="0"/>
            </w:tcBorders>
            <w:vAlign w:val="center"/>
          </w:tcPr>
          <w:p w14:paraId="1BDCF96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lang w:eastAsia="zh-CN"/>
              </w:rPr>
            </w:pPr>
            <w:r>
              <w:rPr>
                <w:rFonts w:hint="eastAsia" w:asciiTheme="minorEastAsia" w:hAnsiTheme="minorEastAsia" w:cstheme="minorEastAsia"/>
                <w:b/>
                <w:color w:val="auto"/>
                <w:sz w:val="22"/>
                <w:szCs w:val="22"/>
                <w:highlight w:val="none"/>
                <w:lang w:val="en-US" w:eastAsia="zh-CN"/>
              </w:rPr>
              <w:t>8</w:t>
            </w:r>
          </w:p>
        </w:tc>
      </w:tr>
      <w:tr w14:paraId="416D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96" w:type="dxa"/>
            <w:tcBorders>
              <w:top w:val="single" w:color="auto" w:sz="4" w:space="0"/>
              <w:left w:val="single" w:color="auto" w:sz="4" w:space="0"/>
              <w:right w:val="single" w:color="auto" w:sz="4" w:space="0"/>
            </w:tcBorders>
            <w:vAlign w:val="center"/>
          </w:tcPr>
          <w:p w14:paraId="110EB6B4">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cstheme="minorEastAsia"/>
                <w:b/>
                <w:color w:val="auto"/>
                <w:sz w:val="22"/>
                <w:szCs w:val="22"/>
                <w:highlight w:val="none"/>
                <w:lang w:val="en-US" w:eastAsia="zh-CN"/>
              </w:rPr>
              <w:t>7</w:t>
            </w:r>
          </w:p>
        </w:tc>
        <w:tc>
          <w:tcPr>
            <w:tcW w:w="1218" w:type="dxa"/>
            <w:tcBorders>
              <w:top w:val="single" w:color="auto" w:sz="4" w:space="0"/>
              <w:left w:val="single" w:color="auto" w:sz="4" w:space="0"/>
              <w:right w:val="single" w:color="auto" w:sz="4" w:space="0"/>
            </w:tcBorders>
            <w:vAlign w:val="center"/>
          </w:tcPr>
          <w:p w14:paraId="501E1227">
            <w:pPr>
              <w:adjustRightInd w:val="0"/>
              <w:snapToGrid w:val="0"/>
              <w:spacing w:line="240" w:lineRule="auto"/>
              <w:jc w:val="center"/>
              <w:rPr>
                <w:rFonts w:hint="eastAsia" w:asciiTheme="minorEastAsia" w:hAnsiTheme="minorEastAsia" w:cstheme="minorEastAsia"/>
                <w:b/>
                <w:color w:val="auto"/>
                <w:sz w:val="22"/>
                <w:szCs w:val="22"/>
                <w:highlight w:val="none"/>
                <w:lang w:val="en-US" w:eastAsia="zh-CN"/>
              </w:rPr>
            </w:pPr>
            <w:r>
              <w:rPr>
                <w:rFonts w:hint="eastAsia" w:asciiTheme="minorEastAsia" w:hAnsiTheme="minorEastAsia" w:cstheme="minorEastAsia"/>
                <w:b/>
                <w:color w:val="auto"/>
                <w:sz w:val="22"/>
                <w:szCs w:val="22"/>
                <w:highlight w:val="none"/>
                <w:lang w:val="en-US" w:eastAsia="zh-CN"/>
              </w:rPr>
              <w:t>满意度评价</w:t>
            </w:r>
          </w:p>
          <w:p w14:paraId="453188E0">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cstheme="minorEastAsia"/>
                <w:b/>
                <w:color w:val="auto"/>
                <w:sz w:val="22"/>
                <w:szCs w:val="22"/>
                <w:highlight w:val="none"/>
                <w:lang w:val="en-US" w:eastAsia="zh-CN"/>
              </w:rPr>
              <w:t>（5分）</w:t>
            </w:r>
          </w:p>
        </w:tc>
        <w:tc>
          <w:tcPr>
            <w:tcW w:w="6902" w:type="dxa"/>
            <w:tcBorders>
              <w:top w:val="single" w:color="auto" w:sz="4" w:space="0"/>
              <w:left w:val="single" w:color="auto" w:sz="4" w:space="0"/>
              <w:bottom w:val="single" w:color="auto" w:sz="4" w:space="0"/>
              <w:right w:val="single" w:color="auto" w:sz="4" w:space="0"/>
            </w:tcBorders>
            <w:vAlign w:val="center"/>
          </w:tcPr>
          <w:p w14:paraId="77B27589">
            <w:pPr>
              <w:adjustRightInd w:val="0"/>
              <w:snapToGrid w:val="0"/>
              <w:spacing w:line="240" w:lineRule="auto"/>
              <w:rPr>
                <w:rFonts w:hint="eastAsia" w:asciiTheme="minorEastAsia" w:hAnsiTheme="minorEastAsia" w:eastAsiaTheme="minorEastAsia" w:cstheme="minorEastAsia"/>
                <w:b/>
                <w:bCs/>
                <w:color w:val="auto"/>
                <w:sz w:val="22"/>
                <w:szCs w:val="22"/>
                <w:highlight w:val="none"/>
                <w:u w:val="thick"/>
              </w:rPr>
            </w:pPr>
            <w:r>
              <w:rPr>
                <w:rFonts w:hint="eastAsia" w:asciiTheme="minorEastAsia" w:hAnsiTheme="minorEastAsia" w:cstheme="minorEastAsia"/>
                <w:color w:val="auto"/>
                <w:sz w:val="22"/>
                <w:szCs w:val="22"/>
                <w:highlight w:val="none"/>
                <w:lang w:val="en-US" w:eastAsia="zh-CN"/>
              </w:rPr>
              <w:t>投标人自2022</w:t>
            </w:r>
            <w:r>
              <w:rPr>
                <w:rFonts w:hint="eastAsia" w:asciiTheme="minorEastAsia" w:hAnsiTheme="minorEastAsia" w:eastAsiaTheme="minorEastAsia" w:cstheme="minorEastAsia"/>
                <w:color w:val="auto"/>
                <w:sz w:val="22"/>
                <w:szCs w:val="22"/>
                <w:highlight w:val="none"/>
              </w:rPr>
              <w:t>年1月 1（含）以来，</w:t>
            </w:r>
            <w:r>
              <w:rPr>
                <w:rFonts w:hint="eastAsia" w:asciiTheme="minorEastAsia" w:hAnsiTheme="minorEastAsia" w:cstheme="minorEastAsia"/>
                <w:color w:val="auto"/>
                <w:sz w:val="22"/>
                <w:szCs w:val="22"/>
                <w:highlight w:val="none"/>
                <w:lang w:val="en-US" w:eastAsia="zh-CN"/>
              </w:rPr>
              <w:t>具有</w:t>
            </w:r>
            <w:r>
              <w:rPr>
                <w:rFonts w:hint="eastAsia" w:asciiTheme="minorEastAsia" w:hAnsiTheme="minorEastAsia" w:eastAsiaTheme="minorEastAsia" w:cstheme="minorEastAsia"/>
                <w:color w:val="auto"/>
                <w:sz w:val="22"/>
                <w:szCs w:val="22"/>
                <w:highlight w:val="none"/>
              </w:rPr>
              <w:t>类似学校或类似食堂食材供货项目被服务单位证明合同履行优秀或满意的评价</w:t>
            </w:r>
            <w:r>
              <w:rPr>
                <w:rFonts w:hint="eastAsia" w:asciiTheme="minorEastAsia" w:hAnsiTheme="minorEastAsia" w:cstheme="minorEastAsia"/>
                <w:color w:val="auto"/>
                <w:sz w:val="22"/>
                <w:szCs w:val="22"/>
                <w:highlight w:val="none"/>
                <w:lang w:val="en-US" w:eastAsia="zh-CN"/>
              </w:rPr>
              <w:t>证明材料</w:t>
            </w:r>
            <w:r>
              <w:rPr>
                <w:rFonts w:hint="eastAsia" w:asciiTheme="minorEastAsia" w:hAnsiTheme="minorEastAsia" w:eastAsiaTheme="minorEastAsia" w:cstheme="minorEastAsia"/>
                <w:color w:val="auto"/>
                <w:sz w:val="22"/>
                <w:szCs w:val="22"/>
                <w:highlight w:val="none"/>
              </w:rPr>
              <w:t>的，每提供1份得</w:t>
            </w:r>
            <w:r>
              <w:rPr>
                <w:rFonts w:hint="eastAsia" w:asciiTheme="minorEastAsia" w:hAnsiTheme="minorEastAsia" w:cstheme="minorEastAsia"/>
                <w:color w:val="auto"/>
                <w:sz w:val="22"/>
                <w:szCs w:val="22"/>
                <w:highlight w:val="none"/>
                <w:lang w:val="en-US" w:eastAsia="zh-CN"/>
              </w:rPr>
              <w:t>2.5</w:t>
            </w:r>
            <w:r>
              <w:rPr>
                <w:rFonts w:hint="eastAsia" w:asciiTheme="minorEastAsia" w:hAnsiTheme="minorEastAsia" w:eastAsiaTheme="minorEastAsia" w:cstheme="minorEastAsia"/>
                <w:color w:val="auto"/>
                <w:sz w:val="22"/>
                <w:szCs w:val="22"/>
                <w:highlight w:val="none"/>
              </w:rPr>
              <w:t>分，最高得</w:t>
            </w:r>
            <w:r>
              <w:rPr>
                <w:rFonts w:hint="eastAsia" w:asciiTheme="minorEastAsia" w:hAnsi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eastAsiaTheme="minorEastAsia" w:cstheme="minorEastAsia"/>
                <w:b/>
                <w:bCs/>
                <w:color w:val="auto"/>
                <w:sz w:val="22"/>
                <w:szCs w:val="22"/>
                <w:highlight w:val="none"/>
              </w:rPr>
              <w:t>（</w:t>
            </w:r>
            <w:r>
              <w:rPr>
                <w:rFonts w:hint="eastAsia" w:asciiTheme="minorEastAsia" w:hAnsiTheme="minorEastAsia" w:eastAsiaTheme="minorEastAsia" w:cstheme="minorEastAsia"/>
                <w:b/>
                <w:bCs/>
                <w:color w:val="auto"/>
                <w:sz w:val="22"/>
                <w:szCs w:val="22"/>
                <w:highlight w:val="none"/>
                <w:u w:val="thick"/>
              </w:rPr>
              <w:t>提供</w:t>
            </w:r>
            <w:r>
              <w:rPr>
                <w:rFonts w:hint="eastAsia" w:asciiTheme="minorEastAsia" w:hAnsiTheme="minorEastAsia" w:cstheme="minorEastAsia"/>
                <w:b/>
                <w:bCs/>
                <w:color w:val="auto"/>
                <w:sz w:val="22"/>
                <w:szCs w:val="22"/>
                <w:highlight w:val="none"/>
                <w:u w:val="thick"/>
                <w:lang w:val="en-US" w:eastAsia="zh-CN"/>
              </w:rPr>
              <w:t>加盖</w:t>
            </w:r>
            <w:r>
              <w:rPr>
                <w:rFonts w:hint="eastAsia" w:asciiTheme="minorEastAsia" w:hAnsiTheme="minorEastAsia" w:eastAsiaTheme="minorEastAsia" w:cstheme="minorEastAsia"/>
                <w:b/>
                <w:bCs/>
                <w:color w:val="auto"/>
                <w:sz w:val="22"/>
                <w:szCs w:val="22"/>
                <w:highlight w:val="none"/>
                <w:u w:val="thick"/>
              </w:rPr>
              <w:t>被服务单位</w:t>
            </w:r>
            <w:r>
              <w:rPr>
                <w:rFonts w:hint="eastAsia" w:asciiTheme="minorEastAsia" w:hAnsiTheme="minorEastAsia" w:cstheme="minorEastAsia"/>
                <w:b/>
                <w:bCs/>
                <w:color w:val="auto"/>
                <w:sz w:val="22"/>
                <w:szCs w:val="22"/>
                <w:highlight w:val="none"/>
                <w:u w:val="thick"/>
                <w:lang w:val="en-US" w:eastAsia="zh-CN"/>
              </w:rPr>
              <w:t>公章的</w:t>
            </w:r>
            <w:r>
              <w:rPr>
                <w:rFonts w:hint="eastAsia" w:asciiTheme="minorEastAsia" w:hAnsiTheme="minorEastAsia" w:eastAsiaTheme="minorEastAsia" w:cstheme="minorEastAsia"/>
                <w:b/>
                <w:bCs/>
                <w:color w:val="auto"/>
                <w:sz w:val="22"/>
                <w:szCs w:val="22"/>
                <w:highlight w:val="none"/>
                <w:u w:val="thick"/>
              </w:rPr>
              <w:t>评价</w:t>
            </w:r>
            <w:r>
              <w:rPr>
                <w:rFonts w:hint="eastAsia" w:asciiTheme="minorEastAsia" w:hAnsiTheme="minorEastAsia" w:cstheme="minorEastAsia"/>
                <w:b/>
                <w:bCs/>
                <w:color w:val="auto"/>
                <w:sz w:val="22"/>
                <w:szCs w:val="22"/>
                <w:highlight w:val="none"/>
                <w:u w:val="thick"/>
                <w:lang w:val="en-US" w:eastAsia="zh-CN"/>
              </w:rPr>
              <w:t>证明材料</w:t>
            </w:r>
            <w:r>
              <w:rPr>
                <w:rFonts w:hint="eastAsia" w:asciiTheme="minorEastAsia" w:hAnsiTheme="minorEastAsia" w:eastAsiaTheme="minorEastAsia" w:cstheme="minorEastAsia"/>
                <w:b/>
                <w:bCs/>
                <w:color w:val="auto"/>
                <w:sz w:val="22"/>
                <w:szCs w:val="22"/>
                <w:highlight w:val="none"/>
                <w:u w:val="thick"/>
              </w:rPr>
              <w:t>，未提供证明材料</w:t>
            </w:r>
            <w:r>
              <w:rPr>
                <w:rFonts w:hint="eastAsia" w:asciiTheme="minorEastAsia" w:hAnsiTheme="minorEastAsia" w:cstheme="minorEastAsia"/>
                <w:b/>
                <w:bCs/>
                <w:color w:val="auto"/>
                <w:sz w:val="22"/>
                <w:szCs w:val="22"/>
                <w:highlight w:val="none"/>
                <w:u w:val="thick"/>
                <w:lang w:val="en-US" w:eastAsia="zh-CN"/>
              </w:rPr>
              <w:t>或不符合要求</w:t>
            </w:r>
            <w:r>
              <w:rPr>
                <w:rFonts w:hint="eastAsia" w:asciiTheme="minorEastAsia" w:hAnsiTheme="minorEastAsia" w:eastAsiaTheme="minorEastAsia" w:cstheme="minorEastAsia"/>
                <w:b/>
                <w:bCs/>
                <w:color w:val="auto"/>
                <w:sz w:val="22"/>
                <w:szCs w:val="22"/>
                <w:highlight w:val="none"/>
                <w:u w:val="thick"/>
              </w:rPr>
              <w:t>不得分，原件备查</w:t>
            </w:r>
            <w:r>
              <w:rPr>
                <w:rFonts w:hint="eastAsia" w:asciiTheme="minorEastAsia" w:hAnsiTheme="minorEastAsia" w:eastAsiaTheme="minorEastAsia" w:cstheme="minorEastAsia"/>
                <w:b/>
                <w:bCs/>
                <w:color w:val="auto"/>
                <w:sz w:val="22"/>
                <w:szCs w:val="22"/>
                <w:highlight w:val="none"/>
              </w:rPr>
              <w:t>）</w:t>
            </w:r>
            <w:r>
              <w:rPr>
                <w:rFonts w:hint="eastAsia" w:asciiTheme="minorEastAsia" w:hAnsiTheme="minorEastAsia" w:eastAsiaTheme="minorEastAsia" w:cstheme="minorEastAsia"/>
                <w:color w:val="auto"/>
                <w:sz w:val="22"/>
                <w:szCs w:val="22"/>
                <w:highlight w:val="none"/>
              </w:rPr>
              <w:t>。</w:t>
            </w:r>
          </w:p>
        </w:tc>
        <w:tc>
          <w:tcPr>
            <w:tcW w:w="862" w:type="dxa"/>
            <w:tcBorders>
              <w:top w:val="single" w:color="auto" w:sz="4" w:space="0"/>
              <w:left w:val="single" w:color="auto" w:sz="4" w:space="0"/>
              <w:right w:val="single" w:color="auto" w:sz="4" w:space="0"/>
            </w:tcBorders>
            <w:vAlign w:val="center"/>
          </w:tcPr>
          <w:p w14:paraId="69CDF7BE">
            <w:pPr>
              <w:adjustRightInd w:val="0"/>
              <w:snapToGrid w:val="0"/>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cstheme="minorEastAsia"/>
                <w:b/>
                <w:color w:val="auto"/>
                <w:sz w:val="22"/>
                <w:szCs w:val="22"/>
                <w:highlight w:val="none"/>
                <w:lang w:val="en-US" w:eastAsia="zh-CN"/>
              </w:rPr>
              <w:t>5</w:t>
            </w:r>
          </w:p>
        </w:tc>
      </w:tr>
      <w:tr w14:paraId="6A33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14:paraId="59BF504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8</w:t>
            </w:r>
          </w:p>
        </w:tc>
        <w:tc>
          <w:tcPr>
            <w:tcW w:w="629" w:type="pct"/>
            <w:tcBorders>
              <w:top w:val="single" w:color="auto" w:sz="4" w:space="0"/>
              <w:left w:val="single" w:color="auto" w:sz="4" w:space="0"/>
              <w:right w:val="single" w:color="auto" w:sz="4" w:space="0"/>
            </w:tcBorders>
            <w:vAlign w:val="center"/>
          </w:tcPr>
          <w:p w14:paraId="5FBC84E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合计</w:t>
            </w:r>
          </w:p>
        </w:tc>
        <w:tc>
          <w:tcPr>
            <w:tcW w:w="3565" w:type="pct"/>
            <w:tcBorders>
              <w:top w:val="single" w:color="auto" w:sz="4" w:space="0"/>
              <w:left w:val="single" w:color="auto" w:sz="4" w:space="0"/>
              <w:bottom w:val="single" w:color="auto" w:sz="4" w:space="0"/>
              <w:right w:val="single" w:color="auto" w:sz="4" w:space="0"/>
            </w:tcBorders>
            <w:vAlign w:val="center"/>
          </w:tcPr>
          <w:p w14:paraId="30EA9EA9">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auto"/>
                <w:sz w:val="22"/>
                <w:szCs w:val="22"/>
                <w:highlight w:val="none"/>
              </w:rPr>
            </w:pPr>
          </w:p>
        </w:tc>
        <w:tc>
          <w:tcPr>
            <w:tcW w:w="445" w:type="pct"/>
            <w:tcBorders>
              <w:top w:val="single" w:color="auto" w:sz="4" w:space="0"/>
              <w:left w:val="single" w:color="auto" w:sz="4" w:space="0"/>
              <w:bottom w:val="single" w:color="auto" w:sz="4" w:space="0"/>
              <w:right w:val="single" w:color="auto" w:sz="4" w:space="0"/>
            </w:tcBorders>
            <w:vAlign w:val="center"/>
          </w:tcPr>
          <w:p w14:paraId="0F83FC8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100</w:t>
            </w:r>
          </w:p>
        </w:tc>
      </w:tr>
    </w:tbl>
    <w:p w14:paraId="0C7A250C">
      <w:pPr>
        <w:autoSpaceDE w:val="0"/>
        <w:autoSpaceDN w:val="0"/>
        <w:adjustRightInd w:val="0"/>
        <w:spacing w:line="440" w:lineRule="exact"/>
        <w:ind w:firstLine="482" w:firstLineChars="200"/>
        <w:jc w:val="left"/>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说明：</w:t>
      </w:r>
    </w:p>
    <w:p w14:paraId="0ACA51BE">
      <w:pPr>
        <w:autoSpaceDE w:val="0"/>
        <w:autoSpaceDN w:val="0"/>
        <w:adjustRightInd w:val="0"/>
        <w:spacing w:line="440" w:lineRule="exact"/>
        <w:ind w:firstLine="482" w:firstLineChars="200"/>
        <w:jc w:val="left"/>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1.投标人必须在投标文件中逐条响应上述评标办法细则并提供有效证明材料并列明索引，否则将可能导致不得分。</w:t>
      </w:r>
    </w:p>
    <w:p w14:paraId="0121F82D">
      <w:pPr>
        <w:jc w:val="left"/>
        <w:rPr>
          <w:rFonts w:asciiTheme="minorEastAsia" w:hAnsiTheme="minorEastAsia"/>
          <w:color w:val="auto"/>
          <w:sz w:val="36"/>
          <w:szCs w:val="36"/>
          <w:highlight w:val="none"/>
          <w:lang w:val="zh-CN"/>
        </w:rPr>
      </w:pPr>
      <w:r>
        <w:rPr>
          <w:rFonts w:asciiTheme="minorEastAsia" w:hAnsiTheme="minorEastAsia"/>
          <w:color w:val="auto"/>
          <w:sz w:val="36"/>
          <w:szCs w:val="36"/>
          <w:highlight w:val="none"/>
          <w:lang w:val="zh-CN"/>
        </w:rPr>
        <w:br w:type="page" w:clear="all"/>
      </w:r>
    </w:p>
    <w:p w14:paraId="6A49E0AC">
      <w:pPr>
        <w:pStyle w:val="16"/>
        <w:jc w:val="center"/>
        <w:outlineLvl w:val="0"/>
        <w:rPr>
          <w:rFonts w:cs="黑体" w:asciiTheme="minorEastAsia" w:hAnsiTheme="minorEastAsia" w:eastAsiaTheme="minorEastAsia"/>
          <w:b/>
          <w:color w:val="auto"/>
          <w:sz w:val="36"/>
          <w:highlight w:val="none"/>
          <w:lang w:val="zh-CN"/>
        </w:rPr>
      </w:pPr>
      <w:r>
        <w:rPr>
          <w:rFonts w:hint="eastAsia" w:cs="黑体" w:asciiTheme="minorEastAsia" w:hAnsiTheme="minorEastAsia" w:eastAsiaTheme="minorEastAsia"/>
          <w:b/>
          <w:color w:val="auto"/>
          <w:sz w:val="36"/>
          <w:highlight w:val="none"/>
          <w:lang w:val="zh-CN"/>
        </w:rPr>
        <w:t>第四章</w:t>
      </w:r>
      <w:r>
        <w:rPr>
          <w:rFonts w:hint="eastAsia" w:cs="黑体" w:asciiTheme="minorEastAsia" w:hAnsiTheme="minorEastAsia" w:eastAsiaTheme="minorEastAsia"/>
          <w:b/>
          <w:color w:val="auto"/>
          <w:sz w:val="36"/>
          <w:highlight w:val="none"/>
        </w:rPr>
        <w:t xml:space="preserve">  采购需求</w:t>
      </w:r>
    </w:p>
    <w:p w14:paraId="126BA5CD">
      <w:pPr>
        <w:keepNext w:val="0"/>
        <w:keepLines w:val="0"/>
        <w:pageBreakBefore w:val="0"/>
        <w:widowControl w:val="0"/>
        <w:kinsoku/>
        <w:wordWrap/>
        <w:overflowPunct/>
        <w:topLinePunct w:val="0"/>
        <w:autoSpaceDE/>
        <w:autoSpaceDN/>
        <w:bidi w:val="0"/>
        <w:adjustRightInd/>
        <w:spacing w:line="360" w:lineRule="auto"/>
        <w:ind w:firstLine="482" w:firstLineChars="200"/>
        <w:rPr>
          <w:rFonts w:hint="eastAsia" w:asciiTheme="minorEastAsia" w:hAnsiTheme="minorEastAsia" w:eastAsiaTheme="minorEastAsia" w:cstheme="minorEastAsia"/>
          <w:b/>
          <w:color w:val="auto"/>
          <w:sz w:val="24"/>
          <w:szCs w:val="24"/>
          <w:highlight w:val="none"/>
        </w:rPr>
      </w:pPr>
      <w:bookmarkStart w:id="4" w:name="_Toc43902852"/>
      <w:bookmarkEnd w:id="4"/>
      <w:r>
        <w:rPr>
          <w:rFonts w:hint="eastAsia" w:asciiTheme="minorEastAsia" w:hAnsiTheme="minorEastAsia" w:eastAsiaTheme="minorEastAsia" w:cstheme="minorEastAsia"/>
          <w:b/>
          <w:color w:val="auto"/>
          <w:sz w:val="24"/>
          <w:szCs w:val="24"/>
          <w:highlight w:val="none"/>
        </w:rPr>
        <w:t>一、项目简介：</w:t>
      </w:r>
    </w:p>
    <w:p w14:paraId="012B37BB">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b/>
          <w:bCs/>
          <w:color w:val="auto"/>
          <w:sz w:val="24"/>
          <w:szCs w:val="24"/>
          <w:highlight w:val="none"/>
          <w:u w:val="thick"/>
        </w:rPr>
      </w:pPr>
      <w:r>
        <w:rPr>
          <w:rFonts w:hint="eastAsia" w:asciiTheme="minorEastAsia" w:hAnsiTheme="minorEastAsia" w:eastAsiaTheme="minorEastAsia" w:cstheme="minorEastAsia"/>
          <w:color w:val="auto"/>
          <w:sz w:val="24"/>
          <w:szCs w:val="24"/>
          <w:highlight w:val="none"/>
        </w:rPr>
        <w:t>为保障日常就餐，保证食品绿色无污染，食用安全等，现面向社会选择优秀的公司承担南京校区三楼教工食堂</w:t>
      </w:r>
      <w:r>
        <w:rPr>
          <w:rFonts w:hint="eastAsia" w:asciiTheme="minorEastAsia" w:hAnsiTheme="minorEastAsia" w:cstheme="minorEastAsia"/>
          <w:color w:val="auto"/>
          <w:sz w:val="24"/>
          <w:szCs w:val="24"/>
          <w:highlight w:val="none"/>
          <w:lang w:val="en-US" w:eastAsia="zh-CN"/>
        </w:rPr>
        <w:t>食材</w:t>
      </w:r>
      <w:r>
        <w:rPr>
          <w:rFonts w:hint="eastAsia" w:asciiTheme="minorEastAsia" w:hAnsiTheme="minorEastAsia" w:eastAsiaTheme="minorEastAsia" w:cstheme="minorEastAsia"/>
          <w:color w:val="auto"/>
          <w:sz w:val="24"/>
          <w:szCs w:val="24"/>
          <w:highlight w:val="none"/>
        </w:rPr>
        <w:t>供应，选定定点供应商。</w:t>
      </w:r>
      <w:r>
        <w:rPr>
          <w:rFonts w:hint="eastAsia" w:asciiTheme="minorEastAsia" w:hAnsiTheme="minorEastAsia" w:cstheme="minorEastAsia"/>
          <w:color w:val="auto"/>
          <w:sz w:val="24"/>
          <w:szCs w:val="24"/>
          <w:highlight w:val="none"/>
          <w:lang w:val="en-US" w:eastAsia="zh-CN"/>
        </w:rPr>
        <w:t>食材</w:t>
      </w:r>
      <w:r>
        <w:rPr>
          <w:rFonts w:hint="eastAsia" w:asciiTheme="minorEastAsia" w:hAnsiTheme="minorEastAsia" w:eastAsiaTheme="minorEastAsia" w:cstheme="minorEastAsia"/>
          <w:color w:val="auto"/>
          <w:sz w:val="24"/>
          <w:szCs w:val="24"/>
          <w:highlight w:val="none"/>
        </w:rPr>
        <w:t>共分为肉、禽类、水产品类</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蔬菜、豆制品、水果类</w:t>
      </w:r>
      <w:r>
        <w:rPr>
          <w:rFonts w:hint="eastAsia" w:asciiTheme="minorEastAsia" w:hAnsiTheme="minorEastAsia" w:cstheme="minorEastAsia"/>
          <w:color w:val="auto"/>
          <w:sz w:val="24"/>
          <w:szCs w:val="24"/>
          <w:highlight w:val="none"/>
          <w:lang w:eastAsia="zh-CN"/>
        </w:rPr>
        <w:t>、粮油、调味料、干货、牛奶饮料类、</w:t>
      </w:r>
      <w:r>
        <w:rPr>
          <w:rFonts w:hint="eastAsia" w:asciiTheme="minorEastAsia" w:hAnsiTheme="minorEastAsia" w:eastAsiaTheme="minorEastAsia" w:cstheme="minorEastAsia"/>
          <w:color w:val="auto"/>
          <w:sz w:val="24"/>
          <w:szCs w:val="24"/>
          <w:highlight w:val="none"/>
        </w:rPr>
        <w:t>冷冻制品类等大类。</w:t>
      </w:r>
      <w:r>
        <w:rPr>
          <w:rFonts w:hint="eastAsia" w:asciiTheme="minorEastAsia" w:hAnsiTheme="minorEastAsia" w:eastAsiaTheme="minorEastAsia" w:cstheme="minorEastAsia"/>
          <w:b/>
          <w:bCs/>
          <w:color w:val="auto"/>
          <w:sz w:val="24"/>
          <w:szCs w:val="24"/>
          <w:highlight w:val="none"/>
          <w:u w:val="thick"/>
        </w:rPr>
        <w:t>（采购清单</w:t>
      </w:r>
      <w:r>
        <w:rPr>
          <w:rFonts w:hint="eastAsia" w:asciiTheme="minorEastAsia" w:hAnsiTheme="minorEastAsia" w:cstheme="minorEastAsia"/>
          <w:b/>
          <w:bCs/>
          <w:color w:val="auto"/>
          <w:sz w:val="24"/>
          <w:szCs w:val="24"/>
          <w:highlight w:val="none"/>
          <w:u w:val="thick"/>
          <w:lang w:val="en-US" w:eastAsia="zh-CN"/>
        </w:rPr>
        <w:t>后附</w:t>
      </w:r>
      <w:r>
        <w:rPr>
          <w:rFonts w:hint="eastAsia" w:asciiTheme="minorEastAsia" w:hAnsiTheme="minorEastAsia" w:eastAsiaTheme="minorEastAsia" w:cstheme="minorEastAsia"/>
          <w:b/>
          <w:bCs/>
          <w:color w:val="auto"/>
          <w:sz w:val="24"/>
          <w:szCs w:val="24"/>
          <w:highlight w:val="none"/>
          <w:u w:val="thick"/>
        </w:rPr>
        <w:t>）</w:t>
      </w:r>
    </w:p>
    <w:p w14:paraId="62BA9A9D">
      <w:pPr>
        <w:keepNext w:val="0"/>
        <w:keepLines w:val="0"/>
        <w:pageBreakBefore w:val="0"/>
        <w:widowControl w:val="0"/>
        <w:kinsoku/>
        <w:wordWrap/>
        <w:overflowPunct/>
        <w:topLinePunct w:val="0"/>
        <w:autoSpaceDE/>
        <w:autoSpaceDN/>
        <w:bidi w:val="0"/>
        <w:adjustRightInd/>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二、结算要求：</w:t>
      </w:r>
    </w:p>
    <w:p w14:paraId="1831729B">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预算金额数量为预估数，以实际计划执行，结算价=Σ实际数量×按定价方法确定的单价×中标折扣</w:t>
      </w:r>
    </w:p>
    <w:p w14:paraId="6CD7E635">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报价为含食材、运输、人工、税费等</w:t>
      </w:r>
      <w:r>
        <w:rPr>
          <w:rFonts w:hint="eastAsia" w:asciiTheme="minorEastAsia" w:hAnsiTheme="minorEastAsia" w:eastAsiaTheme="minorEastAsia" w:cstheme="minorEastAsia"/>
          <w:color w:val="auto"/>
          <w:sz w:val="24"/>
          <w:szCs w:val="24"/>
          <w:highlight w:val="none"/>
          <w:lang w:val="zh-CN"/>
        </w:rPr>
        <w:t>完成本项目发生的</w:t>
      </w:r>
      <w:r>
        <w:rPr>
          <w:rFonts w:hint="eastAsia" w:asciiTheme="minorEastAsia" w:hAnsiTheme="minorEastAsia" w:eastAsiaTheme="minorEastAsia" w:cstheme="minorEastAsia"/>
          <w:color w:val="auto"/>
          <w:sz w:val="24"/>
          <w:szCs w:val="24"/>
          <w:highlight w:val="none"/>
        </w:rPr>
        <w:t>所有费用。</w:t>
      </w:r>
      <w:r>
        <w:rPr>
          <w:rFonts w:hint="eastAsia" w:asciiTheme="minorEastAsia" w:hAnsiTheme="minorEastAsia" w:cstheme="minorEastAsia"/>
          <w:color w:val="auto"/>
          <w:sz w:val="24"/>
          <w:szCs w:val="24"/>
          <w:highlight w:val="none"/>
          <w:lang w:val="zh-CN"/>
        </w:rPr>
        <w:t>投标人</w:t>
      </w:r>
      <w:r>
        <w:rPr>
          <w:rFonts w:hint="eastAsia" w:asciiTheme="minorEastAsia" w:hAnsiTheme="minorEastAsia" w:eastAsiaTheme="minorEastAsia" w:cstheme="minorEastAsia"/>
          <w:color w:val="auto"/>
          <w:sz w:val="24"/>
          <w:szCs w:val="24"/>
          <w:highlight w:val="none"/>
          <w:lang w:val="zh-CN"/>
        </w:rPr>
        <w:t>一旦</w:t>
      </w:r>
      <w:r>
        <w:rPr>
          <w:rFonts w:hint="eastAsia" w:asciiTheme="minorEastAsia" w:hAnsi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lang w:val="zh-CN"/>
        </w:rPr>
        <w:t>后，如因市场变化、政策性调整等因素导致报价成本的变化，</w:t>
      </w:r>
      <w:r>
        <w:rPr>
          <w:rFonts w:hint="eastAsia" w:asciiTheme="minorEastAsia" w:hAnsiTheme="minorEastAsia" w:cstheme="minorEastAsia"/>
          <w:color w:val="auto"/>
          <w:sz w:val="24"/>
          <w:szCs w:val="24"/>
          <w:highlight w:val="none"/>
          <w:lang w:val="en-US" w:eastAsia="zh-CN"/>
        </w:rPr>
        <w:t>中标折扣</w:t>
      </w:r>
      <w:r>
        <w:rPr>
          <w:rFonts w:hint="eastAsia" w:asciiTheme="minorEastAsia" w:hAnsiTheme="minorEastAsia" w:eastAsiaTheme="minorEastAsia" w:cstheme="minorEastAsia"/>
          <w:color w:val="auto"/>
          <w:sz w:val="24"/>
          <w:szCs w:val="24"/>
          <w:highlight w:val="none"/>
          <w:lang w:val="zh-CN"/>
        </w:rPr>
        <w:t>将不会得到调整。</w:t>
      </w:r>
    </w:p>
    <w:p w14:paraId="3C802E7D">
      <w:pPr>
        <w:keepNext w:val="0"/>
        <w:keepLines w:val="0"/>
        <w:pageBreakBefore w:val="0"/>
        <w:widowControl w:val="0"/>
        <w:kinsoku/>
        <w:wordWrap/>
        <w:overflowPunct/>
        <w:topLinePunct w:val="0"/>
        <w:autoSpaceDE/>
        <w:autoSpaceDN/>
        <w:bidi w:val="0"/>
        <w:adjustRightInd/>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三、质量要求：</w:t>
      </w:r>
    </w:p>
    <w:p w14:paraId="60BF918E">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投标人所供主副食品必须满足《中华人民共和国食品安全法》、《中华人民共和国农产品质量安全法》和采购方有关要求，符合国家质量技术监督和食品卫生标准，确保安全。</w:t>
      </w:r>
    </w:p>
    <w:p w14:paraId="37078FB9">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1、水产、肉禽类须保证为鲜活产品。</w:t>
      </w:r>
    </w:p>
    <w:p w14:paraId="120BA58E">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2、蔬菜、水果类食品要求新鲜，无霉烂变质。</w:t>
      </w:r>
    </w:p>
    <w:p w14:paraId="2CF00EC1">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3、干杂类须是正规厂家并具有合格证书且无任何添加剂的优质产品。</w:t>
      </w:r>
    </w:p>
    <w:p w14:paraId="28EA5BEE">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4、其它有包装食品应符合《中华人民共和国产品质量法》有关要求，</w:t>
      </w:r>
      <w:r>
        <w:rPr>
          <w:rFonts w:hint="eastAsia" w:asciiTheme="minorEastAsia" w:hAnsiTheme="minorEastAsia" w:eastAsiaTheme="minorEastAsia" w:cstheme="minorEastAsia"/>
          <w:b/>
          <w:color w:val="auto"/>
          <w:sz w:val="24"/>
          <w:szCs w:val="24"/>
          <w:highlight w:val="none"/>
        </w:rPr>
        <w:t>剩余保质期不少于三分之二。</w:t>
      </w:r>
    </w:p>
    <w:p w14:paraId="1E1DE082">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5、投标人送货至采购方后进行复称，生鲜称重类货物以去包装后重量为准。</w:t>
      </w:r>
    </w:p>
    <w:p w14:paraId="1E1C2FE2">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6、运输过程须保证食品的卫生与安全，运输冷藏工具应停放在指定的地点。</w:t>
      </w:r>
    </w:p>
    <w:p w14:paraId="686E71E2">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7、需要投标人配送未列明情况的其它产品质量要求，由供需双方协商确定。</w:t>
      </w:r>
    </w:p>
    <w:p w14:paraId="2A98EB6B">
      <w:pPr>
        <w:keepNext w:val="0"/>
        <w:keepLines w:val="0"/>
        <w:pageBreakBefore w:val="0"/>
        <w:widowControl w:val="0"/>
        <w:kinsoku/>
        <w:wordWrap/>
        <w:overflowPunct/>
        <w:topLinePunct w:val="0"/>
        <w:autoSpaceDE/>
        <w:autoSpaceDN/>
        <w:bidi w:val="0"/>
        <w:adjustRightInd/>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四、报价要求与定价方法：</w:t>
      </w:r>
    </w:p>
    <w:p w14:paraId="462BFFF8">
      <w:pPr>
        <w:keepNext w:val="0"/>
        <w:keepLines w:val="0"/>
        <w:pageBreakBefore w:val="0"/>
        <w:widowControl w:val="0"/>
        <w:kinsoku/>
        <w:wordWrap/>
        <w:overflowPunct/>
        <w:topLinePunct w:val="0"/>
        <w:autoSpaceDE/>
        <w:autoSpaceDN/>
        <w:bidi w:val="0"/>
        <w:adjustRightIn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（一）报价要求</w:t>
      </w:r>
    </w:p>
    <w:p w14:paraId="1DD91C8F">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1、报价方式：按折扣报价。投标折扣超过100%的视为无效投标；</w:t>
      </w:r>
    </w:p>
    <w:p w14:paraId="54CF475A">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2、各投标人在报价时应充分考虑到市场波动等客观因素，并依据“定价方法”按照折扣进行报价；</w:t>
      </w:r>
    </w:p>
    <w:p w14:paraId="24048B27">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3、报价为含食材、运输、人工、税费等</w:t>
      </w:r>
      <w:r>
        <w:rPr>
          <w:rFonts w:hint="eastAsia" w:asciiTheme="minorEastAsia" w:hAnsiTheme="minorEastAsia" w:eastAsiaTheme="minorEastAsia" w:cstheme="minorEastAsia"/>
          <w:color w:val="auto"/>
          <w:sz w:val="24"/>
          <w:szCs w:val="24"/>
          <w:highlight w:val="none"/>
          <w:lang w:val="zh-CN"/>
        </w:rPr>
        <w:t>完成本项目发生的</w:t>
      </w:r>
      <w:r>
        <w:rPr>
          <w:rFonts w:hint="eastAsia" w:asciiTheme="minorEastAsia" w:hAnsiTheme="minorEastAsia" w:eastAsiaTheme="minorEastAsia" w:cstheme="minorEastAsia"/>
          <w:color w:val="auto"/>
          <w:sz w:val="24"/>
          <w:szCs w:val="24"/>
          <w:highlight w:val="none"/>
        </w:rPr>
        <w:t>所有费用。</w:t>
      </w: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lang w:val="zh-CN"/>
        </w:rPr>
        <w:t>一旦</w:t>
      </w:r>
      <w:r>
        <w:rPr>
          <w:rFonts w:hint="eastAsia" w:asciiTheme="minorEastAsia" w:hAnsi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lang w:val="zh-CN"/>
        </w:rPr>
        <w:t>后，如因市场变化、政策性调整等因素导致报价成本的变化，</w:t>
      </w:r>
      <w:r>
        <w:rPr>
          <w:rFonts w:hint="eastAsia" w:asciiTheme="minorEastAsia" w:hAnsiTheme="minorEastAsia" w:cstheme="minorEastAsia"/>
          <w:color w:val="auto"/>
          <w:sz w:val="24"/>
          <w:szCs w:val="24"/>
          <w:highlight w:val="none"/>
          <w:lang w:val="en-US" w:eastAsia="zh-CN"/>
        </w:rPr>
        <w:t>中标折扣</w:t>
      </w:r>
      <w:r>
        <w:rPr>
          <w:rFonts w:hint="eastAsia" w:asciiTheme="minorEastAsia" w:hAnsiTheme="minorEastAsia" w:eastAsiaTheme="minorEastAsia" w:cstheme="minorEastAsia"/>
          <w:color w:val="auto"/>
          <w:sz w:val="24"/>
          <w:szCs w:val="24"/>
          <w:highlight w:val="none"/>
          <w:lang w:val="zh-CN"/>
        </w:rPr>
        <w:t>将不会得到调整。</w:t>
      </w:r>
    </w:p>
    <w:p w14:paraId="7333C51E">
      <w:pPr>
        <w:keepNext w:val="0"/>
        <w:keepLines w:val="0"/>
        <w:pageBreakBefore w:val="0"/>
        <w:widowControl w:val="0"/>
        <w:kinsoku/>
        <w:wordWrap/>
        <w:overflowPunct/>
        <w:topLinePunct w:val="0"/>
        <w:autoSpaceDE/>
        <w:autoSpaceDN/>
        <w:bidi w:val="0"/>
        <w:adjustRightInd/>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4、对需求清单中所列产品全部进行报价，报出品牌产地，不得缺项漏项。</w:t>
      </w:r>
    </w:p>
    <w:p w14:paraId="3A69002D">
      <w:pPr>
        <w:keepNext w:val="0"/>
        <w:keepLines w:val="0"/>
        <w:pageBreakBefore w:val="0"/>
        <w:widowControl w:val="0"/>
        <w:kinsoku/>
        <w:wordWrap/>
        <w:overflowPunct/>
        <w:topLinePunct w:val="0"/>
        <w:autoSpaceDE/>
        <w:autoSpaceDN/>
        <w:bidi w:val="0"/>
        <w:adjustRightIn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（二）定价方法</w:t>
      </w:r>
    </w:p>
    <w:p w14:paraId="4FE74513">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1、所供食材种类单价参照供货前一周“南京市发展和改革委员会官网”网站公布的</w:t>
      </w:r>
      <w:r>
        <w:rPr>
          <w:rFonts w:hint="eastAsia" w:asciiTheme="minorEastAsia" w:hAnsiTheme="minorEastAsia" w:cstheme="minorEastAsia"/>
          <w:color w:val="auto"/>
          <w:sz w:val="24"/>
          <w:szCs w:val="24"/>
          <w:highlight w:val="none"/>
          <w:lang w:val="en-US" w:eastAsia="zh-CN"/>
        </w:rPr>
        <w:t>价格</w:t>
      </w:r>
      <w:r>
        <w:rPr>
          <w:rFonts w:hint="eastAsia" w:asciiTheme="minorEastAsia" w:hAnsiTheme="minorEastAsia" w:eastAsiaTheme="minorEastAsia" w:cstheme="minorEastAsia"/>
          <w:color w:val="auto"/>
          <w:sz w:val="24"/>
          <w:szCs w:val="24"/>
          <w:highlight w:val="none"/>
        </w:rPr>
        <w:t>为基准（网站公布的价格均为含税价）；</w:t>
      </w:r>
    </w:p>
    <w:p w14:paraId="0EEB4407">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2、网站未公布的食材价格：以供货前一天，在采购人单位周边的零售菜场或超市所询的同品牌同类商品零售价的最低价为基准；</w:t>
      </w:r>
    </w:p>
    <w:p w14:paraId="6E184FFB">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3、投标人每周按照上述第1和第2条要求进行价格对比，报价后市场价格有明显变化须及时调整送货价格，并在送货单上注明，方便结算时核价。</w:t>
      </w:r>
    </w:p>
    <w:p w14:paraId="1DE1AA4F">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（注：食材涨价须提前告知采购人，本周内某食材涨价20%以下仍然按涨价之前的价格计算）</w:t>
      </w:r>
    </w:p>
    <w:p w14:paraId="690565DF">
      <w:pPr>
        <w:keepNext w:val="0"/>
        <w:keepLines w:val="0"/>
        <w:pageBreakBefore w:val="0"/>
        <w:widowControl w:val="0"/>
        <w:kinsoku/>
        <w:wordWrap/>
        <w:overflowPunct/>
        <w:topLinePunct w:val="0"/>
        <w:autoSpaceDE/>
        <w:autoSpaceDN/>
        <w:bidi w:val="0"/>
        <w:adjustRightInd/>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五、交付要求：</w:t>
      </w:r>
    </w:p>
    <w:p w14:paraId="74DF37F5">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1、交</w:t>
      </w:r>
      <w:r>
        <w:rPr>
          <w:rFonts w:hint="eastAsia" w:asciiTheme="minorEastAsia" w:hAnsiTheme="minorEastAsia" w:cstheme="minorEastAsia"/>
          <w:color w:val="auto"/>
          <w:sz w:val="24"/>
          <w:szCs w:val="24"/>
          <w:highlight w:val="none"/>
          <w:lang w:val="en-US" w:eastAsia="zh-CN"/>
        </w:rPr>
        <w:t>货</w:t>
      </w:r>
      <w:r>
        <w:rPr>
          <w:rFonts w:hint="eastAsia" w:asciiTheme="minorEastAsia" w:hAnsiTheme="minorEastAsia" w:eastAsiaTheme="minorEastAsia" w:cstheme="minorEastAsia"/>
          <w:color w:val="auto"/>
          <w:sz w:val="24"/>
          <w:szCs w:val="24"/>
          <w:highlight w:val="none"/>
        </w:rPr>
        <w:t>期要求：乙方须保证在约定时间之前将甲方所订的货物送至甲方所在地或其他指定位置；乙方如送货迟到超过半小时，甲方可扣乙方当天总货款的10%</w:t>
      </w:r>
      <w:r>
        <w:rPr>
          <w:rFonts w:hint="eastAsia" w:asciiTheme="minorEastAsia" w:hAnsiTheme="minorEastAsia" w:cstheme="minorEastAsia"/>
          <w:color w:val="auto"/>
          <w:sz w:val="24"/>
          <w:szCs w:val="24"/>
          <w:highlight w:val="none"/>
          <w:lang w:eastAsia="zh-CN"/>
        </w:rPr>
        <w:t>作为</w:t>
      </w:r>
      <w:r>
        <w:rPr>
          <w:rFonts w:hint="eastAsia" w:asciiTheme="minorEastAsia" w:hAnsiTheme="minorEastAsia" w:eastAsiaTheme="minorEastAsia" w:cstheme="minorEastAsia"/>
          <w:color w:val="auto"/>
          <w:sz w:val="24"/>
          <w:szCs w:val="24"/>
          <w:highlight w:val="none"/>
        </w:rPr>
        <w:t>违约金。因迟到时间长而造成甲方无法正常供餐的，甲方有权追究乙方相关经济、法律责任。遇有特殊任务或其他情况，应以采购人具体要求为准。非正常工作时间，遇特殊情况，投标人要为采购人提供紧急配送服务。</w:t>
      </w:r>
    </w:p>
    <w:p w14:paraId="205ECF0D">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2、服务方案：</w:t>
      </w:r>
    </w:p>
    <w:p w14:paraId="164AD310">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投标人应在</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rPr>
        <w:t>文件中提供详细的服务方案，包括但不限于配送方案、食品质量保证措施、人员及车辆配备方案、应急方案等。</w:t>
      </w:r>
    </w:p>
    <w:p w14:paraId="4BCC261B">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配送人员要有相应的健康证。</w:t>
      </w:r>
    </w:p>
    <w:p w14:paraId="031E3FF5">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3、服务要求</w:t>
      </w:r>
      <w:r>
        <w:rPr>
          <w:rFonts w:hint="eastAsia" w:asciiTheme="minorEastAsia" w:hAnsiTheme="minorEastAsia" w:cstheme="minorEastAsia"/>
          <w:color w:val="auto"/>
          <w:sz w:val="24"/>
          <w:szCs w:val="24"/>
          <w:highlight w:val="none"/>
          <w:lang w:eastAsia="zh-CN"/>
        </w:rPr>
        <w:t>；</w:t>
      </w:r>
    </w:p>
    <w:p w14:paraId="239752D6">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（1）所有食材必须卫生、清洁、新鲜、无污染、无假冒伪劣、无过期变质，符合食品国家标准和行业标准。</w:t>
      </w:r>
    </w:p>
    <w:p w14:paraId="6795A702">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（2）投标人所供食材要经</w:t>
      </w:r>
      <w:r>
        <w:rPr>
          <w:rFonts w:hint="eastAsia" w:asciiTheme="minorEastAsia" w:hAnsiTheme="minorEastAsia" w:cstheme="minorEastAsia"/>
          <w:color w:val="auto"/>
          <w:sz w:val="24"/>
          <w:szCs w:val="24"/>
          <w:highlight w:val="none"/>
          <w:lang w:val="en-US" w:eastAsia="zh-CN"/>
        </w:rPr>
        <w:t>招标人</w:t>
      </w:r>
      <w:r>
        <w:rPr>
          <w:rFonts w:hint="eastAsia" w:asciiTheme="minorEastAsia" w:hAnsiTheme="minorEastAsia" w:eastAsiaTheme="minorEastAsia" w:cstheme="minorEastAsia"/>
          <w:color w:val="auto"/>
          <w:sz w:val="24"/>
          <w:szCs w:val="24"/>
          <w:highlight w:val="none"/>
        </w:rPr>
        <w:t>复秤验收，在质量、数量上存在问题的不合格食材由投标人及时调换或增补，损失由投标人承担。</w:t>
      </w:r>
    </w:p>
    <w:p w14:paraId="3EC71617">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（3）投标人要按照</w:t>
      </w:r>
      <w:r>
        <w:rPr>
          <w:rFonts w:hint="eastAsia" w:asciiTheme="minorEastAsia" w:hAnsiTheme="minorEastAsia" w:cstheme="minorEastAsia"/>
          <w:color w:val="auto"/>
          <w:sz w:val="24"/>
          <w:szCs w:val="24"/>
          <w:highlight w:val="none"/>
          <w:lang w:val="en-US" w:eastAsia="zh-CN"/>
        </w:rPr>
        <w:t>招标人</w:t>
      </w:r>
      <w:r>
        <w:rPr>
          <w:rFonts w:hint="eastAsia" w:asciiTheme="minorEastAsia" w:hAnsiTheme="minorEastAsia" w:eastAsiaTheme="minorEastAsia" w:cstheme="minorEastAsia"/>
          <w:color w:val="auto"/>
          <w:sz w:val="24"/>
          <w:szCs w:val="24"/>
          <w:highlight w:val="none"/>
        </w:rPr>
        <w:t>的要求及时供货，并将所供食材送到指定地点。</w:t>
      </w:r>
    </w:p>
    <w:p w14:paraId="2B64EBD4">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中标人应保证做到所提供的产品价格合理、质量合格、计量准确、送货及时、服务周到，同时负责提供该产品进入市场的相关证明（质检报告、卫生证等）。采购人可按需要向中标人提出调换或增加供货的品种和型号。</w:t>
      </w:r>
    </w:p>
    <w:p w14:paraId="591C5426">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（5）所供食材要求一次达标，质量合格，在使用过程中由于食品质量导致的后果，均由中标人全权负责。</w:t>
      </w:r>
    </w:p>
    <w:p w14:paraId="1D55C970">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（6）中标人每次送货以</w:t>
      </w:r>
      <w:r>
        <w:rPr>
          <w:rFonts w:hint="eastAsia" w:asciiTheme="minorEastAsia" w:hAnsiTheme="minorEastAsia" w:cstheme="minorEastAsia"/>
          <w:color w:val="auto"/>
          <w:sz w:val="24"/>
          <w:szCs w:val="24"/>
          <w:highlight w:val="none"/>
          <w:lang w:val="en-US" w:eastAsia="zh-CN"/>
        </w:rPr>
        <w:t>招标人</w:t>
      </w:r>
      <w:r>
        <w:rPr>
          <w:rFonts w:hint="eastAsia" w:asciiTheme="minorEastAsia" w:hAnsiTheme="minorEastAsia" w:eastAsiaTheme="minorEastAsia" w:cstheme="minorEastAsia"/>
          <w:color w:val="auto"/>
          <w:sz w:val="24"/>
          <w:szCs w:val="24"/>
          <w:highlight w:val="none"/>
        </w:rPr>
        <w:t>提报计划通知为准，</w:t>
      </w:r>
      <w:r>
        <w:rPr>
          <w:rFonts w:hint="eastAsia" w:asciiTheme="minorEastAsia" w:hAnsiTheme="minorEastAsia" w:cstheme="minorEastAsia"/>
          <w:color w:val="auto"/>
          <w:sz w:val="24"/>
          <w:szCs w:val="24"/>
          <w:highlight w:val="none"/>
          <w:lang w:val="en-US" w:eastAsia="zh-CN"/>
        </w:rPr>
        <w:t>招标人</w:t>
      </w:r>
      <w:r>
        <w:rPr>
          <w:rFonts w:hint="eastAsia" w:asciiTheme="minorEastAsia" w:hAnsiTheme="minorEastAsia" w:eastAsiaTheme="minorEastAsia" w:cstheme="minorEastAsia"/>
          <w:color w:val="auto"/>
          <w:sz w:val="24"/>
          <w:szCs w:val="24"/>
          <w:highlight w:val="none"/>
        </w:rPr>
        <w:t>要货应提前一天通知中标人，并明确要货数量，</w:t>
      </w:r>
      <w:r>
        <w:rPr>
          <w:rFonts w:hint="eastAsia" w:asciiTheme="minorEastAsia" w:hAnsiTheme="minorEastAsia" w:cstheme="minorEastAsia"/>
          <w:color w:val="auto"/>
          <w:sz w:val="24"/>
          <w:szCs w:val="24"/>
          <w:highlight w:val="none"/>
          <w:lang w:eastAsia="zh-CN"/>
        </w:rPr>
        <w:t>接到</w:t>
      </w:r>
      <w:r>
        <w:rPr>
          <w:rFonts w:hint="eastAsia" w:asciiTheme="minorEastAsia" w:hAnsiTheme="minorEastAsia" w:cstheme="minorEastAsia"/>
          <w:color w:val="auto"/>
          <w:sz w:val="24"/>
          <w:szCs w:val="24"/>
          <w:highlight w:val="none"/>
          <w:lang w:val="en-US" w:eastAsia="zh-CN"/>
        </w:rPr>
        <w:t>招标人</w:t>
      </w:r>
      <w:r>
        <w:rPr>
          <w:rFonts w:hint="eastAsia" w:asciiTheme="minorEastAsia" w:hAnsiTheme="minorEastAsia" w:eastAsiaTheme="minorEastAsia" w:cstheme="minorEastAsia"/>
          <w:color w:val="auto"/>
          <w:sz w:val="24"/>
          <w:szCs w:val="24"/>
          <w:highlight w:val="none"/>
        </w:rPr>
        <w:t>通知后，中标人应保证按时将货准时送到</w:t>
      </w:r>
      <w:r>
        <w:rPr>
          <w:rFonts w:hint="eastAsia" w:asciiTheme="minorEastAsia" w:hAnsiTheme="minorEastAsia" w:cstheme="minorEastAsia"/>
          <w:color w:val="auto"/>
          <w:sz w:val="24"/>
          <w:szCs w:val="24"/>
          <w:highlight w:val="none"/>
          <w:lang w:val="en-US" w:eastAsia="zh-CN"/>
        </w:rPr>
        <w:t>招标人</w:t>
      </w:r>
      <w:r>
        <w:rPr>
          <w:rFonts w:hint="eastAsia" w:asciiTheme="minorEastAsia" w:hAnsiTheme="minorEastAsia" w:eastAsiaTheme="minorEastAsia" w:cstheme="minorEastAsia"/>
          <w:color w:val="auto"/>
          <w:sz w:val="24"/>
          <w:szCs w:val="24"/>
          <w:highlight w:val="none"/>
        </w:rPr>
        <w:t>指定地点，以免影响</w:t>
      </w:r>
      <w:r>
        <w:rPr>
          <w:rFonts w:hint="eastAsia" w:asciiTheme="minorEastAsia" w:hAnsiTheme="minorEastAsia" w:cstheme="minorEastAsia"/>
          <w:color w:val="auto"/>
          <w:sz w:val="24"/>
          <w:szCs w:val="24"/>
          <w:highlight w:val="none"/>
          <w:lang w:val="en-US" w:eastAsia="zh-CN"/>
        </w:rPr>
        <w:t>招标人</w:t>
      </w:r>
      <w:r>
        <w:rPr>
          <w:rFonts w:hint="eastAsia" w:asciiTheme="minorEastAsia" w:hAnsiTheme="minorEastAsia" w:eastAsiaTheme="minorEastAsia" w:cstheme="minorEastAsia"/>
          <w:color w:val="auto"/>
          <w:sz w:val="24"/>
          <w:szCs w:val="24"/>
          <w:highlight w:val="none"/>
        </w:rPr>
        <w:t>正常使用。</w:t>
      </w:r>
    </w:p>
    <w:p w14:paraId="7BFB7842">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（7）食材进行密封包装，并带有公司出厂标签。夏季高温天气，投标人提供冷藏设备配送，防止（预防）原材料在高温情况下出现变质。</w:t>
      </w:r>
    </w:p>
    <w:p w14:paraId="17559040">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（8）配送人员要有相应的健康证等证件。配送人员必须是本公司人员，必须每年进行一次健康体检，取得健康合格证后方可上岗。</w:t>
      </w:r>
    </w:p>
    <w:p w14:paraId="6E1B1079">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4、供应方式要求</w:t>
      </w:r>
    </w:p>
    <w:p w14:paraId="3B88C161">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招标人</w:t>
      </w:r>
      <w:r>
        <w:rPr>
          <w:rFonts w:hint="eastAsia" w:asciiTheme="minorEastAsia" w:hAnsiTheme="minorEastAsia" w:eastAsiaTheme="minorEastAsia" w:cstheme="minorEastAsia"/>
          <w:color w:val="auto"/>
          <w:sz w:val="24"/>
          <w:szCs w:val="24"/>
          <w:highlight w:val="none"/>
        </w:rPr>
        <w:t>提前一天向</w:t>
      </w:r>
      <w:r>
        <w:rPr>
          <w:rFonts w:hint="eastAsia" w:asciiTheme="minorEastAsia" w:hAnsiTheme="minorEastAsia" w:cstheme="minorEastAsia"/>
          <w:color w:val="auto"/>
          <w:sz w:val="24"/>
          <w:szCs w:val="24"/>
          <w:highlight w:val="none"/>
          <w:lang w:val="en-US" w:eastAsia="zh-CN"/>
        </w:rPr>
        <w:t>中标人</w:t>
      </w:r>
      <w:r>
        <w:rPr>
          <w:rFonts w:hint="eastAsia" w:asciiTheme="minorEastAsia" w:hAnsiTheme="minorEastAsia" w:eastAsiaTheme="minorEastAsia" w:cstheme="minorEastAsia"/>
          <w:color w:val="auto"/>
          <w:sz w:val="24"/>
          <w:szCs w:val="24"/>
          <w:highlight w:val="none"/>
        </w:rPr>
        <w:t>提供所需副食品订单，</w:t>
      </w:r>
      <w:r>
        <w:rPr>
          <w:rFonts w:hint="eastAsia" w:asciiTheme="minorEastAsia" w:hAnsiTheme="minorEastAsia" w:cstheme="minorEastAsia"/>
          <w:color w:val="auto"/>
          <w:sz w:val="24"/>
          <w:szCs w:val="24"/>
          <w:highlight w:val="none"/>
          <w:lang w:val="en-US" w:eastAsia="zh-CN"/>
        </w:rPr>
        <w:t>中标人</w:t>
      </w:r>
      <w:r>
        <w:rPr>
          <w:rFonts w:hint="eastAsia" w:asciiTheme="minorEastAsia" w:hAnsiTheme="minorEastAsia" w:eastAsiaTheme="minorEastAsia" w:cstheme="minorEastAsia"/>
          <w:color w:val="auto"/>
          <w:sz w:val="24"/>
          <w:szCs w:val="24"/>
          <w:highlight w:val="none"/>
        </w:rPr>
        <w:t>必须在</w:t>
      </w:r>
      <w:r>
        <w:rPr>
          <w:rFonts w:hint="eastAsia" w:asciiTheme="minorEastAsia" w:hAnsiTheme="minorEastAsia" w:cstheme="minorEastAsia"/>
          <w:color w:val="auto"/>
          <w:sz w:val="24"/>
          <w:szCs w:val="24"/>
          <w:highlight w:val="none"/>
          <w:lang w:val="en-US" w:eastAsia="zh-CN"/>
        </w:rPr>
        <w:t>招标人</w:t>
      </w:r>
      <w:r>
        <w:rPr>
          <w:rFonts w:hint="eastAsia" w:asciiTheme="minorEastAsia" w:hAnsiTheme="minorEastAsia" w:eastAsiaTheme="minorEastAsia" w:cstheme="minorEastAsia"/>
          <w:color w:val="auto"/>
          <w:sz w:val="24"/>
          <w:szCs w:val="24"/>
          <w:highlight w:val="none"/>
        </w:rPr>
        <w:t>规定时间内，依据订单将</w:t>
      </w:r>
      <w:r>
        <w:rPr>
          <w:rFonts w:hint="eastAsia" w:asciiTheme="minorEastAsia" w:hAnsiTheme="minorEastAsia" w:cstheme="minorEastAsia"/>
          <w:color w:val="auto"/>
          <w:sz w:val="24"/>
          <w:szCs w:val="24"/>
          <w:highlight w:val="none"/>
          <w:lang w:val="en-US" w:eastAsia="zh-CN"/>
        </w:rPr>
        <w:t>招标人</w:t>
      </w:r>
      <w:r>
        <w:rPr>
          <w:rFonts w:hint="eastAsia" w:asciiTheme="minorEastAsia" w:hAnsiTheme="minorEastAsia" w:eastAsiaTheme="minorEastAsia" w:cstheme="minorEastAsia"/>
          <w:color w:val="auto"/>
          <w:sz w:val="24"/>
          <w:szCs w:val="24"/>
          <w:highlight w:val="none"/>
        </w:rPr>
        <w:t>所需的副食品购齐，送至</w:t>
      </w:r>
      <w:r>
        <w:rPr>
          <w:rFonts w:hint="eastAsia" w:asciiTheme="minorEastAsia" w:hAnsiTheme="minorEastAsia" w:cstheme="minorEastAsia"/>
          <w:color w:val="auto"/>
          <w:sz w:val="24"/>
          <w:szCs w:val="24"/>
          <w:highlight w:val="none"/>
          <w:lang w:val="en-US" w:eastAsia="zh-CN"/>
        </w:rPr>
        <w:t>招标人</w:t>
      </w:r>
      <w:r>
        <w:rPr>
          <w:rFonts w:hint="eastAsia" w:asciiTheme="minorEastAsia" w:hAnsiTheme="minorEastAsia" w:eastAsiaTheme="minorEastAsia" w:cstheme="minorEastAsia"/>
          <w:color w:val="auto"/>
          <w:sz w:val="24"/>
          <w:szCs w:val="24"/>
          <w:highlight w:val="none"/>
        </w:rPr>
        <w:t>伙食单位进行验收。</w:t>
      </w:r>
    </w:p>
    <w:p w14:paraId="3518488E">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cstheme="minorEastAsia"/>
          <w:color w:val="auto"/>
          <w:sz w:val="24"/>
          <w:szCs w:val="24"/>
          <w:highlight w:val="none"/>
          <w:lang w:val="en-US" w:eastAsia="zh-CN"/>
        </w:rPr>
        <w:t>中标人</w:t>
      </w:r>
      <w:r>
        <w:rPr>
          <w:rFonts w:hint="eastAsia" w:asciiTheme="minorEastAsia" w:hAnsiTheme="minorEastAsia" w:eastAsiaTheme="minorEastAsia" w:cstheme="minorEastAsia"/>
          <w:color w:val="auto"/>
          <w:sz w:val="24"/>
          <w:szCs w:val="24"/>
          <w:highlight w:val="none"/>
        </w:rPr>
        <w:t>不得以任何理由拒绝供应、随意变更订单项目、内容，由于特殊情况不能及时供应的副食品，</w:t>
      </w:r>
      <w:r>
        <w:rPr>
          <w:rFonts w:hint="eastAsia" w:asciiTheme="minorEastAsia" w:hAnsiTheme="minorEastAsia" w:cstheme="minorEastAsia"/>
          <w:color w:val="auto"/>
          <w:sz w:val="24"/>
          <w:szCs w:val="24"/>
          <w:highlight w:val="none"/>
          <w:lang w:val="en-US" w:eastAsia="zh-CN"/>
        </w:rPr>
        <w:t>中标人</w:t>
      </w:r>
      <w:r>
        <w:rPr>
          <w:rFonts w:hint="eastAsia" w:asciiTheme="minorEastAsia" w:hAnsiTheme="minorEastAsia" w:eastAsiaTheme="minorEastAsia" w:cstheme="minorEastAsia"/>
          <w:color w:val="auto"/>
          <w:sz w:val="24"/>
          <w:szCs w:val="24"/>
          <w:highlight w:val="none"/>
        </w:rPr>
        <w:t>应提前通知</w:t>
      </w:r>
      <w:r>
        <w:rPr>
          <w:rFonts w:hint="eastAsia" w:asciiTheme="minorEastAsia" w:hAnsiTheme="minorEastAsia" w:cstheme="minorEastAsia"/>
          <w:color w:val="auto"/>
          <w:sz w:val="24"/>
          <w:szCs w:val="24"/>
          <w:highlight w:val="none"/>
          <w:lang w:val="en-US" w:eastAsia="zh-CN"/>
        </w:rPr>
        <w:t>招标人</w:t>
      </w:r>
      <w:r>
        <w:rPr>
          <w:rFonts w:hint="eastAsia" w:asciiTheme="minorEastAsia" w:hAnsiTheme="minorEastAsia" w:eastAsiaTheme="minorEastAsia" w:cstheme="minorEastAsia"/>
          <w:color w:val="auto"/>
          <w:sz w:val="24"/>
          <w:szCs w:val="24"/>
          <w:highlight w:val="none"/>
        </w:rPr>
        <w:t>，经</w:t>
      </w:r>
      <w:r>
        <w:rPr>
          <w:rFonts w:hint="eastAsia" w:asciiTheme="minorEastAsia" w:hAnsiTheme="minorEastAsia" w:cstheme="minorEastAsia"/>
          <w:color w:val="auto"/>
          <w:sz w:val="24"/>
          <w:szCs w:val="24"/>
          <w:highlight w:val="none"/>
          <w:lang w:val="en-US" w:eastAsia="zh-CN"/>
        </w:rPr>
        <w:t>招标人</w:t>
      </w:r>
      <w:r>
        <w:rPr>
          <w:rFonts w:hint="eastAsia" w:asciiTheme="minorEastAsia" w:hAnsiTheme="minorEastAsia" w:eastAsiaTheme="minorEastAsia" w:cstheme="minorEastAsia"/>
          <w:color w:val="auto"/>
          <w:sz w:val="24"/>
          <w:szCs w:val="24"/>
          <w:highlight w:val="none"/>
        </w:rPr>
        <w:t>许可后方能调整所订副食品。</w:t>
      </w:r>
    </w:p>
    <w:p w14:paraId="6059CA08">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中标人</w:t>
      </w:r>
      <w:r>
        <w:rPr>
          <w:rFonts w:hint="eastAsia" w:asciiTheme="minorEastAsia" w:hAnsiTheme="minorEastAsia" w:eastAsiaTheme="minorEastAsia" w:cstheme="minorEastAsia"/>
          <w:color w:val="auto"/>
          <w:sz w:val="24"/>
          <w:szCs w:val="24"/>
          <w:highlight w:val="none"/>
        </w:rPr>
        <w:t>应主动配合</w:t>
      </w:r>
      <w:r>
        <w:rPr>
          <w:rFonts w:hint="eastAsia" w:asciiTheme="minorEastAsia" w:hAnsiTheme="minorEastAsia" w:cstheme="minorEastAsia"/>
          <w:color w:val="auto"/>
          <w:sz w:val="24"/>
          <w:szCs w:val="24"/>
          <w:highlight w:val="none"/>
          <w:lang w:val="en-US" w:eastAsia="zh-CN"/>
        </w:rPr>
        <w:t>招标人</w:t>
      </w:r>
      <w:r>
        <w:rPr>
          <w:rFonts w:hint="eastAsia" w:asciiTheme="minorEastAsia" w:hAnsiTheme="minorEastAsia" w:eastAsiaTheme="minorEastAsia" w:cstheme="minorEastAsia"/>
          <w:color w:val="auto"/>
          <w:sz w:val="24"/>
          <w:szCs w:val="24"/>
          <w:highlight w:val="none"/>
        </w:rPr>
        <w:t>对其供应副食品所进行的数量、质量检查和价格审核调查，根据</w:t>
      </w:r>
      <w:r>
        <w:rPr>
          <w:rFonts w:hint="eastAsia" w:asciiTheme="minorEastAsia" w:hAnsiTheme="minorEastAsia" w:cstheme="minorEastAsia"/>
          <w:color w:val="auto"/>
          <w:sz w:val="24"/>
          <w:szCs w:val="24"/>
          <w:highlight w:val="none"/>
          <w:lang w:val="en-US" w:eastAsia="zh-CN"/>
        </w:rPr>
        <w:t>招标人</w:t>
      </w:r>
      <w:r>
        <w:rPr>
          <w:rFonts w:hint="eastAsia" w:asciiTheme="minorEastAsia" w:hAnsiTheme="minorEastAsia" w:eastAsiaTheme="minorEastAsia" w:cstheme="minorEastAsia"/>
          <w:color w:val="auto"/>
          <w:sz w:val="24"/>
          <w:szCs w:val="24"/>
          <w:highlight w:val="none"/>
        </w:rPr>
        <w:t>需要，提供菜市场当日菜价的有效凭据（如菜场电子屏幕截图）。</w:t>
      </w:r>
    </w:p>
    <w:p w14:paraId="60B7593A">
      <w:pPr>
        <w:keepNext w:val="0"/>
        <w:keepLines w:val="0"/>
        <w:pageBreakBefore w:val="0"/>
        <w:widowControl w:val="0"/>
        <w:kinsoku/>
        <w:wordWrap/>
        <w:overflowPunct/>
        <w:topLinePunct w:val="0"/>
        <w:autoSpaceDE/>
        <w:autoSpaceDN/>
        <w:bidi w:val="0"/>
        <w:adjustRightInd/>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六、结算方式：</w:t>
      </w:r>
    </w:p>
    <w:p w14:paraId="799826F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结算价=Σ实际数量×按定价方法确定的单价×中标折扣；</w:t>
      </w:r>
    </w:p>
    <w:p w14:paraId="0AB2B30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（一）库房当月盘点后，次月结清货款</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乙方所供货物经甲方相关部门验收无安全质量问题后，开具正式发票（若发票户名、开户行、账号与供货单位不一致，甲方不予付款）。</w:t>
      </w:r>
    </w:p>
    <w:p w14:paraId="0F8B9F9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（二）由甲方财务在收齐发票后办理财务审核报销手续，并于次月10日-20日之间以转账形式向乙方付款。</w:t>
      </w:r>
    </w:p>
    <w:p w14:paraId="256B582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七、履约及违约</w:t>
      </w:r>
    </w:p>
    <w:p w14:paraId="38D6FAD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1、合同期内，甲方按年度对乙方配送服务情况进行考核，考核不合格的，甲方可单方面终止合同。</w:t>
      </w:r>
    </w:p>
    <w:p w14:paraId="769F29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2、如乙方延迟交货或配送货物不符合订单要求，乙方须按甲方要求及时补货、换货或退货。对于上述情况的发生，第一次甲方将予以警告，第二次甲方有权扣除50%的履约保证金，第三次甲方有权直接解除合同，扣除全部履约保证金。</w:t>
      </w:r>
    </w:p>
    <w:p w14:paraId="1F909D3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3、除不可抗力因素，如乙方在合同执行期间，有不按照约定品牌与质量送货或不送、少送的情况，达到3次及以上，甲方有权终止合同。</w:t>
      </w:r>
    </w:p>
    <w:p w14:paraId="0B42299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4、凡经相关部门认定，乙方所提供的食材造成食物中毒等卫生事故的，乙方除必须承担全部的法律责任外，还要全额承担因食物中毒发生造成后果的一切费用，并取消其供应资格，并暂扣当月所有供应原食材的货款作为赔偿预付款。</w:t>
      </w:r>
    </w:p>
    <w:p w14:paraId="3C9EF1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5、乙方供应的商品应按达到商品包装规格的要求（净重、体积等），甲方有权随机抽查，一经发现有短斤少两现象，按实际质量收货，并按本批次商品总量的5％作为违约金，由乙方对甲方给予赔偿。</w:t>
      </w:r>
    </w:p>
    <w:p w14:paraId="4CBBB74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6、乙方违反食品行业相关法规，提供过期食品的，甲方有权拒收，并按履约保证金的20%予以处罚，乙方应无条件接受处罚，并按甲方要求补齐货物。</w:t>
      </w:r>
    </w:p>
    <w:p w14:paraId="3A9B3F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7、合同期内，乙方应服从甲方供货安排，不得以甲方假期内订货量减少等理由拒绝送货，乙方无正当理由，未能按时履约，第一次罚以当前未结货款的20%作为赔偿，第二次甲方有权终止与乙方的合作。</w:t>
      </w:r>
    </w:p>
    <w:p w14:paraId="0CE46C2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8、甲方如临时增加用餐人员、用餐方式临时调整或有临时性接待任务等原因，需临时补充原料的</w:t>
      </w:r>
      <w:r>
        <w:rPr>
          <w:rFonts w:hint="eastAsia" w:asciiTheme="minorEastAsia" w:hAnsi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CN"/>
        </w:rPr>
        <w:t>乙方应在约定时间内无条件把指定的原料送至指定的地点。（牛羊肉、水产、冷鲜鸡鸭、时令蔬菜等鲜活食材，出现应急补货的情况，乙方接到甲方通知后，应在1小时内无条件把原料送至指定地点。）乙方无正当理由，未能按时履约，第一次采购人将予以警告，第二次采购人有权扣除50%的履约保证金，第三次采购人有权直接解除合同，扣除全部履约保证金。</w:t>
      </w:r>
    </w:p>
    <w:p w14:paraId="69BEE3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9、乙方提供的食材或物品发生质量问题，影响食用或使用，三次及以上解除合同。</w:t>
      </w:r>
    </w:p>
    <w:p w14:paraId="0E6402A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10、合同期间，为保证货物的新鲜度、食品安全，乙方应按照招标文件相关要求，确需配备的冷链车运输的食材，乙方应严格执行冷链车配送。出现不执行情况，第一次甲方予以警告，第二次甲方有权扣除50%的履约保证金，第三次甲方有权直接解除合同，扣除全部履约保证金。</w:t>
      </w:r>
    </w:p>
    <w:p w14:paraId="09BA75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11、合同期内，乙方以价格或其他问题单方面向甲方提出毁约的，甲方有权提出罚没履约保证金作为赔偿，并取消其供货资格。</w:t>
      </w:r>
    </w:p>
    <w:p w14:paraId="1924B0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12、如乙方在项目实施期间出现违背投标时的承诺，或经营异常，或丧失商业信誉，或产品被曝光不合格或被政府部门取缔相关生产经营资格的情况，采购人有权直接解除合同。</w:t>
      </w:r>
    </w:p>
    <w:p w14:paraId="0468E83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13、甲方无特殊原因，未按时偿付货款，造成乙方经营困难和经济损失的，应在接到付款通知后15日内补付货款，且承担本批次货款的5%的违约金。</w:t>
      </w:r>
    </w:p>
    <w:p w14:paraId="7BAD0D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14、合作期间，未经甲方同意，乙方不得将合同所列条款私自转包，一经发现，甲方有权拒付未结货款，停止与乙方合作，并</w:t>
      </w:r>
      <w:r>
        <w:rPr>
          <w:rFonts w:hint="eastAsia" w:asciiTheme="minorEastAsia" w:hAnsiTheme="minorEastAsia" w:cstheme="minorEastAsia"/>
          <w:color w:val="auto"/>
          <w:kern w:val="0"/>
          <w:sz w:val="24"/>
          <w:szCs w:val="24"/>
          <w:highlight w:val="none"/>
          <w:lang w:val="en-US" w:eastAsia="zh-CN"/>
        </w:rPr>
        <w:t>终止合同</w:t>
      </w:r>
      <w:r>
        <w:rPr>
          <w:rFonts w:hint="eastAsia" w:asciiTheme="minorEastAsia" w:hAnsiTheme="minorEastAsia" w:eastAsiaTheme="minorEastAsia" w:cstheme="minorEastAsia"/>
          <w:color w:val="auto"/>
          <w:kern w:val="0"/>
          <w:sz w:val="24"/>
          <w:szCs w:val="24"/>
          <w:highlight w:val="none"/>
          <w:lang w:eastAsia="zh-CN"/>
        </w:rPr>
        <w:t>。</w:t>
      </w:r>
    </w:p>
    <w:p w14:paraId="2AB2E3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val="en-US" w:eastAsia="zh-CN"/>
        </w:rPr>
        <w:t>、本项目的送货地址是：南京市浦口区百合路248号</w:t>
      </w:r>
    </w:p>
    <w:p w14:paraId="17698F3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baseline"/>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八、履约保证金</w:t>
      </w:r>
    </w:p>
    <w:p w14:paraId="0322AE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签订合同前，各标段中标人需支付</w:t>
      </w:r>
      <w:r>
        <w:rPr>
          <w:rFonts w:hint="eastAsia" w:asciiTheme="minorEastAsia" w:hAnsiTheme="minorEastAsia" w:eastAsiaTheme="minorEastAsia" w:cstheme="minorEastAsia"/>
          <w:color w:val="auto"/>
          <w:kern w:val="0"/>
          <w:sz w:val="24"/>
          <w:szCs w:val="24"/>
          <w:highlight w:val="none"/>
          <w:lang w:val="en-US" w:eastAsia="zh-CN"/>
        </w:rPr>
        <w:t>各标段预算金额的10%</w:t>
      </w:r>
      <w:r>
        <w:rPr>
          <w:rFonts w:hint="eastAsia" w:asciiTheme="minorEastAsia" w:hAnsiTheme="minorEastAsia" w:eastAsiaTheme="minorEastAsia" w:cstheme="minorEastAsia"/>
          <w:color w:val="auto"/>
          <w:kern w:val="0"/>
          <w:sz w:val="24"/>
          <w:szCs w:val="24"/>
          <w:highlight w:val="none"/>
        </w:rPr>
        <w:t>作为本项目的履约保证金，服务期满后，如无问题无息退还（在此期间中标人提供的服务</w:t>
      </w:r>
      <w:r>
        <w:rPr>
          <w:rFonts w:hint="eastAsia" w:asciiTheme="minorEastAsia" w:hAnsiTheme="minorEastAsia" w:cstheme="minorEastAsia"/>
          <w:color w:val="auto"/>
          <w:kern w:val="0"/>
          <w:sz w:val="24"/>
          <w:szCs w:val="24"/>
          <w:highlight w:val="none"/>
          <w:lang w:val="en-US" w:eastAsia="zh-CN"/>
        </w:rPr>
        <w:t>或产品</w:t>
      </w:r>
      <w:r>
        <w:rPr>
          <w:rFonts w:hint="eastAsia" w:asciiTheme="minorEastAsia" w:hAnsiTheme="minorEastAsia" w:eastAsiaTheme="minorEastAsia" w:cstheme="minorEastAsia"/>
          <w:color w:val="auto"/>
          <w:kern w:val="0"/>
          <w:sz w:val="24"/>
          <w:szCs w:val="24"/>
          <w:highlight w:val="none"/>
        </w:rPr>
        <w:t>不合格，招标人有权酌情扣除或不予</w:t>
      </w:r>
      <w:r>
        <w:rPr>
          <w:rFonts w:hint="eastAsia" w:asciiTheme="minorEastAsia" w:hAnsiTheme="minorEastAsia" w:cstheme="minorEastAsia"/>
          <w:color w:val="auto"/>
          <w:kern w:val="0"/>
          <w:sz w:val="24"/>
          <w:szCs w:val="24"/>
          <w:highlight w:val="none"/>
          <w:lang w:val="en-US" w:eastAsia="zh-CN"/>
        </w:rPr>
        <w:t>退还</w:t>
      </w:r>
      <w:r>
        <w:rPr>
          <w:rFonts w:hint="eastAsia" w:asciiTheme="minorEastAsia" w:hAnsiTheme="minorEastAsia" w:eastAsiaTheme="minorEastAsia" w:cstheme="minorEastAsia"/>
          <w:color w:val="auto"/>
          <w:kern w:val="0"/>
          <w:sz w:val="24"/>
          <w:szCs w:val="24"/>
          <w:highlight w:val="none"/>
        </w:rPr>
        <w:t>）。</w:t>
      </w:r>
    </w:p>
    <w:p w14:paraId="22521879">
      <w:pPr>
        <w:adjustRightInd w:val="0"/>
        <w:snapToGrid w:val="0"/>
        <w:spacing w:line="360" w:lineRule="auto"/>
        <w:ind w:firstLine="482" w:firstLineChars="200"/>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附件：采购清单</w:t>
      </w:r>
    </w:p>
    <w:p w14:paraId="2408D932">
      <w:pPr>
        <w:adjustRightInd w:val="0"/>
        <w:snapToGrid w:val="0"/>
        <w:spacing w:line="360" w:lineRule="auto"/>
        <w:ind w:firstLine="482" w:firstLineChars="200"/>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标段一：肉、禽类、水产品类</w:t>
      </w:r>
    </w:p>
    <w:tbl>
      <w:tblPr>
        <w:tblStyle w:val="43"/>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7"/>
        <w:gridCol w:w="545"/>
        <w:gridCol w:w="1474"/>
        <w:gridCol w:w="2439"/>
        <w:gridCol w:w="2613"/>
        <w:gridCol w:w="890"/>
        <w:gridCol w:w="1011"/>
      </w:tblGrid>
      <w:tr w14:paraId="0F8B0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FB6A85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南京校区三楼教工食堂食材拟采购清单（本单为6个月量）</w:t>
            </w:r>
          </w:p>
        </w:tc>
      </w:tr>
      <w:tr w14:paraId="53E6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722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类别</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3C2C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序号</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869E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品名</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1DEB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规格型号</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878C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质量标准</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507B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计量单位</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18DF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计划采购量</w:t>
            </w:r>
          </w:p>
        </w:tc>
      </w:tr>
      <w:tr w14:paraId="3664B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573C3">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Style w:val="252"/>
                <w:rFonts w:hint="eastAsia" w:asciiTheme="minorEastAsia" w:hAnsiTheme="minorEastAsia" w:eastAsiaTheme="minorEastAsia" w:cstheme="minorEastAsia"/>
                <w:color w:val="auto"/>
                <w:sz w:val="21"/>
                <w:szCs w:val="21"/>
                <w:highlight w:val="none"/>
                <w:lang w:val="en-US" w:eastAsia="zh-CN" w:bidi="ar"/>
              </w:rPr>
            </w:pPr>
            <w:r>
              <w:rPr>
                <w:rStyle w:val="252"/>
                <w:rFonts w:hint="eastAsia" w:asciiTheme="minorEastAsia" w:hAnsiTheme="minorEastAsia" w:eastAsiaTheme="minorEastAsia" w:cstheme="minorEastAsia"/>
                <w:color w:val="auto"/>
                <w:sz w:val="21"/>
                <w:szCs w:val="21"/>
                <w:highlight w:val="none"/>
                <w:lang w:val="en-US" w:eastAsia="zh-CN" w:bidi="ar"/>
              </w:rPr>
              <w:t>肉</w:t>
            </w:r>
          </w:p>
          <w:p w14:paraId="2DC52197">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Style w:val="252"/>
                <w:rFonts w:hint="eastAsia" w:asciiTheme="minorEastAsia" w:hAnsiTheme="minorEastAsia" w:cstheme="minorEastAsia"/>
                <w:color w:val="auto"/>
                <w:sz w:val="21"/>
                <w:szCs w:val="21"/>
                <w:highlight w:val="none"/>
                <w:lang w:val="en-US" w:eastAsia="zh-CN" w:bidi="ar"/>
              </w:rPr>
            </w:pPr>
            <w:r>
              <w:rPr>
                <w:rStyle w:val="252"/>
                <w:rFonts w:hint="eastAsia" w:asciiTheme="minorEastAsia" w:hAnsiTheme="minorEastAsia" w:cstheme="minorEastAsia"/>
                <w:color w:val="auto"/>
                <w:sz w:val="21"/>
                <w:szCs w:val="21"/>
                <w:highlight w:val="none"/>
                <w:lang w:val="en-US" w:eastAsia="zh-CN" w:bidi="ar"/>
              </w:rPr>
              <w:t>禽</w:t>
            </w:r>
          </w:p>
          <w:p w14:paraId="04281F00">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eastAsia" w:asciiTheme="minorEastAsia" w:hAnsiTheme="minorEastAsia" w:eastAsiaTheme="minorEastAsia" w:cstheme="minorEastAsia"/>
                <w:i w:val="0"/>
                <w:iCs w:val="0"/>
                <w:color w:val="auto"/>
                <w:sz w:val="21"/>
                <w:szCs w:val="21"/>
                <w:highlight w:val="none"/>
                <w:u w:val="none"/>
              </w:rPr>
            </w:pPr>
            <w:r>
              <w:rPr>
                <w:rStyle w:val="253"/>
                <w:rFonts w:hint="eastAsia" w:asciiTheme="minorEastAsia" w:hAnsiTheme="minorEastAsia" w:eastAsiaTheme="minorEastAsia" w:cstheme="minorEastAsia"/>
                <w:color w:val="auto"/>
                <w:sz w:val="21"/>
                <w:szCs w:val="21"/>
                <w:highlight w:val="none"/>
                <w:lang w:val="en-US" w:eastAsia="zh-CN" w:bidi="ar"/>
              </w:rPr>
              <w:t>类</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637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334A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牛腩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F609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整片</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8451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7CF3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D17F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450 </w:t>
            </w:r>
          </w:p>
        </w:tc>
      </w:tr>
      <w:tr w14:paraId="25306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E2622">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EA8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2762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牛腱肉</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F213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整片</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244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0FEC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B9C9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19A74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7BDEC">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EDF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D3C5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牛腿肉</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991A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整片</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6E69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98AF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C369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300 </w:t>
            </w:r>
          </w:p>
        </w:tc>
      </w:tr>
      <w:tr w14:paraId="2F33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3E1AB">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F4E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8F80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牛里脊</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06AB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整片</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E11A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590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CD97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165C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20A4B">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75DE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695F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牛柳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45F6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整片</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C57B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E1DA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B51F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333D3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45DA4">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900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17A2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羊肉</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01C2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整片</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4F47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12B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40E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60E6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20E0E">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C53A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6265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红毛鸡</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FCDE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整片</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B12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4040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F67F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650 </w:t>
            </w:r>
          </w:p>
        </w:tc>
      </w:tr>
      <w:tr w14:paraId="477F5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5C393">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D38E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607A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三黄鸡</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382E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整片</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C96A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78A5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9BA9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550 </w:t>
            </w:r>
          </w:p>
        </w:tc>
      </w:tr>
      <w:tr w14:paraId="7E218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3F2C9">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FB3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F6C6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黑脚鸡</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F31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整片</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8D2C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7F87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4D82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250 </w:t>
            </w:r>
          </w:p>
        </w:tc>
      </w:tr>
      <w:tr w14:paraId="588F9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9BE78">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AFCF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8B0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老母鸡</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E86B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整片</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F3F8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736E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FD83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5F340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75864">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A00F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11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92AC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麻鸭</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369F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整片</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4398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5854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8D9F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3D1DB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9BAB3">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EA06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12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E88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光鸭</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E675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整片</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DD8B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冷鲜</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2B70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7365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500 </w:t>
            </w:r>
          </w:p>
        </w:tc>
      </w:tr>
      <w:tr w14:paraId="3F346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95F89">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C2B3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13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6B21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仔鹅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1876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整片</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73A3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6FD0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2FC3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223B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F6A7A">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CCF7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14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4B12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鸭血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9D0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B22D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3E59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盒</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17B4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250 </w:t>
            </w:r>
          </w:p>
        </w:tc>
      </w:tr>
      <w:tr w14:paraId="6E3D5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FE1A7">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9D54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FAC4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净鸭肠</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A6A7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69CC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3902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20C9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6D29C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62E56">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06E7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16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F95A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鲜鸭心</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06BB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27D1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2871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653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5C92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BD91E">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19EB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17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951C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鲜鸭肝</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582B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C148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0A99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105D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7FBC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054B1">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47DA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18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E16E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鲜鸭盹</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828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240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276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905E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62BF4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0ED9C">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2066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19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41C0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鸡杂</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E2A2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3DE9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AFBE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AC1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71D8A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3CF74">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762E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39F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烤鸭</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DD6A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CB5F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A95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9541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300 </w:t>
            </w:r>
          </w:p>
        </w:tc>
      </w:tr>
      <w:tr w14:paraId="3495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4A8D4">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FB23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21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E20B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盐水鸭</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0C7C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3875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CF86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F8F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5E17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9AC9D">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90AC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22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1EBA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盐水鹅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924A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D578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E952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1948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1D409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29296">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8909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23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778C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cstheme="minorEastAsia"/>
                <w:color w:val="auto"/>
                <w:sz w:val="21"/>
                <w:szCs w:val="21"/>
                <w:highlight w:val="none"/>
                <w:lang w:val="en-US" w:eastAsia="zh-CN" w:bidi="ar"/>
              </w:rPr>
              <w:t>鹌鹑蛋</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C4C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499F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F3EE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BB2E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2E68A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320D6">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0874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253B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中鸡蛋</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602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D3D3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A36F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ECB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7500 </w:t>
            </w:r>
          </w:p>
        </w:tc>
      </w:tr>
      <w:tr w14:paraId="6CB3F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140D8">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Style w:val="253"/>
                <w:rFonts w:hint="eastAsia" w:asciiTheme="minorEastAsia" w:hAnsiTheme="minorEastAsia" w:eastAsiaTheme="minorEastAsia" w:cstheme="minorEastAsia"/>
                <w:color w:val="auto"/>
                <w:sz w:val="21"/>
                <w:szCs w:val="21"/>
                <w:highlight w:val="none"/>
                <w:lang w:val="en-US" w:eastAsia="zh-CN" w:bidi="ar"/>
              </w:rPr>
            </w:pPr>
            <w:r>
              <w:rPr>
                <w:rStyle w:val="253"/>
                <w:rFonts w:hint="eastAsia" w:asciiTheme="minorEastAsia" w:hAnsiTheme="minorEastAsia" w:eastAsiaTheme="minorEastAsia" w:cstheme="minorEastAsia"/>
                <w:color w:val="auto"/>
                <w:sz w:val="21"/>
                <w:szCs w:val="21"/>
                <w:highlight w:val="none"/>
                <w:lang w:val="en-US" w:eastAsia="zh-CN" w:bidi="ar"/>
              </w:rPr>
              <w:t>肉</w:t>
            </w:r>
          </w:p>
          <w:p w14:paraId="2DA98A71">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类</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C9C4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0C18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肋排</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C9C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2C4D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02CE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8EA9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600 </w:t>
            </w:r>
          </w:p>
        </w:tc>
      </w:tr>
      <w:tr w14:paraId="7C402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95E7C5">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4EC1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0C6D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仔排</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4837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9862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D0AA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FF85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5FEE6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EB1C36">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308C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9FA0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筒子骨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1202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6C85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EAD4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4B25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600 </w:t>
            </w:r>
          </w:p>
        </w:tc>
      </w:tr>
      <w:tr w14:paraId="0B15B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F24855">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8767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F365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带筋前猪爪</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F88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8B21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C6B0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C53E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300 </w:t>
            </w:r>
          </w:p>
        </w:tc>
      </w:tr>
      <w:tr w14:paraId="56ED9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CB47EE">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05D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9559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带筋后猪爪</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7E1A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81F7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B7B3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AD2B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250 </w:t>
            </w:r>
          </w:p>
        </w:tc>
      </w:tr>
      <w:tr w14:paraId="57403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9FA642">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DF5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C5A1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猪肚</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B639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9B02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613E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387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r>
      <w:tr w14:paraId="5C97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7E1ABB">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3378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A4DB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猪肝</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F678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1F04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58C0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74B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 </w:t>
            </w:r>
          </w:p>
        </w:tc>
      </w:tr>
      <w:tr w14:paraId="3AF3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D0B093">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94A1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C4B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猪心</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6F60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E1AF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3105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322A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 </w:t>
            </w:r>
          </w:p>
        </w:tc>
      </w:tr>
      <w:tr w14:paraId="7357D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470903">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418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8F01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猪腰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AE0E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C51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A128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F46F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 </w:t>
            </w:r>
          </w:p>
        </w:tc>
      </w:tr>
      <w:tr w14:paraId="6CBEA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234D0F">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9C72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67F2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熟肥肠</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D20F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08DC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679D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C245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28F72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F3A0C4">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2BB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11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23BD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猪肺</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93FF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0B2A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8026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个</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86BD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 </w:t>
            </w:r>
          </w:p>
        </w:tc>
      </w:tr>
      <w:tr w14:paraId="2BCC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4AEA21">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E9F0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12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A8D7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板油</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9E35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9D6F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E794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35C1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091C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96A9C0">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0E71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13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7E76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肥膘</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C25F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638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80E2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590E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6F12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899F0E">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EDD1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14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DB18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五花肉</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6C48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24B9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A07F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0723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550 </w:t>
            </w:r>
          </w:p>
        </w:tc>
      </w:tr>
      <w:tr w14:paraId="6B6AE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C2D6AE">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DB3D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061F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精五花肉</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2C7D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6023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CA24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1E8A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250 </w:t>
            </w:r>
          </w:p>
        </w:tc>
      </w:tr>
      <w:tr w14:paraId="7742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B4A52F">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FE84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16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2756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鲜大排</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3146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C68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F125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98B5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4E6C8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C71120">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74E6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17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C4E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前腿肉</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FB5C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976D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14D4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842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600 </w:t>
            </w:r>
          </w:p>
        </w:tc>
      </w:tr>
      <w:tr w14:paraId="54B53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015702">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1204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18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C463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后腿肉</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E3ED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994F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2640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5715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450 </w:t>
            </w:r>
          </w:p>
        </w:tc>
      </w:tr>
      <w:tr w14:paraId="4F0A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FF5A42">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6DA2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19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EF72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猪蹄膀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FA97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3CF1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E411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39FC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3CD6F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FD2D05">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96EF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A16F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肉沫肉丝</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6B1E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832C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A72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6D65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1F983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A6B13F">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2D65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21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84B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瘦肉丝</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D46F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7E8F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AC8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B65D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250 </w:t>
            </w:r>
          </w:p>
        </w:tc>
      </w:tr>
      <w:tr w14:paraId="32435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FECDAC">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74C9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22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C7CF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猪头肉</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B820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5CF1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813C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7035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1B2C9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3DB8BB">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F67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23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60CB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酱牛肉</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C56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703C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361A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07FD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60 </w:t>
            </w:r>
          </w:p>
        </w:tc>
      </w:tr>
      <w:tr w14:paraId="6343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58875B">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20D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400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鱼圆</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937F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1537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3CCF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0CE9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 </w:t>
            </w:r>
          </w:p>
        </w:tc>
      </w:tr>
      <w:tr w14:paraId="37E6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A76874C">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5BF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9EE5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里脊</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16D8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B9C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新鲜</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非冷藏冷冻</w:t>
            </w:r>
            <w:r>
              <w:rPr>
                <w:rStyle w:val="252"/>
                <w:rFonts w:hint="eastAsia" w:asciiTheme="minorEastAsia" w:hAnsiTheme="minorEastAsia" w:cstheme="minorEastAsia"/>
                <w:color w:val="auto"/>
                <w:sz w:val="21"/>
                <w:szCs w:val="21"/>
                <w:highlight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54D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BB15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63984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78FB7C">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264F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26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F79F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腊肉</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41A0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D2D2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05A9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276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4E53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1A9F35">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DCD2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27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454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咸肉</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B1F3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C7F1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4AE7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E26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 </w:t>
            </w:r>
          </w:p>
        </w:tc>
      </w:tr>
      <w:tr w14:paraId="594FA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DC2152">
            <w:pPr>
              <w:keepNext w:val="0"/>
              <w:keepLines w:val="0"/>
              <w:pageBreakBefore w:val="0"/>
              <w:widowControl/>
              <w:kinsoku/>
              <w:wordWrap/>
              <w:overflowPunct/>
              <w:topLinePunct w:val="0"/>
              <w:autoSpaceDE/>
              <w:autoSpaceDN/>
              <w:bidi w:val="0"/>
              <w:adjustRightInd/>
              <w:snapToGrid/>
              <w:ind w:firstLineChars="0"/>
              <w:jc w:val="left"/>
              <w:rPr>
                <w:rFonts w:hint="eastAsia" w:asciiTheme="minorEastAsia" w:hAnsiTheme="minorEastAsia" w:eastAsiaTheme="minorEastAsia" w:cstheme="minorEastAsia"/>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4B1E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28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7525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咸猪手</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0DEA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散装</w:t>
            </w:r>
            <w:r>
              <w:rPr>
                <w:rStyle w:val="252"/>
                <w:rFonts w:hint="eastAsia" w:asciiTheme="minorEastAsia" w:hAnsiTheme="minorEastAsia" w:cstheme="minorEastAsia"/>
                <w:color w:val="auto"/>
                <w:sz w:val="21"/>
                <w:szCs w:val="21"/>
                <w:highlight w:val="none"/>
                <w:lang w:val="en-US" w:eastAsia="zh-CN" w:bidi="ar"/>
              </w:rPr>
              <w:t>（</w:t>
            </w:r>
            <w:r>
              <w:rPr>
                <w:rStyle w:val="252"/>
                <w:rFonts w:hint="eastAsia" w:asciiTheme="minorEastAsia" w:hAnsiTheme="minorEastAsia" w:eastAsiaTheme="minorEastAsia" w:cstheme="minorEastAsia"/>
                <w:color w:val="auto"/>
                <w:sz w:val="21"/>
                <w:szCs w:val="21"/>
                <w:highlight w:val="none"/>
                <w:lang w:val="en-US" w:eastAsia="zh-CN" w:bidi="ar"/>
              </w:rPr>
              <w:t>按要求加工</w:t>
            </w:r>
            <w:r>
              <w:rPr>
                <w:rStyle w:val="252"/>
                <w:rFonts w:hint="eastAsia" w:asciiTheme="minorEastAsia" w:hAnsiTheme="minorEastAsia" w:cstheme="minorEastAsia"/>
                <w:color w:val="auto"/>
                <w:sz w:val="21"/>
                <w:szCs w:val="21"/>
                <w:highlight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9809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EF59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Style w:val="252"/>
                <w:rFonts w:hint="eastAsia" w:asciiTheme="minorEastAsia" w:hAnsiTheme="minorEastAsia" w:eastAsiaTheme="minorEastAsia" w:cstheme="minorEastAsia"/>
                <w:color w:val="auto"/>
                <w:sz w:val="21"/>
                <w:szCs w:val="21"/>
                <w:highlight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2A57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60 </w:t>
            </w:r>
          </w:p>
        </w:tc>
      </w:tr>
      <w:tr w14:paraId="0979B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restart"/>
            <w:tcBorders>
              <w:top w:val="single" w:color="000000" w:sz="4" w:space="0"/>
              <w:left w:val="single" w:color="000000" w:sz="4" w:space="0"/>
              <w:right w:val="single" w:color="000000" w:sz="4" w:space="0"/>
            </w:tcBorders>
            <w:shd w:val="clear" w:color="auto" w:fill="auto"/>
            <w:vAlign w:val="center"/>
          </w:tcPr>
          <w:p w14:paraId="225C752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cstheme="minorEastAsia"/>
                <w:i w:val="0"/>
                <w:iCs w:val="0"/>
                <w:color w:val="auto"/>
                <w:sz w:val="21"/>
                <w:szCs w:val="21"/>
                <w:highlight w:val="none"/>
                <w:u w:val="none"/>
                <w:lang w:val="en-US" w:eastAsia="zh-CN"/>
              </w:rPr>
              <w:t>水产类</w:t>
            </w:r>
          </w:p>
        </w:tc>
        <w:tc>
          <w:tcPr>
            <w:tcW w:w="282" w:type="pct"/>
            <w:tcBorders>
              <w:top w:val="single" w:color="000000" w:sz="4" w:space="0"/>
              <w:left w:val="single" w:color="000000" w:sz="4" w:space="0"/>
              <w:right w:val="single" w:color="000000" w:sz="4" w:space="0"/>
            </w:tcBorders>
            <w:shd w:val="clear" w:color="auto" w:fill="auto"/>
            <w:vAlign w:val="center"/>
          </w:tcPr>
          <w:p w14:paraId="1A8CF6B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 </w:t>
            </w:r>
          </w:p>
        </w:tc>
        <w:tc>
          <w:tcPr>
            <w:tcW w:w="762" w:type="pct"/>
            <w:tcBorders>
              <w:top w:val="single" w:color="000000" w:sz="4" w:space="0"/>
              <w:left w:val="single" w:color="000000" w:sz="4" w:space="0"/>
              <w:right w:val="single" w:color="000000" w:sz="4" w:space="0"/>
            </w:tcBorders>
            <w:shd w:val="clear" w:color="auto" w:fill="auto"/>
            <w:vAlign w:val="center"/>
          </w:tcPr>
          <w:p w14:paraId="5F356D2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花鲢鱼头</w:t>
            </w:r>
          </w:p>
        </w:tc>
        <w:tc>
          <w:tcPr>
            <w:tcW w:w="1261" w:type="pct"/>
            <w:tcBorders>
              <w:top w:val="single" w:color="000000" w:sz="4" w:space="0"/>
              <w:left w:val="single" w:color="000000" w:sz="4" w:space="0"/>
              <w:right w:val="single" w:color="000000" w:sz="4" w:space="0"/>
            </w:tcBorders>
            <w:shd w:val="clear" w:color="auto" w:fill="auto"/>
            <w:vAlign w:val="center"/>
          </w:tcPr>
          <w:p w14:paraId="2F5E80B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3斤左右</w:t>
            </w:r>
          </w:p>
        </w:tc>
        <w:tc>
          <w:tcPr>
            <w:tcW w:w="1351" w:type="pct"/>
            <w:tcBorders>
              <w:top w:val="single" w:color="000000" w:sz="4" w:space="0"/>
              <w:left w:val="single" w:color="000000" w:sz="4" w:space="0"/>
              <w:right w:val="single" w:color="000000" w:sz="4" w:space="0"/>
            </w:tcBorders>
            <w:shd w:val="clear" w:color="auto" w:fill="auto"/>
            <w:vAlign w:val="center"/>
          </w:tcPr>
          <w:p w14:paraId="5BBFE08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新鲜，宰杀利用率85%及以上</w:t>
            </w:r>
          </w:p>
        </w:tc>
        <w:tc>
          <w:tcPr>
            <w:tcW w:w="460" w:type="pct"/>
            <w:tcBorders>
              <w:top w:val="single" w:color="000000" w:sz="4" w:space="0"/>
              <w:left w:val="single" w:color="000000" w:sz="4" w:space="0"/>
              <w:right w:val="single" w:color="000000" w:sz="4" w:space="0"/>
            </w:tcBorders>
            <w:shd w:val="clear" w:color="auto" w:fill="auto"/>
            <w:vAlign w:val="center"/>
          </w:tcPr>
          <w:p w14:paraId="3DB2FF4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B18E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 </w:t>
            </w:r>
          </w:p>
        </w:tc>
      </w:tr>
      <w:tr w14:paraId="17863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left w:val="single" w:color="000000" w:sz="4" w:space="0"/>
              <w:right w:val="single" w:color="000000" w:sz="4" w:space="0"/>
            </w:tcBorders>
            <w:shd w:val="clear" w:color="auto" w:fill="D9E1F2"/>
            <w:textDirection w:val="tbRlV"/>
            <w:vAlign w:val="center"/>
          </w:tcPr>
          <w:p w14:paraId="2500A0C6">
            <w:pPr>
              <w:jc w:val="center"/>
              <w:rPr>
                <w:rFonts w:hint="eastAsia" w:ascii="宋体" w:hAnsi="宋体" w:eastAsia="宋体" w:cs="宋体"/>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05BF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ABC1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花鲢</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25C4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6斤以上</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C99F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新鲜，宰杀利用率85%及以上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9D5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CA5D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 </w:t>
            </w:r>
          </w:p>
        </w:tc>
      </w:tr>
      <w:tr w14:paraId="3B72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left w:val="single" w:color="000000" w:sz="4" w:space="0"/>
              <w:right w:val="single" w:color="000000" w:sz="4" w:space="0"/>
            </w:tcBorders>
            <w:shd w:val="clear" w:color="auto" w:fill="D9E1F2"/>
            <w:textDirection w:val="tbRlV"/>
            <w:vAlign w:val="center"/>
          </w:tcPr>
          <w:p w14:paraId="4FDBE610">
            <w:pPr>
              <w:jc w:val="center"/>
              <w:rPr>
                <w:rFonts w:hint="eastAsia" w:ascii="宋体" w:hAnsi="宋体" w:eastAsia="宋体" w:cs="宋体"/>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CE26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A1D8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草鱼</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D23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5斤左右</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677D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新鲜，宰杀利用率85%及以上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5F27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7EB8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550 </w:t>
            </w:r>
          </w:p>
        </w:tc>
      </w:tr>
      <w:tr w14:paraId="4AA6F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1" w:type="pct"/>
            <w:vMerge w:val="continue"/>
            <w:tcBorders>
              <w:left w:val="single" w:color="000000" w:sz="4" w:space="0"/>
              <w:right w:val="single" w:color="000000" w:sz="4" w:space="0"/>
            </w:tcBorders>
            <w:shd w:val="clear" w:color="auto" w:fill="D9E1F2"/>
            <w:textDirection w:val="tbRlV"/>
            <w:vAlign w:val="center"/>
          </w:tcPr>
          <w:p w14:paraId="01A3D764">
            <w:pPr>
              <w:jc w:val="center"/>
              <w:rPr>
                <w:rFonts w:hint="eastAsia" w:ascii="宋体" w:hAnsi="宋体" w:eastAsia="宋体" w:cs="宋体"/>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07DA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CD42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鲫鱼</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B499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3两左右</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006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新鲜，宰杀利用率85%及以上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6AF8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240B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300 </w:t>
            </w:r>
          </w:p>
        </w:tc>
      </w:tr>
      <w:tr w14:paraId="70E12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left w:val="single" w:color="000000" w:sz="4" w:space="0"/>
              <w:right w:val="single" w:color="000000" w:sz="4" w:space="0"/>
            </w:tcBorders>
            <w:shd w:val="clear" w:color="auto" w:fill="D9E1F2"/>
            <w:textDirection w:val="tbRlV"/>
            <w:vAlign w:val="center"/>
          </w:tcPr>
          <w:p w14:paraId="13BE6979">
            <w:pPr>
              <w:jc w:val="center"/>
              <w:rPr>
                <w:rFonts w:hint="eastAsia" w:ascii="宋体" w:hAnsi="宋体" w:eastAsia="宋体" w:cs="宋体"/>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35B3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6D53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白鱼</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1C7F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3.5斤左右</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9106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新鲜，宰杀利用率85%及以上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2A8D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002C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r>
      <w:tr w14:paraId="15712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left w:val="single" w:color="000000" w:sz="4" w:space="0"/>
              <w:right w:val="single" w:color="000000" w:sz="4" w:space="0"/>
            </w:tcBorders>
            <w:shd w:val="clear" w:color="auto" w:fill="D9E1F2"/>
            <w:textDirection w:val="tbRlV"/>
            <w:vAlign w:val="center"/>
          </w:tcPr>
          <w:p w14:paraId="32D3FBBC">
            <w:pPr>
              <w:jc w:val="center"/>
              <w:rPr>
                <w:rFonts w:hint="eastAsia" w:ascii="宋体" w:hAnsi="宋体" w:eastAsia="宋体" w:cs="宋体"/>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446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925B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昂刺鱼</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BDDD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四两左右</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B794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新鲜，宰杀利用率85%及以上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53E0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011E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0AE0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1" w:type="pct"/>
            <w:vMerge w:val="continue"/>
            <w:tcBorders>
              <w:left w:val="single" w:color="000000" w:sz="4" w:space="0"/>
              <w:right w:val="single" w:color="000000" w:sz="4" w:space="0"/>
            </w:tcBorders>
            <w:shd w:val="clear" w:color="auto" w:fill="D9E1F2"/>
            <w:textDirection w:val="tbRlV"/>
            <w:vAlign w:val="center"/>
          </w:tcPr>
          <w:p w14:paraId="20BC73C9">
            <w:pPr>
              <w:jc w:val="center"/>
              <w:rPr>
                <w:rFonts w:hint="eastAsia" w:ascii="宋体" w:hAnsi="宋体" w:eastAsia="宋体" w:cs="宋体"/>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AA75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4B72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鲈鱼</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56FC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6两</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1.3斤</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大</w:t>
            </w: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AFB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新鲜，宰杀利用率85%及以上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32B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F585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7308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left w:val="single" w:color="000000" w:sz="4" w:space="0"/>
              <w:right w:val="single" w:color="000000" w:sz="4" w:space="0"/>
            </w:tcBorders>
            <w:shd w:val="clear" w:color="auto" w:fill="D9E1F2"/>
            <w:textDirection w:val="tbRlV"/>
            <w:vAlign w:val="center"/>
          </w:tcPr>
          <w:p w14:paraId="360290EE">
            <w:pPr>
              <w:jc w:val="center"/>
              <w:rPr>
                <w:rFonts w:hint="eastAsia" w:ascii="宋体" w:hAnsi="宋体" w:eastAsia="宋体" w:cs="宋体"/>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F80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8</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8880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桂鱼</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C437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1.5斤/条40</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26B2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新鲜，宰杀利用率85%及以上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8ECB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CDFD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20308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left w:val="single" w:color="000000" w:sz="4" w:space="0"/>
              <w:right w:val="single" w:color="000000" w:sz="4" w:space="0"/>
            </w:tcBorders>
            <w:shd w:val="clear" w:color="auto" w:fill="D9E1F2"/>
            <w:textDirection w:val="tbRlV"/>
            <w:vAlign w:val="center"/>
          </w:tcPr>
          <w:p w14:paraId="333CC060">
            <w:pPr>
              <w:jc w:val="center"/>
              <w:rPr>
                <w:rFonts w:hint="eastAsia" w:ascii="宋体" w:hAnsi="宋体" w:eastAsia="宋体" w:cs="宋体"/>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8052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9</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ECA3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沙虾</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D751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32个/斤</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1C08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新鲜，宰杀利用率85%及以上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767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55F9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400 </w:t>
            </w:r>
          </w:p>
        </w:tc>
      </w:tr>
      <w:tr w14:paraId="6D3A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left w:val="single" w:color="000000" w:sz="4" w:space="0"/>
              <w:right w:val="single" w:color="000000" w:sz="4" w:space="0"/>
            </w:tcBorders>
            <w:shd w:val="clear" w:color="auto" w:fill="D9E1F2"/>
            <w:textDirection w:val="tbRlV"/>
            <w:vAlign w:val="center"/>
          </w:tcPr>
          <w:p w14:paraId="3B84D059">
            <w:pPr>
              <w:jc w:val="center"/>
              <w:rPr>
                <w:rFonts w:hint="eastAsia" w:ascii="宋体" w:hAnsi="宋体" w:eastAsia="宋体" w:cs="宋体"/>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771F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BF8E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保鲜黄鱼</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FEC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3两左右</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3B7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新鲜，宰杀利用率85%及以上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F15C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89D7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45 </w:t>
            </w:r>
          </w:p>
        </w:tc>
      </w:tr>
      <w:tr w14:paraId="60E3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left w:val="single" w:color="000000" w:sz="4" w:space="0"/>
              <w:right w:val="single" w:color="000000" w:sz="4" w:space="0"/>
            </w:tcBorders>
            <w:shd w:val="clear" w:color="auto" w:fill="D9E1F2"/>
            <w:textDirection w:val="tbRlV"/>
            <w:vAlign w:val="center"/>
          </w:tcPr>
          <w:p w14:paraId="6CEDB4F1">
            <w:pPr>
              <w:jc w:val="center"/>
              <w:rPr>
                <w:rFonts w:hint="eastAsia" w:ascii="宋体" w:hAnsi="宋体" w:eastAsia="宋体" w:cs="宋体"/>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BA87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11</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0A7D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马鲛鱼</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A741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六两左右</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B371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新鲜，宰杀利用率85%及以上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EA4A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A7B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433B0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left w:val="single" w:color="000000" w:sz="4" w:space="0"/>
              <w:right w:val="single" w:color="000000" w:sz="4" w:space="0"/>
            </w:tcBorders>
            <w:shd w:val="clear" w:color="auto" w:fill="D9E1F2"/>
            <w:textDirection w:val="tbRlV"/>
            <w:vAlign w:val="center"/>
          </w:tcPr>
          <w:p w14:paraId="1A91C973">
            <w:pPr>
              <w:jc w:val="center"/>
              <w:rPr>
                <w:rFonts w:hint="eastAsia" w:ascii="宋体" w:hAnsi="宋体" w:eastAsia="宋体" w:cs="宋体"/>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5B75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12</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2EA4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海鲈鱼</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7494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六两左右</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5649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新鲜，宰杀利用率85%及以上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990A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E9C5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r>
      <w:tr w14:paraId="11774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left w:val="single" w:color="000000" w:sz="4" w:space="0"/>
              <w:right w:val="single" w:color="000000" w:sz="4" w:space="0"/>
            </w:tcBorders>
            <w:shd w:val="clear" w:color="auto" w:fill="D9E1F2"/>
            <w:textDirection w:val="tbRlV"/>
            <w:vAlign w:val="center"/>
          </w:tcPr>
          <w:p w14:paraId="77F0B61C">
            <w:pPr>
              <w:jc w:val="center"/>
              <w:rPr>
                <w:rFonts w:hint="eastAsia" w:ascii="宋体" w:hAnsi="宋体" w:eastAsia="宋体" w:cs="宋体"/>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BAA7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13</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CBEC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保鲜鲳鳊鱼</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25F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四两左右</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3D6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新鲜，宰杀利用率85%及以上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4B48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5ED7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 </w:t>
            </w:r>
          </w:p>
        </w:tc>
      </w:tr>
      <w:tr w14:paraId="4053F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left w:val="single" w:color="000000" w:sz="4" w:space="0"/>
              <w:right w:val="single" w:color="000000" w:sz="4" w:space="0"/>
            </w:tcBorders>
            <w:shd w:val="clear" w:color="auto" w:fill="D9E1F2"/>
            <w:textDirection w:val="tbRlV"/>
            <w:vAlign w:val="center"/>
          </w:tcPr>
          <w:p w14:paraId="55DF808C">
            <w:pPr>
              <w:jc w:val="center"/>
              <w:rPr>
                <w:rFonts w:hint="eastAsia" w:ascii="宋体" w:hAnsi="宋体" w:eastAsia="宋体" w:cs="宋体"/>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160B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5EF6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软兜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50FC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散装</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按要求加工</w:t>
            </w: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3678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A000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AF5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 </w:t>
            </w:r>
          </w:p>
        </w:tc>
      </w:tr>
      <w:tr w14:paraId="096B1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1" w:type="pct"/>
            <w:vMerge w:val="continue"/>
            <w:tcBorders>
              <w:left w:val="single" w:color="000000" w:sz="4" w:space="0"/>
              <w:bottom w:val="single" w:color="000000" w:sz="4" w:space="0"/>
              <w:right w:val="single" w:color="000000" w:sz="4" w:space="0"/>
            </w:tcBorders>
            <w:shd w:val="clear" w:color="auto" w:fill="D9E1F2"/>
            <w:textDirection w:val="tbRlV"/>
            <w:vAlign w:val="center"/>
          </w:tcPr>
          <w:p w14:paraId="5105A4C0">
            <w:pPr>
              <w:jc w:val="center"/>
              <w:rPr>
                <w:rFonts w:hint="eastAsia" w:ascii="宋体" w:hAnsi="宋体" w:eastAsia="宋体" w:cs="宋体"/>
                <w:i w:val="0"/>
                <w:iCs w:val="0"/>
                <w:color w:val="auto"/>
                <w:sz w:val="21"/>
                <w:szCs w:val="21"/>
                <w:highlight w:val="none"/>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C77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15</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4250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鳝片</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CAA0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散装</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按要求加工</w:t>
            </w: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3A1C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2E58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A63B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r>
    </w:tbl>
    <w:p w14:paraId="27546125">
      <w:pPr>
        <w:adjustRightInd w:val="0"/>
        <w:snapToGrid w:val="0"/>
        <w:spacing w:line="360" w:lineRule="auto"/>
        <w:ind w:firstLine="482" w:firstLineChars="200"/>
        <w:rPr>
          <w:rFonts w:hint="eastAsia" w:asciiTheme="minorEastAsia" w:hAnsiTheme="minorEastAsia" w:cstheme="minorEastAsia"/>
          <w:b/>
          <w:bCs/>
          <w:color w:val="auto"/>
          <w:sz w:val="24"/>
          <w:szCs w:val="24"/>
          <w:highlight w:val="none"/>
          <w:lang w:val="en-US" w:eastAsia="zh-CN"/>
        </w:rPr>
      </w:pPr>
    </w:p>
    <w:p w14:paraId="67D11D53">
      <w:pPr>
        <w:adjustRightInd w:val="0"/>
        <w:snapToGrid w:val="0"/>
        <w:spacing w:line="360" w:lineRule="auto"/>
        <w:ind w:firstLine="482" w:firstLineChars="200"/>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标段二：蔬菜、豆制品、水果类</w:t>
      </w:r>
    </w:p>
    <w:tbl>
      <w:tblPr>
        <w:tblStyle w:val="43"/>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592"/>
        <w:gridCol w:w="1464"/>
        <w:gridCol w:w="2427"/>
        <w:gridCol w:w="2618"/>
        <w:gridCol w:w="890"/>
        <w:gridCol w:w="1002"/>
      </w:tblGrid>
      <w:tr w14:paraId="2669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41FC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南京校区三楼教工食堂食材拟采购清单（本单为6个月量）</w:t>
            </w:r>
          </w:p>
        </w:tc>
      </w:tr>
      <w:tr w14:paraId="32D9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FFE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类别</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34C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序号</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00D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品名</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687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规格型号</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F79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质量标准</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CB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计量单位</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BA4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计划采购量</w:t>
            </w:r>
          </w:p>
        </w:tc>
      </w:tr>
      <w:tr w14:paraId="7680F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7F1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蔬菜</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D90F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DD1B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大白菜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2B26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47E8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0236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B73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1250 </w:t>
            </w:r>
          </w:p>
        </w:tc>
      </w:tr>
      <w:tr w14:paraId="7694D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D92E6">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748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177A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杭白菜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FFDB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5E7B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59AA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B56A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900 </w:t>
            </w:r>
          </w:p>
        </w:tc>
      </w:tr>
      <w:tr w14:paraId="5255D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1CB55">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778C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5DAE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矮脚黄</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C12F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3B39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753A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324E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1400 </w:t>
            </w:r>
          </w:p>
        </w:tc>
      </w:tr>
      <w:tr w14:paraId="79672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92DAB">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E111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3D3C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大青菜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48D9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AD4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CA8B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DA75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1000 </w:t>
            </w:r>
          </w:p>
        </w:tc>
      </w:tr>
      <w:tr w14:paraId="6F8F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D93A4">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D4F9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C356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上海青</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958F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CAE5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125A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7CAB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1250 </w:t>
            </w:r>
          </w:p>
        </w:tc>
      </w:tr>
      <w:tr w14:paraId="5F0DA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42FA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925F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7006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高杆青菜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68ED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F821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C9AD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C9C7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300 </w:t>
            </w:r>
          </w:p>
        </w:tc>
      </w:tr>
      <w:tr w14:paraId="7C0C4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19200">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83B2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D437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菜秧</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198E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A2A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F8B0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07C2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2A60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BCAF5">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C8BC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E2EE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娃娃菜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B5E2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CB36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66C7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FD1B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32296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34684">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704F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35B7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有机花菜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A9C7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FEA3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DC15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B6FE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500 </w:t>
            </w:r>
          </w:p>
        </w:tc>
      </w:tr>
      <w:tr w14:paraId="4EE7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9114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B20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3DC5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净包菜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025E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05F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AE58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3D90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1100 </w:t>
            </w:r>
          </w:p>
        </w:tc>
      </w:tr>
      <w:tr w14:paraId="0899D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DFF1A">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9743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11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A10D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紫包菜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BF21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121D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C0CE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1C45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0A246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B3A09">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AD48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12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0E31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西蓝花</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EC46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270E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7ED2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CD60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250 </w:t>
            </w:r>
          </w:p>
        </w:tc>
      </w:tr>
      <w:tr w14:paraId="3DAB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276D0">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14EC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13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D18A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空心菜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4A1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259F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833D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9705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400 </w:t>
            </w:r>
          </w:p>
        </w:tc>
      </w:tr>
      <w:tr w14:paraId="5501B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A76EC">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79C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14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0398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苋菜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8928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D1A2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40EF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832D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450 </w:t>
            </w:r>
          </w:p>
        </w:tc>
      </w:tr>
      <w:tr w14:paraId="016D9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89A36">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F035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3416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油麦菜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B282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0CA7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101E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655D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350 </w:t>
            </w:r>
          </w:p>
        </w:tc>
      </w:tr>
      <w:tr w14:paraId="5EE93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60F45">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1549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16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D7C5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菠菜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8030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D9BE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19A4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12AD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300 </w:t>
            </w:r>
          </w:p>
        </w:tc>
      </w:tr>
      <w:tr w14:paraId="46A9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42BCB">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E186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17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BBE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韭菜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5B7F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E18E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D308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9D20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4EEA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0D80A">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16A6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18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BAC6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韭黄</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8EC2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FD7A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5A3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111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48613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DEAD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BA43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19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2847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韭菜苔</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999F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5F45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DB29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CF59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6DF12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0935B">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ECB7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60CE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茼蒿</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7866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7AD4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203E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070E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325 </w:t>
            </w:r>
          </w:p>
        </w:tc>
      </w:tr>
      <w:tr w14:paraId="1D03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CED1D">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03B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21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7072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长杆茼蒿</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201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BD2E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80C0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54B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10D4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97FA1">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B549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22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1D9B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净芦蒿</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45CA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936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7A9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D526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764DF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460B9">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1DD0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23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A24B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生菜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683D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1F66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A5A8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4173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450 </w:t>
            </w:r>
          </w:p>
        </w:tc>
      </w:tr>
      <w:tr w14:paraId="2F6FC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26E04">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77DE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62A4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球生菜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BA03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97AE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B3B1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C410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 </w:t>
            </w:r>
          </w:p>
        </w:tc>
      </w:tr>
      <w:tr w14:paraId="0AAD2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86EF8">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C117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C6D3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0F46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3EB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EA30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DBCE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550A6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4F62A">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1AE4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26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3455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四季豆</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CE5E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42D0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1DFD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9E57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4476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CF62B">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7A5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27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2A21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豇豆</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809E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754E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71E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67DB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300 </w:t>
            </w:r>
          </w:p>
        </w:tc>
      </w:tr>
      <w:tr w14:paraId="7416E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F6547">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C298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28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5BCB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扁豆</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6C85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C7E1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C683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5FD6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58135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34E03">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6354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29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3A87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刀豆</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B202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2FC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AB8C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019A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 </w:t>
            </w:r>
          </w:p>
        </w:tc>
      </w:tr>
      <w:tr w14:paraId="42EC3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C46DC">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A948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69AB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白芹</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F564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4783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A092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4D87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526C9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6C737">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6B62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31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232C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芹</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7209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CFE8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81B6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B009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5D9B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897D2">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8B5E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32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C25E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水芹</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6FB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BEF0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02B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BF5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6F2D1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29A42">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A606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33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54D1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香芹</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3B86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C3C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413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3CF5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800 </w:t>
            </w:r>
          </w:p>
        </w:tc>
      </w:tr>
      <w:tr w14:paraId="6FCF7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D122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4F3F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34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4C00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西芹</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3015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764C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82AB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B40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5C82D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215D2">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103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A5D6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蒜黄</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0A4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06D5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7C51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6683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250 </w:t>
            </w:r>
          </w:p>
        </w:tc>
      </w:tr>
      <w:tr w14:paraId="60013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96BF0">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B77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36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9621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蒜苗</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FA7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724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AC34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B77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141C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2B259">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664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37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CF96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大青蒜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9D58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F042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5F1E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F775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25A0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1A6F9">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818E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38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81CA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薄皮青椒</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9526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418A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AFCA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40E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600 </w:t>
            </w:r>
          </w:p>
        </w:tc>
      </w:tr>
      <w:tr w14:paraId="76B7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C3D38">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D4E6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39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B6A0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杭椒</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414B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35D8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BDBB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910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4BA7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8E01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1B84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A0E8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螺丝椒</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6E59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33E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ED7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C9B8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25E1A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0A093">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E697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41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470B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红杭椒</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8682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8D5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4ACF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EAA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695F4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41932">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5095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42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DC48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小米辣</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996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C241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D864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7171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2921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37E40">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60A2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43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E711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红椒</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EBE2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1A5E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CAE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B5C2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42D2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288BC">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D254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44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96E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黄彩椒</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E118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813D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3B8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70E4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 </w:t>
            </w:r>
          </w:p>
        </w:tc>
      </w:tr>
      <w:tr w14:paraId="6F6D5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A5BAB">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0191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45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0ED6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白萝卜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D8C2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B0A0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9109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289B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1350 </w:t>
            </w:r>
          </w:p>
        </w:tc>
      </w:tr>
      <w:tr w14:paraId="5ED4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A7535">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FCE5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46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FECB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红皮萝卜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13E2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BE7B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F1B8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622B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600 </w:t>
            </w:r>
          </w:p>
        </w:tc>
      </w:tr>
      <w:tr w14:paraId="029FA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93EE4">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CECA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47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E7F6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洋化萝卜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F774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803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264A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B4CC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300 </w:t>
            </w:r>
          </w:p>
        </w:tc>
      </w:tr>
      <w:tr w14:paraId="5F61B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79364">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0987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48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DBA1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胡萝卜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13A3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FFEA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02DC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6D1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800 </w:t>
            </w:r>
          </w:p>
        </w:tc>
      </w:tr>
      <w:tr w14:paraId="247E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69408">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8ED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49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2D01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水果胡萝卜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51F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D2E6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85DB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A4B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2C6E2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0DFA0">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0E0D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B3B6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丝瓜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E028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FA6D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FE5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3BBA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400 </w:t>
            </w:r>
          </w:p>
        </w:tc>
      </w:tr>
      <w:tr w14:paraId="43A0E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0A072">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76E3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51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090B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生瓜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9688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2EDC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6B2D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EF0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1100 </w:t>
            </w:r>
          </w:p>
        </w:tc>
      </w:tr>
      <w:tr w14:paraId="6BB02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C24A8">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FA0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52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8ADE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菜瓜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2BE5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74EA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849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79B2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6E8F5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EE5C0">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7B8D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53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4C98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冬瓜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BF86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336D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9150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52ED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1000 </w:t>
            </w:r>
          </w:p>
        </w:tc>
      </w:tr>
      <w:tr w14:paraId="127ED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AF349">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D3C3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54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975F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黄瓜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DABF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54C5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A92A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2C53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550 </w:t>
            </w:r>
          </w:p>
        </w:tc>
      </w:tr>
      <w:tr w14:paraId="2C3C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AEF3C">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F64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55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6AE6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DAD5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5831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504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3043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1100 </w:t>
            </w:r>
          </w:p>
        </w:tc>
      </w:tr>
      <w:tr w14:paraId="5C0B5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B9A9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7AA6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56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7D5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净茭瓜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DB69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6650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6BD9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FEAB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250 </w:t>
            </w:r>
          </w:p>
        </w:tc>
      </w:tr>
      <w:tr w14:paraId="5EAF7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B8B2A">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2122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57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9D57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瓠子</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93AA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4715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9B3D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620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500 </w:t>
            </w:r>
          </w:p>
        </w:tc>
      </w:tr>
      <w:tr w14:paraId="6A30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0BC3C">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7ED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58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D767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苦瓜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842F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FA26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A67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06FF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6B84D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7E53F">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D1EC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59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D99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莴笋</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403A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8C09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C0B0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B601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09AB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6C7F7">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7952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60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A1BE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净莴笋</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4D1A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76B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65EC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2E4B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1000 </w:t>
            </w:r>
          </w:p>
        </w:tc>
      </w:tr>
      <w:tr w14:paraId="7960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4C71C">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A7F4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61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2EF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芦笋</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F104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7F96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A3CA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AD71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3EE3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BD73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D0B6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62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0B5D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笋丝</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E079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800g*20包/</w:t>
            </w:r>
            <w:r>
              <w:rPr>
                <w:rFonts w:hint="eastAsia" w:asciiTheme="minorEastAsia" w:hAnsiTheme="minorEastAsia" w:cstheme="minorEastAsia"/>
                <w:i w:val="0"/>
                <w:iCs w:val="0"/>
                <w:color w:val="auto"/>
                <w:kern w:val="0"/>
                <w:sz w:val="21"/>
                <w:szCs w:val="21"/>
                <w:highlight w:val="none"/>
                <w:u w:val="none"/>
                <w:lang w:val="en-US" w:eastAsia="zh-CN" w:bidi="ar"/>
              </w:rPr>
              <w:t>箱</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AD4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B184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603E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 </w:t>
            </w:r>
          </w:p>
        </w:tc>
      </w:tr>
      <w:tr w14:paraId="6EDA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F2BCC">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20F7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63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2120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冬笋</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9A45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FB59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DB9A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FCF1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7DF54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AC0C4">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7C7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64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92A2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color w:val="auto"/>
                <w:highlight w:val="none"/>
                <w:lang w:val="en-US" w:eastAsia="zh-CN"/>
              </w:rPr>
              <w:t>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兰土豆</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C291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1703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097D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A11C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1100 </w:t>
            </w:r>
          </w:p>
        </w:tc>
      </w:tr>
      <w:tr w14:paraId="45B9D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20ABB">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BE0D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65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9364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蚕豆瓣</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44E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AF16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CCF4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0C3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4A1F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3DC6C">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565F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66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B63A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带壳板栗</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966C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3A78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EAB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1F89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r>
      <w:tr w14:paraId="7AE3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C5B8F">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28F3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67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A1DD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板栗仁</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1DE3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BCA6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D63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EE9F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15B1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9E5E7">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442C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68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2D35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西红柿</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3688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2840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A356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6282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800 </w:t>
            </w:r>
          </w:p>
        </w:tc>
      </w:tr>
      <w:tr w14:paraId="47F92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C71A0">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8370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69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8463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紫茄子</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2E45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34C7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9F13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6975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400 </w:t>
            </w:r>
          </w:p>
        </w:tc>
      </w:tr>
      <w:tr w14:paraId="17DF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8850C">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AA59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70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428E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白茄子</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58AE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EAC3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849C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6B7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6C30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BC2C0">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82EC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71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472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藕</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5FAA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95B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66A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ADC5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23BF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53898">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EB7D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72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92A8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藕夹</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56F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20斤/箱</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D933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C868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B72B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7DC7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85880">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827B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73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30DE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冷冻荠菜馅</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C516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30斤/箱</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C29F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0883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C981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 </w:t>
            </w:r>
          </w:p>
        </w:tc>
      </w:tr>
      <w:tr w14:paraId="65BB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4B9D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531F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74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52C3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茨菇</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324E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78A8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26F2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8F93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292B0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20040">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5A81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D074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平菇</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725A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27D6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C46D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7C83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250 </w:t>
            </w:r>
          </w:p>
        </w:tc>
      </w:tr>
      <w:tr w14:paraId="2A0A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8EFC0">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890C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76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0DB6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鲜香菇</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5EBB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4DB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C949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F042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70F3C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D3460">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21AC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77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E623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杏鲍菇</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D08E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6868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D4F1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24BC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32C7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F64C8">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42C3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78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F69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金针菇</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D3CF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C717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220E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98EF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25159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A0D6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56BA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79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6A82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茶树菇</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1DA4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8F1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954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7230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5C461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D809B">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33A3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80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485F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白玉菇</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63A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012E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EF6A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DB70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094AD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33D31">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DB52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81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848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口蘑</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B120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F7F9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AE99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25E6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 </w:t>
            </w:r>
          </w:p>
        </w:tc>
      </w:tr>
      <w:tr w14:paraId="255A1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5C018">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63AD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82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1F3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粉山药</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84FC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C5FE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0F84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CD6D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550 </w:t>
            </w:r>
          </w:p>
        </w:tc>
      </w:tr>
      <w:tr w14:paraId="4F509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F7B9D">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AB09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83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6C26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铁棍山药</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140F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05CD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E3A3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7A00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350 </w:t>
            </w:r>
          </w:p>
        </w:tc>
      </w:tr>
      <w:tr w14:paraId="0CB64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A11A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7319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84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3E75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洋葱</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12E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D8F2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175A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25FE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500 </w:t>
            </w:r>
          </w:p>
        </w:tc>
      </w:tr>
      <w:tr w14:paraId="3451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E11DD">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A23B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85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CE8C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紫薯</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BDF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7C5C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E252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42B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350 </w:t>
            </w:r>
          </w:p>
        </w:tc>
      </w:tr>
      <w:tr w14:paraId="344B7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D1361">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7228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86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ACCE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红薯</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0049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9A73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3C5A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EE55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850 </w:t>
            </w:r>
          </w:p>
        </w:tc>
      </w:tr>
      <w:tr w14:paraId="78B7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E751A">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1D76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87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C3AD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香芋</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3AF6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7642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C028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E5C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4C14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64B80">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3DA0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88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1F42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生姜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10AC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F34C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EC1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7678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300 </w:t>
            </w:r>
          </w:p>
        </w:tc>
      </w:tr>
      <w:tr w14:paraId="0F80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CD3AF">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10FC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89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D7B7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7D0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B978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1A40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D0D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4561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38CE4">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F69F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90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090A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中葱</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6049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807B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BD1D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333F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1E8B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F4731">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3A0A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91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5883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小香葱</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C22E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9FBB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B84F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3A56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5223E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B0490">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65C3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92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E1A2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京葱</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BF91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3C30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1DE8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E9DA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5CF2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94B69">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E98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93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4407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蒜子</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A809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C6C2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1D5D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599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250 </w:t>
            </w:r>
          </w:p>
        </w:tc>
      </w:tr>
      <w:tr w14:paraId="63EE0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9B647">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3AEB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94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4AD6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蒜头</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413D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3725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B4C2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7E7C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 </w:t>
            </w:r>
          </w:p>
        </w:tc>
      </w:tr>
      <w:tr w14:paraId="0E82B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E8AB8">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7A54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95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28A0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玉米粒</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1F8A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1kg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026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C7B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FF7B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400 </w:t>
            </w:r>
          </w:p>
        </w:tc>
      </w:tr>
      <w:tr w14:paraId="20BF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D8664">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7E49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96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A1F8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鲜玉米棒</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3AF5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108F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656A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919B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500 </w:t>
            </w:r>
          </w:p>
        </w:tc>
      </w:tr>
      <w:tr w14:paraId="0813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0C5B2">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8D85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97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8D5E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鲜毛豆米</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22D3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BD1A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6E15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C074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250 </w:t>
            </w:r>
          </w:p>
        </w:tc>
      </w:tr>
      <w:tr w14:paraId="2EC77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31C0F">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41EE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98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6CA4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花生米</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34DD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4EB0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新鲜，理选利用率90%及以上</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BB1D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1677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300 </w:t>
            </w:r>
          </w:p>
        </w:tc>
      </w:tr>
      <w:tr w14:paraId="12744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2560B">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67A9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99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5518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蛋饺</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DC77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r>
              <w:rPr>
                <w:rFonts w:hint="eastAsia" w:asciiTheme="minorEastAsia" w:hAnsiTheme="minorEastAsia" w:cstheme="minorEastAsia"/>
                <w:i w:val="0"/>
                <w:iCs w:val="0"/>
                <w:color w:val="auto"/>
                <w:kern w:val="0"/>
                <w:sz w:val="21"/>
                <w:szCs w:val="21"/>
                <w:highlight w:val="none"/>
                <w:u w:val="none"/>
                <w:lang w:val="en-US" w:eastAsia="zh-CN" w:bidi="ar"/>
              </w:rPr>
              <w:t>kg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E53F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E7BB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D102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34FB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6785F">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D7FD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8BDE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去皮芝麻</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E9B2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散装</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0B40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8D9A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10B4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r>
      <w:tr w14:paraId="412E8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617EF">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220F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101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F082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黑芝麻</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712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散装</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9AAA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85EF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D3E6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57E7E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12E38">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758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102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BF42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熟芝麻馅</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88F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散装</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D6EF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7099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E9A9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 </w:t>
            </w:r>
          </w:p>
        </w:tc>
      </w:tr>
      <w:tr w14:paraId="53A2D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549C1">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26D9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103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9381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冷冻春卷皮</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3F4A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600g/包</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0C3B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4707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FECA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5A4E0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4875B">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7606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104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BE6A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水面</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DD2B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2792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5AA5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470C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450 </w:t>
            </w:r>
          </w:p>
        </w:tc>
      </w:tr>
      <w:tr w14:paraId="74849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ACA6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1708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105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4BD3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鸡蛋面</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9405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3B3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71C7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2576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6E2DA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F2845">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418B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106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ACA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河粉</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70BF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ECA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16A4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DE0D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6A5C9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D88A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61D8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107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EDD3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手指年糕</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0430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5DD5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D739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0CB1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250 </w:t>
            </w:r>
          </w:p>
        </w:tc>
      </w:tr>
      <w:tr w14:paraId="4A3A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DEF30">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35EB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108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E70C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大饺皮</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715F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195F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00D2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B6ED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300 </w:t>
            </w:r>
          </w:p>
        </w:tc>
      </w:tr>
      <w:tr w14:paraId="1F040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4119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1135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109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4976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凉粉</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69ED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C67E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3197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040B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3ABEF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28074">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951D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110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A28A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干粉皮</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6EA3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2CAA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8157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1E2F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24F0A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467B9">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C07C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111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775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烧卖皮</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E5DB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8945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FDF2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7670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350 </w:t>
            </w:r>
          </w:p>
        </w:tc>
      </w:tr>
      <w:tr w14:paraId="1E85B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91A72">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D68C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112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3175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手抓饼</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9911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900g*8包*10片</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EA3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FD6D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AB29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5E30D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CF54D">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7E23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113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AABC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蛋挞皮</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AA61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300g/箱</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FCD6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6A44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BA68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 </w:t>
            </w:r>
          </w:p>
        </w:tc>
      </w:tr>
      <w:tr w14:paraId="5A474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D1E7A">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92CD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114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E912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面包粉</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8F32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r>
              <w:rPr>
                <w:rFonts w:hint="eastAsia" w:asciiTheme="minorEastAsia" w:hAnsiTheme="minorEastAsia" w:cstheme="minorEastAsia"/>
                <w:i w:val="0"/>
                <w:iCs w:val="0"/>
                <w:color w:val="auto"/>
                <w:kern w:val="0"/>
                <w:sz w:val="21"/>
                <w:szCs w:val="21"/>
                <w:highlight w:val="none"/>
                <w:u w:val="none"/>
                <w:lang w:val="en-US" w:eastAsia="zh-CN" w:bidi="ar"/>
              </w:rPr>
              <w:t>kg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73E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8B7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7E75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r>
      <w:tr w14:paraId="1350D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499E1">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E552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115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9486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豆奶粉</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A313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300g/袋</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4569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6B5F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DAF0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0C3C9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038B0">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3798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116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0219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奶粉</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C212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300g/袋</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8132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1823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BA45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7A62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3F12D">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4E03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117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8C8B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吐司面包</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4F31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一袋10片/30克</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AF21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129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2ECD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250 </w:t>
            </w:r>
          </w:p>
        </w:tc>
      </w:tr>
      <w:tr w14:paraId="01D34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CB7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豆制品</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CA93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A558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白干</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06C1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8DFC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B37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AFBF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4D866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640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8AF6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B611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香干</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E653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D1E4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C1DA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D6C5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53E2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1BD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C76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2D1E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厚香干</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0229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B21A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7D49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A352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 </w:t>
            </w:r>
          </w:p>
        </w:tc>
      </w:tr>
      <w:tr w14:paraId="00F8F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85D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C71C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ADA7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厚白干</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625C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C841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1DF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DB13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 </w:t>
            </w:r>
          </w:p>
        </w:tc>
      </w:tr>
      <w:tr w14:paraId="7E042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866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F41D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2E82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油豆果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B54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9FBE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664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AC2F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339C5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7F8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B132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EED0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三角豆腐果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0EE0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4886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7757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E615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39C3C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1AE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CC2D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6D06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豆腐</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164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A69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069A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7952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600 </w:t>
            </w:r>
          </w:p>
        </w:tc>
      </w:tr>
      <w:tr w14:paraId="58CE0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44C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91B1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D92E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老豆腐</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0872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C4E4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A330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73BA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300 </w:t>
            </w:r>
          </w:p>
        </w:tc>
      </w:tr>
      <w:tr w14:paraId="2996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B1B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2D8C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125E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千页豆腐</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8F31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400g*30袋/</w:t>
            </w:r>
            <w:r>
              <w:rPr>
                <w:rFonts w:hint="eastAsia" w:asciiTheme="minorEastAsia" w:hAnsiTheme="minorEastAsia" w:cstheme="minorEastAsia"/>
                <w:i w:val="0"/>
                <w:iCs w:val="0"/>
                <w:color w:val="auto"/>
                <w:kern w:val="0"/>
                <w:sz w:val="21"/>
                <w:szCs w:val="21"/>
                <w:highlight w:val="none"/>
                <w:u w:val="none"/>
                <w:lang w:val="en-US" w:eastAsia="zh-CN" w:bidi="ar"/>
              </w:rPr>
              <w:t>箱</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9093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654E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0EA3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 </w:t>
            </w:r>
          </w:p>
        </w:tc>
      </w:tr>
      <w:tr w14:paraId="5D8E9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CB4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18A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5863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鱼豆腐</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D0CC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8502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1332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5546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7FD58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6AF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A0C8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11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0C18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臭豆腐</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2822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69F1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BAB8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BA8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44C9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D41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CCDE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12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C2F1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内</w:t>
            </w:r>
            <w:r>
              <w:rPr>
                <w:rFonts w:hint="eastAsia"/>
                <w:color w:val="auto"/>
                <w:highlight w:val="none"/>
                <w:lang w:val="en-US" w:eastAsia="zh-CN"/>
              </w:rPr>
              <w:t>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豆腐</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477F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350g/盒</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CCBB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9C2E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盒</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6D9D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400 </w:t>
            </w:r>
          </w:p>
        </w:tc>
      </w:tr>
      <w:tr w14:paraId="3B385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497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5FF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13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EF38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脆皮豆腐</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347D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8040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8E3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36D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0B158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4F4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55D5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14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D0F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厚百叶</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8BC3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C774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32C0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97E7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01A96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3AD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932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080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千张结</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E647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6A6F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C2C0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E7FF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3AE2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9C5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CD16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16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E098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簿千张</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6A0E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4DE0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28AE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0BFF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74BE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0DE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910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17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CA99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扬州干丝</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6538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BB84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96A4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24D6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32204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8A4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63C8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18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99F5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千张丝</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3220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283D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CBA4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99B8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5B263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D02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4977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19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1254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云丝</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948F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1E7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ED4F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D36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2372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025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7D42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D05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腐竹</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E6F7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68B0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0E85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F0C2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6BD3C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C0B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857A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21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03C0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牛皮干</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6081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30F9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7220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7228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22B4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21B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06A2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22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E929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干豆皮</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9C9B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1225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31FE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090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 </w:t>
            </w:r>
          </w:p>
        </w:tc>
      </w:tr>
      <w:tr w14:paraId="2E6A4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116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1B2C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23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9660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面筋包</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CC7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5斤/袋</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EB41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DDB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D1DD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 </w:t>
            </w:r>
          </w:p>
        </w:tc>
      </w:tr>
      <w:tr w14:paraId="21A6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40B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5B63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E11C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水面筋</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383B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8331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F106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C28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300 </w:t>
            </w:r>
          </w:p>
        </w:tc>
      </w:tr>
      <w:tr w14:paraId="714A8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5E3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E044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B12D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面筋丝</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0CE8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4059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F3D7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DAF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58649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745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443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26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8A79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素鸡</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12F3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C76F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13F7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ACE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300 </w:t>
            </w:r>
          </w:p>
        </w:tc>
      </w:tr>
      <w:tr w14:paraId="5340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37E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A13C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27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D00D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黄豆芽</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2468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1E7F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3F51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AF75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250 </w:t>
            </w:r>
          </w:p>
        </w:tc>
      </w:tr>
      <w:tr w14:paraId="1D4E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DEE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D1D0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28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C140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细黄豆芽</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E7A7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E435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F43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5886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501A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FCE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3072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29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944C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绿豆芽</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01E9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3472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4130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BA1F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300 </w:t>
            </w:r>
          </w:p>
        </w:tc>
      </w:tr>
      <w:tr w14:paraId="56CD9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D7F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262E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78EF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花生芽</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9E73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2DC5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符合食品卫生及包装要求</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E310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4AC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7B194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203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水果</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AEC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121C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苹果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9DCD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7620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水果物流配送标准</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AEB4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4F1C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900 </w:t>
            </w:r>
          </w:p>
        </w:tc>
      </w:tr>
      <w:tr w14:paraId="76261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DE4AB">
            <w:pPr>
              <w:jc w:val="center"/>
              <w:rPr>
                <w:rFonts w:hint="eastAsia" w:ascii="宋体" w:hAnsi="宋体" w:eastAsia="宋体" w:cs="宋体"/>
                <w:i w:val="0"/>
                <w:iCs w:val="0"/>
                <w:color w:val="auto"/>
                <w:sz w:val="14"/>
                <w:szCs w:val="1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99A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6275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梨子</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56B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BE79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水果物流配送标准</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D1CF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E06B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800 </w:t>
            </w:r>
          </w:p>
        </w:tc>
      </w:tr>
      <w:tr w14:paraId="03267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91A15">
            <w:pPr>
              <w:jc w:val="center"/>
              <w:rPr>
                <w:rFonts w:hint="eastAsia" w:ascii="宋体" w:hAnsi="宋体" w:eastAsia="宋体" w:cs="宋体"/>
                <w:i w:val="0"/>
                <w:iCs w:val="0"/>
                <w:color w:val="auto"/>
                <w:sz w:val="14"/>
                <w:szCs w:val="1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2007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44B5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香蕉</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2025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7BBC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水果物流配送标准</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9C49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25A2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800 </w:t>
            </w:r>
          </w:p>
        </w:tc>
      </w:tr>
      <w:tr w14:paraId="73E08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06CDE">
            <w:pPr>
              <w:jc w:val="center"/>
              <w:rPr>
                <w:rFonts w:hint="eastAsia" w:ascii="宋体" w:hAnsi="宋体" w:eastAsia="宋体" w:cs="宋体"/>
                <w:i w:val="0"/>
                <w:iCs w:val="0"/>
                <w:color w:val="auto"/>
                <w:sz w:val="14"/>
                <w:szCs w:val="1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4553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36AA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7771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E5FF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水果物流配送标准</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A92D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57D2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500 </w:t>
            </w:r>
          </w:p>
        </w:tc>
      </w:tr>
      <w:tr w14:paraId="1E85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3088D">
            <w:pPr>
              <w:jc w:val="center"/>
              <w:rPr>
                <w:rFonts w:hint="eastAsia" w:ascii="宋体" w:hAnsi="宋体" w:eastAsia="宋体" w:cs="宋体"/>
                <w:i w:val="0"/>
                <w:iCs w:val="0"/>
                <w:color w:val="auto"/>
                <w:sz w:val="14"/>
                <w:szCs w:val="1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89A3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1530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火龙果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8F32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2F4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水果物流配送标准</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92B3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7A4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6EF0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9B592">
            <w:pPr>
              <w:jc w:val="center"/>
              <w:rPr>
                <w:rFonts w:hint="eastAsia" w:ascii="宋体" w:hAnsi="宋体" w:eastAsia="宋体" w:cs="宋体"/>
                <w:i w:val="0"/>
                <w:iCs w:val="0"/>
                <w:color w:val="auto"/>
                <w:sz w:val="14"/>
                <w:szCs w:val="1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F901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4F3F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小台芒</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CD9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DE21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水果物流配送标准</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CF84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B85A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06EC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29133">
            <w:pPr>
              <w:jc w:val="center"/>
              <w:rPr>
                <w:rFonts w:hint="eastAsia" w:ascii="宋体" w:hAnsi="宋体" w:eastAsia="宋体" w:cs="宋体"/>
                <w:i w:val="0"/>
                <w:iCs w:val="0"/>
                <w:color w:val="auto"/>
                <w:sz w:val="14"/>
                <w:szCs w:val="1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8B2D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09DE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橙子</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B5EF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31A6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水果物流配送标准</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C4A3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AD8F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700 </w:t>
            </w:r>
          </w:p>
        </w:tc>
      </w:tr>
      <w:tr w14:paraId="6FD0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F02E4">
            <w:pPr>
              <w:jc w:val="center"/>
              <w:rPr>
                <w:rFonts w:hint="eastAsia" w:ascii="宋体" w:hAnsi="宋体" w:eastAsia="宋体" w:cs="宋体"/>
                <w:i w:val="0"/>
                <w:iCs w:val="0"/>
                <w:color w:val="auto"/>
                <w:sz w:val="14"/>
                <w:szCs w:val="1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1978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7BE8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桃子</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914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1BD6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水果物流配送标准</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A5C9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C56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500 </w:t>
            </w:r>
          </w:p>
        </w:tc>
      </w:tr>
      <w:tr w14:paraId="4D2D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EB79D">
            <w:pPr>
              <w:jc w:val="center"/>
              <w:rPr>
                <w:rFonts w:hint="eastAsia" w:ascii="宋体" w:hAnsi="宋体" w:eastAsia="宋体" w:cs="宋体"/>
                <w:i w:val="0"/>
                <w:iCs w:val="0"/>
                <w:color w:val="auto"/>
                <w:sz w:val="14"/>
                <w:szCs w:val="1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A879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0317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哈密瓜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AE71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A980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水果物流配送标准</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8DBA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D19A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2160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75476">
            <w:pPr>
              <w:jc w:val="center"/>
              <w:rPr>
                <w:rFonts w:hint="eastAsia" w:ascii="宋体" w:hAnsi="宋体" w:eastAsia="宋体" w:cs="宋体"/>
                <w:i w:val="0"/>
                <w:iCs w:val="0"/>
                <w:color w:val="auto"/>
                <w:sz w:val="14"/>
                <w:szCs w:val="1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DB00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92CF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葡萄</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323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BE75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水果物流配送标准</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E6C8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A812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79F0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A29E5">
            <w:pPr>
              <w:jc w:val="center"/>
              <w:rPr>
                <w:rFonts w:hint="eastAsia" w:ascii="宋体" w:hAnsi="宋体" w:eastAsia="宋体" w:cs="宋体"/>
                <w:i w:val="0"/>
                <w:iCs w:val="0"/>
                <w:color w:val="auto"/>
                <w:sz w:val="14"/>
                <w:szCs w:val="1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5361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11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3F3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冬枣</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221F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5A04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水果物流配送标准</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FC9B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95F5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07B37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4FD1A">
            <w:pPr>
              <w:jc w:val="center"/>
              <w:rPr>
                <w:rFonts w:hint="eastAsia" w:ascii="宋体" w:hAnsi="宋体" w:eastAsia="宋体" w:cs="宋体"/>
                <w:i w:val="0"/>
                <w:iCs w:val="0"/>
                <w:color w:val="auto"/>
                <w:sz w:val="14"/>
                <w:szCs w:val="1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AAD8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12 </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FF71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水果黄瓜</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6D69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8AC1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蔬菜物流配送标准</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88C9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E16B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bl>
    <w:p w14:paraId="3ABD18DF">
      <w:pPr>
        <w:adjustRightInd w:val="0"/>
        <w:snapToGrid w:val="0"/>
        <w:spacing w:line="360" w:lineRule="auto"/>
        <w:ind w:firstLine="482" w:firstLineChars="200"/>
        <w:rPr>
          <w:rFonts w:hint="eastAsia" w:asciiTheme="minorEastAsia" w:hAnsiTheme="minorEastAsia" w:cstheme="minorEastAsia"/>
          <w:b/>
          <w:bCs/>
          <w:color w:val="auto"/>
          <w:sz w:val="24"/>
          <w:szCs w:val="24"/>
          <w:highlight w:val="none"/>
          <w:lang w:val="en-US" w:eastAsia="zh-CN"/>
        </w:rPr>
      </w:pPr>
    </w:p>
    <w:p w14:paraId="7BED1014">
      <w:pPr>
        <w:adjustRightInd w:val="0"/>
        <w:snapToGrid w:val="0"/>
        <w:spacing w:line="360" w:lineRule="auto"/>
        <w:ind w:firstLine="482" w:firstLineChars="200"/>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标段三：粮油、调味料、干货、牛奶饮料类</w:t>
      </w:r>
    </w:p>
    <w:tbl>
      <w:tblPr>
        <w:tblStyle w:val="43"/>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527"/>
        <w:gridCol w:w="2057"/>
        <w:gridCol w:w="1686"/>
        <w:gridCol w:w="2682"/>
        <w:gridCol w:w="838"/>
        <w:gridCol w:w="999"/>
      </w:tblGrid>
      <w:tr w14:paraId="4AC7A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6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6072F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宋体" w:hAnsi="宋体" w:eastAsia="宋体" w:cs="宋体"/>
                <w:i w:val="0"/>
                <w:iCs w:val="0"/>
                <w:color w:val="auto"/>
                <w:kern w:val="0"/>
                <w:sz w:val="14"/>
                <w:szCs w:val="14"/>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南京校区三楼教工食堂食材拟采购清单（本单为6个月量）</w:t>
            </w:r>
          </w:p>
        </w:tc>
      </w:tr>
      <w:tr w14:paraId="24D30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0F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Style w:val="308"/>
                <w:color w:val="auto"/>
                <w:highlight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类别</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A6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ascii="宋体" w:hAnsi="宋体" w:eastAsia="宋体" w:cs="宋体"/>
                <w:i w:val="0"/>
                <w:iCs w:val="0"/>
                <w:color w:val="auto"/>
                <w:kern w:val="0"/>
                <w:sz w:val="14"/>
                <w:szCs w:val="14"/>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序号</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8A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ascii="宋体" w:hAnsi="宋体" w:eastAsia="宋体" w:cs="宋体"/>
                <w:i w:val="0"/>
                <w:iCs w:val="0"/>
                <w:color w:val="auto"/>
                <w:kern w:val="0"/>
                <w:sz w:val="14"/>
                <w:szCs w:val="14"/>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品名</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CE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ascii="宋体" w:hAnsi="宋体" w:eastAsia="宋体" w:cs="宋体"/>
                <w:i w:val="0"/>
                <w:iCs w:val="0"/>
                <w:color w:val="auto"/>
                <w:kern w:val="0"/>
                <w:sz w:val="14"/>
                <w:szCs w:val="14"/>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规格型号</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6A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Style w:val="309"/>
                <w:color w:val="auto"/>
                <w:highlight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质量标准</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D5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Style w:val="310"/>
                <w:color w:val="auto"/>
                <w:highlight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计量单位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7A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ascii="宋体" w:hAnsi="宋体" w:eastAsia="宋体" w:cs="宋体"/>
                <w:i w:val="0"/>
                <w:iCs w:val="0"/>
                <w:color w:val="auto"/>
                <w:kern w:val="0"/>
                <w:sz w:val="14"/>
                <w:szCs w:val="14"/>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计划采购量</w:t>
            </w:r>
          </w:p>
        </w:tc>
      </w:tr>
      <w:tr w14:paraId="4FD9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47F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粮油</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07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0B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大米</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9108</w:t>
            </w: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46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整装</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AB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D5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AD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9000 </w:t>
            </w:r>
          </w:p>
        </w:tc>
      </w:tr>
      <w:tr w14:paraId="2BFE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816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BB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B0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非转基因大豆油</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73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整装</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10L/桶</w:t>
            </w: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CB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55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6C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250 </w:t>
            </w:r>
          </w:p>
        </w:tc>
      </w:tr>
      <w:tr w14:paraId="1EB4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42F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0B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EF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八星面粉</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6D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整装</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97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DD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56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2750 </w:t>
            </w:r>
          </w:p>
        </w:tc>
      </w:tr>
      <w:tr w14:paraId="619B8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869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45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25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馒头面粉</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BB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整装</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DA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63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81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1250 </w:t>
            </w:r>
          </w:p>
        </w:tc>
      </w:tr>
      <w:tr w14:paraId="4E811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75B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AD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3C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红豆</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C5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整装</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EB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BF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6D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690C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5B1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45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B2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麦仁</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71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整装</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F0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CD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29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 </w:t>
            </w:r>
          </w:p>
        </w:tc>
      </w:tr>
      <w:tr w14:paraId="76D79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652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5F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96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color w:val="auto"/>
                <w:highlight w:val="none"/>
                <w:lang w:val="en-US" w:eastAsia="zh-CN"/>
              </w:rPr>
              <w:t>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仁</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FF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整装</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86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41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85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r>
      <w:tr w14:paraId="3AC93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934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ED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CF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小黄米</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F6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整装</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15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1B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0F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06A4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64A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C8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F6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玉米粉</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7D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整装</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55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CC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3B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6E0F7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6B7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E1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B2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黑米</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47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整装</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0C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5F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48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55193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13D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73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11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B5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绿豆</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D0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整装</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77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88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B4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35954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CEF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调味</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品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干货</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7F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F4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味精2千克</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EC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FC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C5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3E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467D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639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C2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E7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鸡精2.5千克</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3B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2E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AA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96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22.5 </w:t>
            </w:r>
          </w:p>
        </w:tc>
      </w:tr>
      <w:tr w14:paraId="72D41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E57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1D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88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盐500g</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E5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40袋/箱</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E2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B8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B1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22.5 </w:t>
            </w:r>
          </w:p>
        </w:tc>
      </w:tr>
      <w:tr w14:paraId="64164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955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79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98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香醋500ml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B1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12瓶/箱</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95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64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FC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585F9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483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05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16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白醋500ml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61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13瓶/箱</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D9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17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12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 </w:t>
            </w:r>
          </w:p>
        </w:tc>
      </w:tr>
      <w:tr w14:paraId="3B1A7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8E5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14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58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蚝</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油6</w:t>
            </w:r>
            <w:r>
              <w:rPr>
                <w:rFonts w:hint="eastAsia" w:asciiTheme="minorEastAsia" w:hAnsiTheme="minorEastAsia" w:cstheme="minorEastAsia"/>
                <w:i w:val="0"/>
                <w:iCs w:val="0"/>
                <w:color w:val="auto"/>
                <w:kern w:val="0"/>
                <w:sz w:val="21"/>
                <w:szCs w:val="21"/>
                <w:highlight w:val="none"/>
                <w:u w:val="none"/>
                <w:lang w:val="en-US" w:eastAsia="zh-CN" w:bidi="ar"/>
              </w:rPr>
              <w:t>kg</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AF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桶</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FD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B5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1D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 </w:t>
            </w:r>
          </w:p>
        </w:tc>
      </w:tr>
      <w:tr w14:paraId="35E82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B8C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10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07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豆瓣酱8</w:t>
            </w:r>
            <w:r>
              <w:rPr>
                <w:rFonts w:hint="eastAsia" w:asciiTheme="minorEastAsia" w:hAnsiTheme="minorEastAsia" w:cstheme="minorEastAsia"/>
                <w:i w:val="0"/>
                <w:iCs w:val="0"/>
                <w:color w:val="auto"/>
                <w:kern w:val="0"/>
                <w:sz w:val="21"/>
                <w:szCs w:val="21"/>
                <w:highlight w:val="none"/>
                <w:u w:val="none"/>
                <w:lang w:val="en-US" w:eastAsia="zh-CN" w:bidi="ar"/>
              </w:rPr>
              <w:t>kg</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FE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桶</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03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03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A5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7C40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3C8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E6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0A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黄豆酱6</w:t>
            </w:r>
            <w:r>
              <w:rPr>
                <w:rFonts w:hint="eastAsia" w:asciiTheme="minorEastAsia" w:hAnsiTheme="minorEastAsia" w:cstheme="minorEastAsia"/>
                <w:i w:val="0"/>
                <w:iCs w:val="0"/>
                <w:color w:val="auto"/>
                <w:kern w:val="0"/>
                <w:sz w:val="21"/>
                <w:szCs w:val="21"/>
                <w:highlight w:val="none"/>
                <w:u w:val="none"/>
                <w:lang w:val="en-US" w:eastAsia="zh-CN" w:bidi="ar"/>
              </w:rPr>
              <w:t>kg</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10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桶</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AB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7A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D8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 </w:t>
            </w:r>
          </w:p>
        </w:tc>
      </w:tr>
      <w:tr w14:paraId="2AF0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EE6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D5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FE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麻油450ml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E7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E2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7A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C9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 </w:t>
            </w:r>
          </w:p>
        </w:tc>
      </w:tr>
      <w:tr w14:paraId="2C8D2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448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5A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BC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花椒油330ml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A6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2C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0D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4C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 </w:t>
            </w:r>
          </w:p>
        </w:tc>
      </w:tr>
      <w:tr w14:paraId="20192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060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E1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11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8A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蒸鱼豉油1.6</w:t>
            </w:r>
            <w:r>
              <w:rPr>
                <w:rFonts w:hint="eastAsia" w:asciiTheme="minorEastAsia" w:hAnsiTheme="minorEastAsia" w:cstheme="minorEastAsia"/>
                <w:i w:val="0"/>
                <w:iCs w:val="0"/>
                <w:color w:val="auto"/>
                <w:kern w:val="0"/>
                <w:sz w:val="21"/>
                <w:szCs w:val="21"/>
                <w:highlight w:val="none"/>
                <w:u w:val="none"/>
                <w:lang w:val="en-US" w:eastAsia="zh-CN" w:bidi="ar"/>
              </w:rPr>
              <w:t>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16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6桶/箱</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D4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0C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AC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6.5 </w:t>
            </w:r>
          </w:p>
        </w:tc>
      </w:tr>
      <w:tr w14:paraId="20A0E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DAD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BE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12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42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豆豉</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95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盒</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17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2C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盒</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D9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58685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8F8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21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13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7F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一品鲜500ml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F2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12瓶/箱</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10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2A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92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60D83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8AB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11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14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63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老抽1.9</w:t>
            </w:r>
            <w:r>
              <w:rPr>
                <w:rFonts w:hint="eastAsia" w:asciiTheme="minorEastAsia" w:hAnsiTheme="minorEastAsia" w:cstheme="minorEastAsia"/>
                <w:i w:val="0"/>
                <w:iCs w:val="0"/>
                <w:color w:val="auto"/>
                <w:kern w:val="0"/>
                <w:sz w:val="21"/>
                <w:szCs w:val="21"/>
                <w:highlight w:val="none"/>
                <w:u w:val="none"/>
                <w:lang w:val="en-US" w:eastAsia="zh-CN" w:bidi="ar"/>
              </w:rPr>
              <w:t>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DF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6桶/箱</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58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AE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CE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18 </w:t>
            </w:r>
          </w:p>
        </w:tc>
      </w:tr>
      <w:tr w14:paraId="65203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FD2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35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17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鲜味生抽1.9</w:t>
            </w:r>
            <w:r>
              <w:rPr>
                <w:rFonts w:hint="eastAsia" w:asciiTheme="minorEastAsia" w:hAnsiTheme="minorEastAsia" w:cstheme="minorEastAsia"/>
                <w:i w:val="0"/>
                <w:iCs w:val="0"/>
                <w:color w:val="auto"/>
                <w:kern w:val="0"/>
                <w:sz w:val="21"/>
                <w:szCs w:val="21"/>
                <w:highlight w:val="none"/>
                <w:u w:val="none"/>
                <w:lang w:val="en-US" w:eastAsia="zh-CN" w:bidi="ar"/>
              </w:rPr>
              <w:t>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1E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6桶/箱</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09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2D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93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 </w:t>
            </w:r>
          </w:p>
        </w:tc>
      </w:tr>
      <w:tr w14:paraId="0BA9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C23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D7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16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DB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香辣酱800g</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79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24瓶/箱</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6D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59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24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 </w:t>
            </w:r>
          </w:p>
        </w:tc>
      </w:tr>
      <w:tr w14:paraId="7276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970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CE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17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AF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百年辣酱268g</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94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24瓶/箱</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35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EE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1C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 </w:t>
            </w:r>
          </w:p>
        </w:tc>
      </w:tr>
      <w:tr w14:paraId="621D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442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30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18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E6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老干妈酱280g</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CB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24瓶/箱</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07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D9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5E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 </w:t>
            </w:r>
          </w:p>
        </w:tc>
      </w:tr>
      <w:tr w14:paraId="16D2A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EE3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24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19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25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桂花酱235g</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4D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8瓶/箱</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08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8D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43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29D7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B24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9E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48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咖喱酱</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D6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5C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DB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91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 </w:t>
            </w:r>
          </w:p>
        </w:tc>
      </w:tr>
      <w:tr w14:paraId="41C8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CEA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D8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21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E3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十三香</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EE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板</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48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2B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板</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AA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1C5F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CB7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63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22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E5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香辣</w:t>
            </w:r>
            <w:r>
              <w:rPr>
                <w:rFonts w:hint="eastAsia" w:asciiTheme="minorEastAsia" w:hAnsiTheme="minorEastAsia" w:cstheme="minorEastAsia"/>
                <w:i w:val="0"/>
                <w:iCs w:val="0"/>
                <w:color w:val="auto"/>
                <w:kern w:val="0"/>
                <w:sz w:val="21"/>
                <w:szCs w:val="21"/>
                <w:highlight w:val="none"/>
                <w:u w:val="none"/>
                <w:lang w:val="en-US" w:eastAsia="zh-CN" w:bidi="ar"/>
              </w:rPr>
              <w:t>酥</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44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308g*10袋/箱</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A6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CB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9E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4F19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BB6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2D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23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48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葱姜料酒500ml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DF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12瓶/箱</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5A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60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4A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 </w:t>
            </w:r>
          </w:p>
        </w:tc>
      </w:tr>
      <w:tr w14:paraId="72039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3E7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6D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05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酒酿</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CC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盒</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D5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07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盒</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00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60 </w:t>
            </w:r>
          </w:p>
        </w:tc>
      </w:tr>
      <w:tr w14:paraId="02C4B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D83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A2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71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咖啡800g</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50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70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62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EB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17.5 </w:t>
            </w:r>
          </w:p>
        </w:tc>
      </w:tr>
      <w:tr w14:paraId="4A80E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B36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4D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26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EA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橙汁粉1</w:t>
            </w:r>
            <w:r>
              <w:rPr>
                <w:rFonts w:hint="eastAsia" w:asciiTheme="minorEastAsia" w:hAnsiTheme="minorEastAsia" w:cstheme="minorEastAsia"/>
                <w:i w:val="0"/>
                <w:iCs w:val="0"/>
                <w:color w:val="auto"/>
                <w:kern w:val="0"/>
                <w:sz w:val="21"/>
                <w:szCs w:val="21"/>
                <w:highlight w:val="none"/>
                <w:u w:val="none"/>
                <w:lang w:val="en-US" w:eastAsia="zh-CN" w:bidi="ar"/>
              </w:rPr>
              <w:t>kg</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03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3E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19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69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17.5 </w:t>
            </w:r>
          </w:p>
        </w:tc>
      </w:tr>
      <w:tr w14:paraId="45EF4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6D3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7A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27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28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奶茶粉1</w:t>
            </w:r>
            <w:r>
              <w:rPr>
                <w:rFonts w:hint="eastAsia" w:asciiTheme="minorEastAsia" w:hAnsiTheme="minorEastAsia" w:cstheme="minorEastAsia"/>
                <w:i w:val="0"/>
                <w:iCs w:val="0"/>
                <w:color w:val="auto"/>
                <w:kern w:val="0"/>
                <w:sz w:val="21"/>
                <w:szCs w:val="21"/>
                <w:highlight w:val="none"/>
                <w:u w:val="none"/>
                <w:lang w:val="en-US" w:eastAsia="zh-CN" w:bidi="ar"/>
              </w:rPr>
              <w:t>kg</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D9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A4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E8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32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17.5 </w:t>
            </w:r>
          </w:p>
        </w:tc>
      </w:tr>
      <w:tr w14:paraId="14F1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FBB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0E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28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89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酸梅粉</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0A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F6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3C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79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 </w:t>
            </w:r>
          </w:p>
        </w:tc>
      </w:tr>
      <w:tr w14:paraId="4A423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80D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C9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29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37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泡打粉</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29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88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F8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BE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3B70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079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30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25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酵母</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B7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F1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市场知名品牌，符合食品卫生及包装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F8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89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 </w:t>
            </w:r>
          </w:p>
        </w:tc>
      </w:tr>
      <w:tr w14:paraId="77F69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CF2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38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31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92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麻薯粉</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11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DE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17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54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6CBD2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A24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96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32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C6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紫薯粉</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1B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D7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F7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EF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 </w:t>
            </w:r>
          </w:p>
        </w:tc>
      </w:tr>
      <w:tr w14:paraId="43F8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924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7A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33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FC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野山椒1.1</w:t>
            </w:r>
            <w:r>
              <w:rPr>
                <w:rFonts w:hint="eastAsia" w:asciiTheme="minorEastAsia" w:hAnsiTheme="minorEastAsia" w:cstheme="minorEastAsia"/>
                <w:i w:val="0"/>
                <w:iCs w:val="0"/>
                <w:color w:val="auto"/>
                <w:kern w:val="0"/>
                <w:sz w:val="21"/>
                <w:szCs w:val="21"/>
                <w:highlight w:val="none"/>
                <w:u w:val="none"/>
                <w:lang w:val="en-US" w:eastAsia="zh-CN" w:bidi="ar"/>
              </w:rPr>
              <w:t>kg</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54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桶</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4A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67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F3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 </w:t>
            </w:r>
          </w:p>
        </w:tc>
      </w:tr>
      <w:tr w14:paraId="0CE7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4EC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33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34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49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家乡味剁椒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F0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桶</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EA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2B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CE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34BF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80A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26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16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肉松5斤</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22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CF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AB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17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31B3C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9A4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45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36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C8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蒸肉粉</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F8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73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37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B3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100 </w:t>
            </w:r>
          </w:p>
        </w:tc>
      </w:tr>
      <w:tr w14:paraId="7599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44F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C1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37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3F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沙司630g</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37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89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7C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B3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60 </w:t>
            </w:r>
          </w:p>
        </w:tc>
      </w:tr>
      <w:tr w14:paraId="32D1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C82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DC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38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8F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生粉2.5</w:t>
            </w:r>
            <w:r>
              <w:rPr>
                <w:rFonts w:hint="eastAsia" w:asciiTheme="minorEastAsia" w:hAnsiTheme="minorEastAsia" w:cstheme="minorEastAsia"/>
                <w:i w:val="0"/>
                <w:iCs w:val="0"/>
                <w:color w:val="auto"/>
                <w:kern w:val="0"/>
                <w:sz w:val="21"/>
                <w:szCs w:val="21"/>
                <w:highlight w:val="none"/>
                <w:u w:val="none"/>
                <w:lang w:val="en-US" w:eastAsia="zh-CN" w:bidi="ar"/>
              </w:rPr>
              <w:t>kg</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D8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63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55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6A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60 </w:t>
            </w:r>
          </w:p>
        </w:tc>
      </w:tr>
      <w:tr w14:paraId="51F80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FD2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70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39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AB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无盐黄油</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1A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10斤/块</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64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A1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9C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r>
      <w:tr w14:paraId="1D76E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3CB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9E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65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淡奶油</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20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r>
              <w:rPr>
                <w:rFonts w:hint="eastAsia" w:asciiTheme="minorEastAsia" w:hAnsiTheme="minorEastAsia" w:cstheme="minorEastAsia"/>
                <w:i w:val="0"/>
                <w:iCs w:val="0"/>
                <w:color w:val="auto"/>
                <w:kern w:val="0"/>
                <w:sz w:val="21"/>
                <w:szCs w:val="21"/>
                <w:highlight w:val="none"/>
                <w:u w:val="none"/>
                <w:lang w:val="en-US" w:eastAsia="zh-CN" w:bidi="ar"/>
              </w:rPr>
              <w:t>L</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/盒</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60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C6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盒</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26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6B64A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339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45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41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62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芝士</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98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64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D8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16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r>
      <w:tr w14:paraId="4B4DB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2CE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11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42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00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干银耳</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20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57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C6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D4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 </w:t>
            </w:r>
          </w:p>
        </w:tc>
      </w:tr>
      <w:tr w14:paraId="0097F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D64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36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43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AE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百合干</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8A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42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5E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66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 </w:t>
            </w:r>
          </w:p>
        </w:tc>
      </w:tr>
      <w:tr w14:paraId="451E1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B15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B3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44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F1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红枣</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7E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D6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C3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DA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23E1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F57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B8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45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C4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无核红枣</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98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BD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D7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D8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 </w:t>
            </w:r>
          </w:p>
        </w:tc>
      </w:tr>
      <w:tr w14:paraId="4A1CA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D6A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2F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46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F2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话梅</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5D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95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DE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56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r>
      <w:tr w14:paraId="7864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982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B5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47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40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腰果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50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60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06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1F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r>
      <w:tr w14:paraId="44F6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FC5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00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48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C5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核桃仁</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88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05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A5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0E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 </w:t>
            </w:r>
          </w:p>
        </w:tc>
      </w:tr>
      <w:tr w14:paraId="64839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C12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B6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49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B0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松子仁</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25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13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E7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3B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11B98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B01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5F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9C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熟杏仁片</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A0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41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D9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D8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008DD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DF0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CB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51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A5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沙拉酱</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5D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200g/瓶</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82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DB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18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 </w:t>
            </w:r>
          </w:p>
        </w:tc>
      </w:tr>
      <w:tr w14:paraId="362D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01F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F7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52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83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芝麻味沙拉酱</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1C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r>
              <w:rPr>
                <w:rFonts w:hint="eastAsia" w:asciiTheme="minorEastAsia" w:hAnsiTheme="minorEastAsia" w:cstheme="minorEastAsia"/>
                <w:i w:val="0"/>
                <w:iCs w:val="0"/>
                <w:color w:val="auto"/>
                <w:kern w:val="0"/>
                <w:sz w:val="21"/>
                <w:szCs w:val="21"/>
                <w:highlight w:val="none"/>
                <w:u w:val="none"/>
                <w:lang w:val="en-US" w:eastAsia="zh-CN" w:bidi="ar"/>
              </w:rPr>
              <w:t>L</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EB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9B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0C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r>
      <w:tr w14:paraId="63DEC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7C9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89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53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27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红薯粉丝</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34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62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00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85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350 </w:t>
            </w:r>
          </w:p>
        </w:tc>
      </w:tr>
      <w:tr w14:paraId="37316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B26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DF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54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28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龙口粉丝</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1B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180g/袋</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53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25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86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400 </w:t>
            </w:r>
          </w:p>
        </w:tc>
      </w:tr>
      <w:tr w14:paraId="65B2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ABB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12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55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69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小木耳</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94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散装</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47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22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EA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 </w:t>
            </w:r>
          </w:p>
        </w:tc>
      </w:tr>
      <w:tr w14:paraId="7B8A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C5C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AB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56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C8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香菇干</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1F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99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43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A4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 </w:t>
            </w:r>
          </w:p>
        </w:tc>
      </w:tr>
      <w:tr w14:paraId="59E39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E48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C2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57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EE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茶树菇干</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EC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FA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22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A7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60 </w:t>
            </w:r>
          </w:p>
        </w:tc>
      </w:tr>
      <w:tr w14:paraId="1760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026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AD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58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29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豇豆干</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8F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B7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9B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44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34079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8C5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F3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59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31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马齿苋干</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AE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24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EF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1B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 </w:t>
            </w:r>
          </w:p>
        </w:tc>
      </w:tr>
      <w:tr w14:paraId="0C9A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B8A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26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60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07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地皮菜干</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7F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73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BC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5B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 </w:t>
            </w:r>
          </w:p>
        </w:tc>
      </w:tr>
      <w:tr w14:paraId="5564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3C7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DA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61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D6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土豆粉</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E9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300g</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50袋</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F1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4F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30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60 </w:t>
            </w:r>
          </w:p>
        </w:tc>
      </w:tr>
      <w:tr w14:paraId="1BE0D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8C0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4E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62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A0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木薯粉</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3B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250g/袋</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60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06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56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 </w:t>
            </w:r>
          </w:p>
        </w:tc>
      </w:tr>
      <w:tr w14:paraId="41CA3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E5E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30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63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01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干海带</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1E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E9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38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7A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 </w:t>
            </w:r>
          </w:p>
        </w:tc>
      </w:tr>
      <w:tr w14:paraId="7447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306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75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64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83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海带结</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4E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50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64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63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225 </w:t>
            </w:r>
          </w:p>
        </w:tc>
      </w:tr>
      <w:tr w14:paraId="0C22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D2A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0B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65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1C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干海带结</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86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6D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86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50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18BB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2D8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7C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66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4A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海带丝</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73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63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E2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A1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6EE17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B57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24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67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5D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榨菜丝</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9A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0F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08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A8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300 </w:t>
            </w:r>
          </w:p>
        </w:tc>
      </w:tr>
      <w:tr w14:paraId="104B3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752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D0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68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92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杂菜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8F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50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60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0E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52F3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BCB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D9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69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53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酸菜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02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r>
              <w:rPr>
                <w:rFonts w:hint="eastAsia" w:asciiTheme="minorEastAsia" w:hAnsiTheme="minorEastAsia" w:cstheme="minorEastAsia"/>
                <w:i w:val="0"/>
                <w:iCs w:val="0"/>
                <w:color w:val="auto"/>
                <w:kern w:val="0"/>
                <w:sz w:val="21"/>
                <w:szCs w:val="21"/>
                <w:highlight w:val="none"/>
                <w:u w:val="none"/>
                <w:lang w:val="en-US" w:eastAsia="zh-CN" w:bidi="ar"/>
              </w:rPr>
              <w:t>kg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*6/箱</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C5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BD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E6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250 </w:t>
            </w:r>
          </w:p>
        </w:tc>
      </w:tr>
      <w:tr w14:paraId="104C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812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3E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70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68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酸豇豆</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FB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E5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44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37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150 </w:t>
            </w:r>
          </w:p>
        </w:tc>
      </w:tr>
      <w:tr w14:paraId="08871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CDC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E1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71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75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酸萝卜仔</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28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r>
              <w:rPr>
                <w:rFonts w:hint="eastAsia" w:asciiTheme="minorEastAsia" w:hAnsiTheme="minorEastAsia" w:cstheme="minorEastAsia"/>
                <w:i w:val="0"/>
                <w:iCs w:val="0"/>
                <w:color w:val="auto"/>
                <w:kern w:val="0"/>
                <w:sz w:val="21"/>
                <w:szCs w:val="21"/>
                <w:highlight w:val="none"/>
                <w:u w:val="none"/>
                <w:lang w:val="en-US" w:eastAsia="zh-CN" w:bidi="ar"/>
              </w:rPr>
              <w:t>kg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21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F4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0F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r>
      <w:tr w14:paraId="02216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7AF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DC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72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A9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梅干菜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48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散装</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5E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C2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11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3885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415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76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73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39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外婆菜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7D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7D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C6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9E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300 </w:t>
            </w:r>
          </w:p>
        </w:tc>
      </w:tr>
      <w:tr w14:paraId="06816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5C4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D4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74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49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黑头菜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1A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散装</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FC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C0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A4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250 </w:t>
            </w:r>
          </w:p>
        </w:tc>
      </w:tr>
      <w:tr w14:paraId="44880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EA2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04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5C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萝卜干</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0E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散装</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06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AB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97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350 </w:t>
            </w:r>
          </w:p>
        </w:tc>
      </w:tr>
      <w:tr w14:paraId="7CBF7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4EE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5A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76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47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大腌菜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3E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散装</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02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E4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97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6B1B7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702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40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77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71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雪菜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88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散装</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B4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47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16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5F5CC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57F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4A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78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B2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什锦菜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01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375g*12瓶/箱</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35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95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08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4FFF2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BA7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51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79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15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榨菜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DE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散装</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9A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F5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F3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200 </w:t>
            </w:r>
          </w:p>
        </w:tc>
      </w:tr>
      <w:tr w14:paraId="650D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BA4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16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80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36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梅菜笋丝</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77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散装</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6D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BC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68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60 </w:t>
            </w:r>
          </w:p>
        </w:tc>
      </w:tr>
      <w:tr w14:paraId="64818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F49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A6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81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8E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下饭菜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36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300g*12瓶/箱</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C1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0A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5B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286FF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F1C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55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82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A1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老妈菜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52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300g*12瓶/箱</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AB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D1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B9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 </w:t>
            </w:r>
          </w:p>
        </w:tc>
      </w:tr>
      <w:tr w14:paraId="7F227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D76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CA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83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D1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干皮肚</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2D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5斤/袋</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6D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45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FE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 </w:t>
            </w:r>
          </w:p>
        </w:tc>
      </w:tr>
      <w:tr w14:paraId="119C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080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E3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84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1A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虾皮</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64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5E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08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7A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12.5 </w:t>
            </w:r>
          </w:p>
        </w:tc>
      </w:tr>
      <w:tr w14:paraId="460A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63F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15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85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7E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开洋</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27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66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AB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斤</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AA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 </w:t>
            </w:r>
          </w:p>
        </w:tc>
      </w:tr>
      <w:tr w14:paraId="3B54A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231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12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86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7A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方腿</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E2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r>
              <w:rPr>
                <w:rFonts w:hint="eastAsia" w:asciiTheme="minorEastAsia" w:hAnsiTheme="minorEastAsia" w:cstheme="minorEastAsia"/>
                <w:i w:val="0"/>
                <w:iCs w:val="0"/>
                <w:color w:val="auto"/>
                <w:kern w:val="0"/>
                <w:sz w:val="21"/>
                <w:szCs w:val="21"/>
                <w:highlight w:val="none"/>
                <w:u w:val="none"/>
                <w:lang w:val="en-US" w:eastAsia="zh-CN" w:bidi="ar"/>
              </w:rPr>
              <w:t>kg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3B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54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E5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 </w:t>
            </w:r>
          </w:p>
        </w:tc>
      </w:tr>
      <w:tr w14:paraId="2BE5A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EF1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08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87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0F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火腿肠</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A6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3.25</w:t>
            </w:r>
            <w:r>
              <w:rPr>
                <w:rFonts w:hint="eastAsia" w:asciiTheme="minorEastAsia" w:hAnsiTheme="minorEastAsia" w:cstheme="minorEastAsia"/>
                <w:i w:val="0"/>
                <w:iCs w:val="0"/>
                <w:color w:val="auto"/>
                <w:kern w:val="0"/>
                <w:sz w:val="21"/>
                <w:szCs w:val="21"/>
                <w:highlight w:val="none"/>
                <w:u w:val="none"/>
                <w:lang w:val="en-US" w:eastAsia="zh-CN" w:bidi="ar"/>
              </w:rPr>
              <w:t>kg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55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34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15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 </w:t>
            </w:r>
          </w:p>
        </w:tc>
      </w:tr>
      <w:tr w14:paraId="42F08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71F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B2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88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19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豆沙馅</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0E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r>
              <w:rPr>
                <w:rFonts w:hint="eastAsia" w:asciiTheme="minorEastAsia" w:hAnsiTheme="minorEastAsia" w:cstheme="minorEastAsia"/>
                <w:i w:val="0"/>
                <w:iCs w:val="0"/>
                <w:color w:val="auto"/>
                <w:kern w:val="0"/>
                <w:sz w:val="21"/>
                <w:szCs w:val="21"/>
                <w:highlight w:val="none"/>
                <w:u w:val="none"/>
                <w:lang w:val="en-US" w:eastAsia="zh-CN" w:bidi="ar"/>
              </w:rPr>
              <w:t>kg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D4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87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73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 </w:t>
            </w:r>
          </w:p>
        </w:tc>
      </w:tr>
      <w:tr w14:paraId="33FD8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06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85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89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C4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皮蛋</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AA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4B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符合食品卫生及包装</w:t>
            </w:r>
            <w:r>
              <w:rPr>
                <w:rFonts w:hint="eastAsia" w:asciiTheme="minorEastAsia" w:hAnsiTheme="minorEastAsia" w:cstheme="minorEastAsia"/>
                <w:i w:val="0"/>
                <w:iCs w:val="0"/>
                <w:color w:val="auto"/>
                <w:kern w:val="0"/>
                <w:sz w:val="21"/>
                <w:szCs w:val="21"/>
                <w:highlight w:val="none"/>
                <w:u w:val="none"/>
                <w:lang w:val="en-US" w:eastAsia="zh-CN" w:bidi="ar"/>
              </w:rPr>
              <w:t>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A4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B3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750 </w:t>
            </w:r>
          </w:p>
        </w:tc>
      </w:tr>
      <w:tr w14:paraId="0066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restart"/>
            <w:tcBorders>
              <w:top w:val="single" w:color="000000" w:sz="4" w:space="0"/>
              <w:left w:val="single" w:color="000000" w:sz="4" w:space="0"/>
              <w:right w:val="single" w:color="000000" w:sz="4" w:space="0"/>
            </w:tcBorders>
            <w:shd w:val="clear" w:color="auto" w:fill="auto"/>
            <w:vAlign w:val="center"/>
          </w:tcPr>
          <w:p w14:paraId="58FC63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牛奶饮料</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44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89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酸奶（100ml）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E2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60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新鲜（符合食品配送要求）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0C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杯</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F2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3250</w:t>
            </w:r>
          </w:p>
        </w:tc>
      </w:tr>
      <w:tr w14:paraId="50E5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left w:val="single" w:color="000000" w:sz="4" w:space="0"/>
              <w:right w:val="single" w:color="000000" w:sz="4" w:space="0"/>
            </w:tcBorders>
            <w:shd w:val="clear" w:color="auto" w:fill="auto"/>
            <w:vAlign w:val="center"/>
          </w:tcPr>
          <w:p w14:paraId="1ED01F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5A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62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纯牛奶（250ml）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E0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61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新鲜（符合食品配送要求）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50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盒</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48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500</w:t>
            </w:r>
          </w:p>
        </w:tc>
      </w:tr>
      <w:tr w14:paraId="168EF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left w:val="single" w:color="000000" w:sz="4" w:space="0"/>
              <w:right w:val="single" w:color="000000" w:sz="4" w:space="0"/>
            </w:tcBorders>
            <w:shd w:val="clear" w:color="auto" w:fill="auto"/>
            <w:vAlign w:val="center"/>
          </w:tcPr>
          <w:p w14:paraId="15C390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2E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3</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2C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雪碧（500ml）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D5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B9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D6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81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10</w:t>
            </w:r>
          </w:p>
        </w:tc>
      </w:tr>
      <w:tr w14:paraId="0B97E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left w:val="single" w:color="000000" w:sz="4" w:space="0"/>
              <w:right w:val="single" w:color="000000" w:sz="4" w:space="0"/>
            </w:tcBorders>
            <w:shd w:val="clear" w:color="auto" w:fill="auto"/>
            <w:vAlign w:val="center"/>
          </w:tcPr>
          <w:p w14:paraId="62CE4D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E9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4</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C0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可乐（500ml）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48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68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9E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81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15</w:t>
            </w:r>
          </w:p>
        </w:tc>
      </w:tr>
      <w:tr w14:paraId="777A7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0" w:type="dxa"/>
            <w:vMerge w:val="continue"/>
            <w:tcBorders>
              <w:left w:val="single" w:color="000000" w:sz="4" w:space="0"/>
              <w:right w:val="single" w:color="000000" w:sz="4" w:space="0"/>
            </w:tcBorders>
            <w:shd w:val="clear" w:color="auto" w:fill="auto"/>
            <w:vAlign w:val="center"/>
          </w:tcPr>
          <w:p w14:paraId="1EB449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F6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5</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B5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矿泉水（500ml）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B9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16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E7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F8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25</w:t>
            </w:r>
          </w:p>
        </w:tc>
      </w:tr>
      <w:tr w14:paraId="2069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vMerge w:val="continue"/>
            <w:tcBorders>
              <w:left w:val="single" w:color="000000" w:sz="4" w:space="0"/>
              <w:bottom w:val="single" w:color="000000" w:sz="4" w:space="0"/>
              <w:right w:val="single" w:color="000000" w:sz="4" w:space="0"/>
            </w:tcBorders>
            <w:shd w:val="clear" w:color="auto" w:fill="auto"/>
            <w:vAlign w:val="center"/>
          </w:tcPr>
          <w:p w14:paraId="091E71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E9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6</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D6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脉动（600ml）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09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4F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6E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98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7.5</w:t>
            </w:r>
          </w:p>
        </w:tc>
      </w:tr>
    </w:tbl>
    <w:p w14:paraId="1347BB21">
      <w:pPr>
        <w:adjustRightInd w:val="0"/>
        <w:snapToGrid w:val="0"/>
        <w:spacing w:line="360" w:lineRule="auto"/>
        <w:ind w:firstLine="482" w:firstLineChars="200"/>
        <w:rPr>
          <w:rFonts w:hint="eastAsia" w:asciiTheme="minorEastAsia" w:hAnsiTheme="minorEastAsia" w:cstheme="minorEastAsia"/>
          <w:b/>
          <w:bCs/>
          <w:color w:val="auto"/>
          <w:sz w:val="24"/>
          <w:szCs w:val="24"/>
          <w:highlight w:val="none"/>
          <w:lang w:val="en-US" w:eastAsia="zh-CN"/>
        </w:rPr>
      </w:pPr>
    </w:p>
    <w:p w14:paraId="5E37E23C">
      <w:pPr>
        <w:adjustRightInd w:val="0"/>
        <w:snapToGrid w:val="0"/>
        <w:spacing w:line="360" w:lineRule="auto"/>
        <w:ind w:firstLine="482" w:firstLineChars="200"/>
        <w:rPr>
          <w:rFonts w:hint="default"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标段四：冷冻制品类</w:t>
      </w:r>
    </w:p>
    <w:tbl>
      <w:tblPr>
        <w:tblStyle w:val="43"/>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4"/>
        <w:gridCol w:w="708"/>
        <w:gridCol w:w="1631"/>
        <w:gridCol w:w="1606"/>
        <w:gridCol w:w="2896"/>
        <w:gridCol w:w="1017"/>
        <w:gridCol w:w="937"/>
      </w:tblGrid>
      <w:tr w14:paraId="11CC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6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A3C4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宋体" w:hAnsi="宋体" w:eastAsia="宋体" w:cs="宋体"/>
                <w:i w:val="0"/>
                <w:iCs w:val="0"/>
                <w:color w:val="auto"/>
                <w:kern w:val="0"/>
                <w:sz w:val="14"/>
                <w:szCs w:val="14"/>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南京校区三楼教工食堂食材拟采购清单（本单为6个月量）</w:t>
            </w:r>
          </w:p>
        </w:tc>
      </w:tr>
      <w:tr w14:paraId="61395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C9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ascii="宋体" w:hAnsi="宋体" w:eastAsia="宋体" w:cs="宋体"/>
                <w:i w:val="0"/>
                <w:iCs w:val="0"/>
                <w:color w:val="auto"/>
                <w:kern w:val="0"/>
                <w:sz w:val="14"/>
                <w:szCs w:val="14"/>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类别</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96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ascii="宋体" w:hAnsi="宋体" w:eastAsia="宋体" w:cs="宋体"/>
                <w:i w:val="0"/>
                <w:iCs w:val="0"/>
                <w:color w:val="auto"/>
                <w:kern w:val="0"/>
                <w:sz w:val="14"/>
                <w:szCs w:val="14"/>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序号</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8A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ascii="宋体" w:hAnsi="宋体" w:eastAsia="宋体" w:cs="宋体"/>
                <w:i w:val="0"/>
                <w:iCs w:val="0"/>
                <w:color w:val="auto"/>
                <w:kern w:val="0"/>
                <w:sz w:val="14"/>
                <w:szCs w:val="14"/>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品名</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CA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ascii="宋体" w:hAnsi="宋体" w:eastAsia="宋体" w:cs="宋体"/>
                <w:i w:val="0"/>
                <w:iCs w:val="0"/>
                <w:color w:val="auto"/>
                <w:kern w:val="0"/>
                <w:sz w:val="14"/>
                <w:szCs w:val="14"/>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规格型号</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11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ascii="宋体" w:hAnsi="宋体" w:eastAsia="宋体" w:cs="宋体"/>
                <w:i w:val="0"/>
                <w:iCs w:val="0"/>
                <w:color w:val="auto"/>
                <w:kern w:val="0"/>
                <w:sz w:val="14"/>
                <w:szCs w:val="14"/>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质量标准</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45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ascii="宋体" w:hAnsi="宋体" w:eastAsia="宋体" w:cs="宋体"/>
                <w:i w:val="0"/>
                <w:iCs w:val="0"/>
                <w:color w:val="auto"/>
                <w:kern w:val="0"/>
                <w:sz w:val="14"/>
                <w:szCs w:val="14"/>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计量单位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83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ascii="宋体" w:hAnsi="宋体" w:eastAsia="宋体" w:cs="宋体"/>
                <w:i w:val="0"/>
                <w:iCs w:val="0"/>
                <w:color w:val="auto"/>
                <w:kern w:val="0"/>
                <w:sz w:val="14"/>
                <w:szCs w:val="14"/>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计划采购量</w:t>
            </w:r>
          </w:p>
        </w:tc>
      </w:tr>
      <w:tr w14:paraId="5221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DC9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冷冻</w:t>
            </w:r>
            <w:r>
              <w:rPr>
                <w:rFonts w:hint="eastAsia" w:asciiTheme="minorEastAsia" w:hAnsi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cstheme="minorEastAsia"/>
                <w:i w:val="0"/>
                <w:iCs w:val="0"/>
                <w:color w:val="auto"/>
                <w:kern w:val="0"/>
                <w:sz w:val="21"/>
                <w:szCs w:val="21"/>
                <w:highlight w:val="none"/>
                <w:u w:val="none"/>
                <w:lang w:val="en-US" w:eastAsia="zh-CN" w:bidi="ar"/>
              </w:rPr>
              <w:t>制品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A6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D0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培根</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2D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1.5kg/袋</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4D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71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4D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25 </w:t>
            </w:r>
          </w:p>
        </w:tc>
      </w:tr>
      <w:tr w14:paraId="14FFF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501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94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94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咸猪手</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76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1公斤/10袋</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83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35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箱</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2C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20 </w:t>
            </w:r>
          </w:p>
        </w:tc>
      </w:tr>
      <w:tr w14:paraId="57A1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88F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AF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3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E7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牛仔骨</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27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20斤/箱</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4D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E8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箱</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32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15 </w:t>
            </w:r>
          </w:p>
        </w:tc>
      </w:tr>
      <w:tr w14:paraId="3D74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D2F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09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4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F0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牛前腱（冻）</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35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A1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68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C5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75 </w:t>
            </w:r>
          </w:p>
        </w:tc>
      </w:tr>
      <w:tr w14:paraId="5AFBC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07D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5A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5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55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深海鳕鱼排</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47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310g/10枚/盒，20盒/箱</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ED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45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CA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150 </w:t>
            </w:r>
          </w:p>
        </w:tc>
      </w:tr>
      <w:tr w14:paraId="1F37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503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75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6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9D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鸦片鱼</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AA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CC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0A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6E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90 </w:t>
            </w:r>
          </w:p>
        </w:tc>
      </w:tr>
      <w:tr w14:paraId="538C9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F62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49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7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33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巴沙鱼</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7C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87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5B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FC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15 </w:t>
            </w:r>
          </w:p>
        </w:tc>
      </w:tr>
      <w:tr w14:paraId="1E5F2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DCD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FC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8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16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鲳鳊鱼</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56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8斤/箱（25个左右）</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91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51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9F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150 </w:t>
            </w:r>
          </w:p>
        </w:tc>
      </w:tr>
      <w:tr w14:paraId="0504D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A00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9F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9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B3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本带鱼无冰</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B5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宽5-6cm</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E4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3D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B0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150 </w:t>
            </w:r>
          </w:p>
        </w:tc>
      </w:tr>
      <w:tr w14:paraId="1255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3CB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91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10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5C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黑鱼片半成品</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0E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袋装</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FF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0F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C7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25 </w:t>
            </w:r>
          </w:p>
        </w:tc>
      </w:tr>
      <w:tr w14:paraId="6FC1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932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D8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11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FA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咸鱼</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E2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CA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FA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CE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50 </w:t>
            </w:r>
          </w:p>
        </w:tc>
      </w:tr>
      <w:tr w14:paraId="2C882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BF4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23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12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08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咸鸡</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E2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散装</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F5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71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AB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40 </w:t>
            </w:r>
          </w:p>
        </w:tc>
      </w:tr>
      <w:tr w14:paraId="302D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8BA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28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13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E9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咸鸭</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C1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1A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F5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CE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75 </w:t>
            </w:r>
          </w:p>
        </w:tc>
      </w:tr>
      <w:tr w14:paraId="44055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C2B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29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14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32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咸鹅</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84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97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1D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D1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60 </w:t>
            </w:r>
          </w:p>
        </w:tc>
      </w:tr>
      <w:tr w14:paraId="557D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84B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F5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15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80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鸡腿</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67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20斤/箱</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53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5E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94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200 </w:t>
            </w:r>
          </w:p>
        </w:tc>
      </w:tr>
      <w:tr w14:paraId="3E719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1FB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93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16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12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鸡排腿</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19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18斤/箱</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54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E3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0B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150 </w:t>
            </w:r>
          </w:p>
        </w:tc>
      </w:tr>
      <w:tr w14:paraId="3F9F3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66C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09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17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D0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翅中</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25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20斤/箱</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66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B5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67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250 </w:t>
            </w:r>
          </w:p>
        </w:tc>
      </w:tr>
      <w:tr w14:paraId="6E094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75D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1E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18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14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鸡爪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32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23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CA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9C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150 </w:t>
            </w:r>
          </w:p>
        </w:tc>
      </w:tr>
      <w:tr w14:paraId="4B74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1BE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BF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19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7B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鸡上腿块</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D7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9.3kg/箱，44个/箱</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B1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8F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E8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350 </w:t>
            </w:r>
          </w:p>
        </w:tc>
      </w:tr>
      <w:tr w14:paraId="792B7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670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DE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20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7E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鸡丁</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71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0C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BE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5A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200 </w:t>
            </w:r>
          </w:p>
        </w:tc>
      </w:tr>
      <w:tr w14:paraId="73C3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E60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A1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21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76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黄金鸡排</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AD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50片/箱，10公斤</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FF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B8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BD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200 </w:t>
            </w:r>
          </w:p>
        </w:tc>
      </w:tr>
      <w:tr w14:paraId="75F32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D27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ED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22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54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黑椒鸡排</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96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68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5C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AC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175 </w:t>
            </w:r>
          </w:p>
        </w:tc>
      </w:tr>
      <w:tr w14:paraId="26B4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4AA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A0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23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7C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鸡脯</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B4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20斤/箱</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F1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C4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44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100 </w:t>
            </w:r>
          </w:p>
        </w:tc>
      </w:tr>
      <w:tr w14:paraId="2A57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818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D8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24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C0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鸡柳</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C2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20斤/箱</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05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F5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71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50 </w:t>
            </w:r>
          </w:p>
        </w:tc>
      </w:tr>
      <w:tr w14:paraId="1E00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8EA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A7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25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60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鸡米花</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8A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20斤/箱</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62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15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F1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250 </w:t>
            </w:r>
          </w:p>
        </w:tc>
      </w:tr>
      <w:tr w14:paraId="419D4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213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A9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26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E1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小酥肉</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72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66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50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55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200 </w:t>
            </w:r>
          </w:p>
        </w:tc>
      </w:tr>
      <w:tr w14:paraId="01E6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6C5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4F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27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8E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鸭腿</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6C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9.5公斤/箱</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05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44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F4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300 </w:t>
            </w:r>
          </w:p>
        </w:tc>
      </w:tr>
      <w:tr w14:paraId="434CA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F16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3C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28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19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鸭翅</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EF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20斤/箱</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69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5D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25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100 </w:t>
            </w:r>
          </w:p>
        </w:tc>
      </w:tr>
      <w:tr w14:paraId="44A0B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1B7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F1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29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DE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鸭盹</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E6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24斤/箱，1kg*12袋</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21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CE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5B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75 </w:t>
            </w:r>
          </w:p>
        </w:tc>
      </w:tr>
      <w:tr w14:paraId="1C7D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F9B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69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30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44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牛籽粒</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73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51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06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2F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200 </w:t>
            </w:r>
          </w:p>
        </w:tc>
      </w:tr>
      <w:tr w14:paraId="1FBEF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9F7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24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31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20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牛仔骨</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F0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C1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33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57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100 </w:t>
            </w:r>
          </w:p>
        </w:tc>
      </w:tr>
      <w:tr w14:paraId="1E7B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9AA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23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32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A7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color w:val="auto"/>
                <w:highlight w:val="none"/>
                <w:lang w:val="en-US" w:eastAsia="zh-CN"/>
              </w:rPr>
              <w:t>筒</w:t>
            </w:r>
            <w:r>
              <w:rPr>
                <w:rFonts w:hint="eastAsia" w:asciiTheme="minorEastAsia" w:hAnsiTheme="minorEastAsia" w:cstheme="minorEastAsia"/>
                <w:i w:val="0"/>
                <w:iCs w:val="0"/>
                <w:color w:val="auto"/>
                <w:kern w:val="0"/>
                <w:sz w:val="21"/>
                <w:szCs w:val="21"/>
                <w:highlight w:val="none"/>
                <w:u w:val="none"/>
                <w:lang w:val="en-US" w:eastAsia="zh-CN" w:bidi="ar"/>
              </w:rPr>
              <w:t>子骨</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AF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EE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A8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38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650 </w:t>
            </w:r>
          </w:p>
        </w:tc>
      </w:tr>
      <w:tr w14:paraId="2A36F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6A4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BE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33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0B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鱼排</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DF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12斤/箱</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C8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4D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C7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125 </w:t>
            </w:r>
          </w:p>
        </w:tc>
      </w:tr>
      <w:tr w14:paraId="7399C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9DA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FE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34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41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虾仁</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07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50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74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F5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200 </w:t>
            </w:r>
          </w:p>
        </w:tc>
      </w:tr>
      <w:tr w14:paraId="446AB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292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10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35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F4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color w:val="auto"/>
                <w:highlight w:val="none"/>
                <w:lang w:val="en-US" w:eastAsia="zh-CN"/>
              </w:rPr>
              <w:t>鱿</w:t>
            </w:r>
            <w:r>
              <w:rPr>
                <w:rFonts w:hint="eastAsia" w:asciiTheme="minorEastAsia" w:hAnsiTheme="minorEastAsia" w:cstheme="minorEastAsia"/>
                <w:i w:val="0"/>
                <w:iCs w:val="0"/>
                <w:color w:val="auto"/>
                <w:kern w:val="0"/>
                <w:sz w:val="21"/>
                <w:szCs w:val="21"/>
                <w:highlight w:val="none"/>
                <w:u w:val="none"/>
                <w:lang w:val="en-US" w:eastAsia="zh-CN" w:bidi="ar"/>
              </w:rPr>
              <w:t>鱼须</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A1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E4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符合食品卫生及包装要求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CE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25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100 </w:t>
            </w:r>
          </w:p>
        </w:tc>
      </w:tr>
      <w:tr w14:paraId="094F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9BF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44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36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82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熟猪大肠</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B5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散装</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83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新鲜（符合食品配送要求）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7B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57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100 </w:t>
            </w:r>
          </w:p>
        </w:tc>
      </w:tr>
      <w:tr w14:paraId="19019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C9B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82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37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DC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熟猪肚</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D9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散装</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C2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新鲜（符合食品配送要求）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E6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7B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15 </w:t>
            </w:r>
          </w:p>
        </w:tc>
      </w:tr>
      <w:tr w14:paraId="391C3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D2D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84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38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82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牛柳</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17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散装</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16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新鲜（符合食品配送要求）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0D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96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200 </w:t>
            </w:r>
          </w:p>
        </w:tc>
      </w:tr>
      <w:tr w14:paraId="61AC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6CA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BD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39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D1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牛百叶半成品</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92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整片（按要求加工）</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13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新鲜（符合食品配送要求）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2B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C5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25 </w:t>
            </w:r>
          </w:p>
        </w:tc>
      </w:tr>
      <w:tr w14:paraId="08795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68A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E8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40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5A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牛肚半成品</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F7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整片（按要求加工）</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95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新鲜（符合食品配送要求）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61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E4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25 </w:t>
            </w:r>
          </w:p>
        </w:tc>
      </w:tr>
      <w:tr w14:paraId="02CF0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CD0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DC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41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2E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黑毛肚半成品</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78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整片（按要求加工）</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65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新鲜（符合食品配送要求）</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F0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斤</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51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 xml:space="preserve">25 </w:t>
            </w:r>
          </w:p>
        </w:tc>
      </w:tr>
    </w:tbl>
    <w:p w14:paraId="0458F3F6">
      <w:pPr>
        <w:adjustRightInd w:val="0"/>
        <w:snapToGrid w:val="0"/>
        <w:spacing w:line="360" w:lineRule="auto"/>
        <w:ind w:firstLine="482" w:firstLineChars="200"/>
        <w:rPr>
          <w:rFonts w:hint="eastAsia" w:asciiTheme="minorEastAsia" w:hAnsiTheme="minorEastAsia" w:cstheme="minorEastAsia"/>
          <w:b/>
          <w:bCs/>
          <w:color w:val="auto"/>
          <w:sz w:val="24"/>
          <w:szCs w:val="24"/>
          <w:highlight w:val="none"/>
          <w:lang w:val="en-US" w:eastAsia="zh-CN"/>
        </w:rPr>
      </w:pPr>
    </w:p>
    <w:p w14:paraId="6CFF3FE0">
      <w:pPr>
        <w:adjustRightInd w:val="0"/>
        <w:snapToGrid w:val="0"/>
        <w:spacing w:line="360" w:lineRule="auto"/>
        <w:ind w:firstLine="482" w:firstLineChars="200"/>
        <w:rPr>
          <w:rFonts w:hint="eastAsia" w:asciiTheme="minorEastAsia" w:hAnsiTheme="minorEastAsia" w:cstheme="minorEastAsia"/>
          <w:b/>
          <w:bCs/>
          <w:color w:val="auto"/>
          <w:sz w:val="24"/>
          <w:szCs w:val="24"/>
          <w:highlight w:val="none"/>
          <w:lang w:val="en-US" w:eastAsia="zh-CN"/>
        </w:rPr>
      </w:pPr>
    </w:p>
    <w:p w14:paraId="1431F504">
      <w:pPr>
        <w:adjustRightInd w:val="0"/>
        <w:snapToGrid w:val="0"/>
        <w:spacing w:line="360" w:lineRule="auto"/>
        <w:ind w:firstLine="482" w:firstLineChars="200"/>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（上述要求投标人应在投标文件中进行响应应答。实质性要求不接受负偏离，否则作为无效文件。如有疑问请与采购代理联系）</w:t>
      </w:r>
    </w:p>
    <w:p w14:paraId="2C357289">
      <w:pPr>
        <w:autoSpaceDE w:val="0"/>
        <w:autoSpaceDN w:val="0"/>
        <w:adjustRightInd w:val="0"/>
        <w:spacing w:line="360" w:lineRule="auto"/>
        <w:ind w:firstLine="420" w:firstLineChars="200"/>
        <w:jc w:val="left"/>
        <w:rPr>
          <w:rFonts w:ascii="宋体" w:hAnsi="宋体" w:eastAsia="宋体" w:cs="Arial"/>
          <w:color w:val="auto"/>
          <w:szCs w:val="21"/>
          <w:highlight w:val="none"/>
          <w:lang w:val="zh-CN"/>
        </w:rPr>
      </w:pPr>
      <w:r>
        <w:rPr>
          <w:rFonts w:hint="eastAsia" w:ascii="宋体" w:hAnsi="宋体" w:eastAsia="宋体" w:cs="Arial"/>
          <w:color w:val="auto"/>
          <w:szCs w:val="21"/>
          <w:highlight w:val="none"/>
          <w:lang w:val="zh-CN"/>
        </w:rPr>
        <w:br w:type="page"/>
      </w:r>
    </w:p>
    <w:p w14:paraId="5DE4DB74">
      <w:pPr>
        <w:pStyle w:val="16"/>
        <w:jc w:val="center"/>
        <w:outlineLvl w:val="0"/>
        <w:rPr>
          <w:rFonts w:cs="黑体" w:asciiTheme="minorEastAsia" w:hAnsiTheme="minorEastAsia" w:eastAsiaTheme="minorEastAsia"/>
          <w:b/>
          <w:color w:val="auto"/>
          <w:sz w:val="36"/>
          <w:highlight w:val="none"/>
          <w:lang w:val="zh-CN"/>
        </w:rPr>
      </w:pPr>
      <w:r>
        <w:rPr>
          <w:rFonts w:hint="eastAsia" w:cs="黑体" w:asciiTheme="minorEastAsia" w:hAnsiTheme="minorEastAsia" w:eastAsiaTheme="minorEastAsia"/>
          <w:b/>
          <w:color w:val="auto"/>
          <w:sz w:val="36"/>
          <w:highlight w:val="none"/>
          <w:lang w:val="zh-CN"/>
        </w:rPr>
        <w:t>第五章</w:t>
      </w:r>
      <w:r>
        <w:rPr>
          <w:rFonts w:hint="eastAsia" w:cs="黑体" w:asciiTheme="minorEastAsia" w:hAnsiTheme="minorEastAsia" w:eastAsiaTheme="minorEastAsia"/>
          <w:b/>
          <w:color w:val="auto"/>
          <w:sz w:val="36"/>
          <w:highlight w:val="none"/>
        </w:rPr>
        <w:t xml:space="preserve">  </w:t>
      </w:r>
      <w:r>
        <w:rPr>
          <w:rFonts w:hint="eastAsia" w:cs="黑体" w:asciiTheme="minorEastAsia" w:hAnsiTheme="minorEastAsia" w:eastAsiaTheme="minorEastAsia"/>
          <w:b/>
          <w:color w:val="auto"/>
          <w:sz w:val="36"/>
          <w:highlight w:val="none"/>
          <w:lang w:val="zh-CN"/>
        </w:rPr>
        <w:t>合同主要条款及格式</w:t>
      </w:r>
    </w:p>
    <w:p w14:paraId="4B7501BC">
      <w:pPr>
        <w:spacing w:line="360" w:lineRule="auto"/>
        <w:jc w:val="center"/>
        <w:rPr>
          <w:b/>
          <w:color w:val="auto"/>
          <w:sz w:val="22"/>
          <w:szCs w:val="22"/>
          <w:highlight w:val="none"/>
        </w:rPr>
      </w:pPr>
      <w:r>
        <w:rPr>
          <w:rFonts w:hint="eastAsia"/>
          <w:b/>
          <w:color w:val="auto"/>
          <w:sz w:val="22"/>
          <w:szCs w:val="22"/>
          <w:highlight w:val="none"/>
        </w:rPr>
        <w:t>（以下为中标后签定本项目合同的通用条款，中标人不得提出实质性的修改，关于专用条款将由</w:t>
      </w:r>
      <w:r>
        <w:rPr>
          <w:rFonts w:hint="eastAsia"/>
          <w:b/>
          <w:color w:val="auto"/>
          <w:sz w:val="22"/>
          <w:szCs w:val="22"/>
          <w:highlight w:val="none"/>
          <w:lang w:val="en-US" w:eastAsia="zh-CN"/>
        </w:rPr>
        <w:t>招标人</w:t>
      </w:r>
      <w:r>
        <w:rPr>
          <w:rFonts w:hint="eastAsia"/>
          <w:b/>
          <w:color w:val="auto"/>
          <w:sz w:val="22"/>
          <w:szCs w:val="22"/>
          <w:highlight w:val="none"/>
        </w:rPr>
        <w:t>与中标人结合本项目具体情况协商后签订。）</w:t>
      </w:r>
    </w:p>
    <w:p w14:paraId="49D17A7B">
      <w:pPr>
        <w:pStyle w:val="203"/>
        <w:numPr>
          <w:ilvl w:val="1"/>
          <w:numId w:val="0"/>
        </w:numPr>
        <w:snapToGrid w:val="0"/>
        <w:ind w:left="0" w:leftChars="0" w:firstLine="480" w:firstLineChars="0"/>
        <w:jc w:val="center"/>
        <w:textAlignment w:val="baseline"/>
        <w:rPr>
          <w:rFonts w:ascii="楷体" w:eastAsia="楷体"/>
          <w:color w:val="auto"/>
          <w:kern w:val="0"/>
          <w:sz w:val="22"/>
          <w:szCs w:val="20"/>
          <w:highlight w:val="none"/>
        </w:rPr>
      </w:pPr>
    </w:p>
    <w:p w14:paraId="71BD3B78">
      <w:pPr>
        <w:snapToGrid w:val="0"/>
        <w:spacing w:line="288" w:lineRule="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合同编号：</w:t>
      </w:r>
    </w:p>
    <w:p w14:paraId="3117479F">
      <w:pPr>
        <w:widowControl/>
        <w:spacing w:line="0" w:lineRule="atLeast"/>
        <w:rPr>
          <w:rFonts w:hint="eastAsia" w:asciiTheme="minorEastAsia" w:hAnsiTheme="minorEastAsia" w:eastAsiaTheme="minorEastAsia" w:cstheme="minorEastAsia"/>
          <w:b/>
          <w:color w:val="auto"/>
          <w:sz w:val="22"/>
          <w:szCs w:val="22"/>
          <w:highlight w:val="none"/>
        </w:rPr>
      </w:pPr>
    </w:p>
    <w:p w14:paraId="51968C28">
      <w:pPr>
        <w:widowControl/>
        <w:spacing w:line="0" w:lineRule="atLeast"/>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购销合同（食堂食材）</w:t>
      </w:r>
    </w:p>
    <w:p w14:paraId="195D5092">
      <w:pPr>
        <w:rPr>
          <w:rFonts w:hint="eastAsia" w:asciiTheme="minorEastAsia" w:hAnsiTheme="minorEastAsia" w:eastAsiaTheme="minorEastAsia" w:cstheme="minorEastAsia"/>
          <w:b/>
          <w:color w:val="auto"/>
          <w:sz w:val="22"/>
          <w:szCs w:val="22"/>
          <w:highlight w:val="none"/>
        </w:rPr>
      </w:pPr>
    </w:p>
    <w:p w14:paraId="5C278E34">
      <w:pPr>
        <w:spacing w:line="360" w:lineRule="auto"/>
        <w:ind w:firstLine="440" w:firstLineChars="200"/>
        <w:jc w:val="left"/>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color w:val="auto"/>
          <w:sz w:val="22"/>
          <w:szCs w:val="22"/>
          <w:highlight w:val="none"/>
        </w:rPr>
        <w:t>甲方：</w:t>
      </w:r>
    </w:p>
    <w:p w14:paraId="7E47EA9F">
      <w:pPr>
        <w:spacing w:line="360" w:lineRule="auto"/>
        <w:ind w:firstLine="440" w:firstLineChars="200"/>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乙方：</w:t>
      </w:r>
    </w:p>
    <w:p w14:paraId="69589776">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根据</w:t>
      </w:r>
      <w:r>
        <w:rPr>
          <w:rFonts w:hint="eastAsia" w:asciiTheme="minorEastAsia" w:hAnsiTheme="minorEastAsia" w:eastAsiaTheme="minorEastAsia" w:cstheme="minorEastAsia"/>
          <w:color w:val="auto"/>
          <w:sz w:val="22"/>
          <w:szCs w:val="22"/>
          <w:highlight w:val="none"/>
          <w:u w:val="single"/>
        </w:rPr>
        <w:t>南京校区三楼教工食堂食材采购</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cstheme="minorEastAsia"/>
          <w:color w:val="auto"/>
          <w:sz w:val="22"/>
          <w:szCs w:val="22"/>
          <w:highlight w:val="none"/>
          <w:lang w:val="en-US" w:eastAsia="zh-CN"/>
        </w:rPr>
        <w:t xml:space="preserve">项目编号：  </w:t>
      </w:r>
      <w:r>
        <w:rPr>
          <w:rFonts w:hint="eastAsia" w:asciiTheme="minorEastAsia" w:hAnsiTheme="minorEastAsia" w:eastAsiaTheme="minorEastAsia" w:cstheme="minorEastAsia"/>
          <w:color w:val="auto"/>
          <w:sz w:val="22"/>
          <w:szCs w:val="22"/>
          <w:highlight w:val="none"/>
        </w:rPr>
        <w:t>）项目招标结果，乙方被确定标段</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中标人。</w:t>
      </w:r>
    </w:p>
    <w:p w14:paraId="6E4FBD13">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为了保护甲、乙双方合法权益，根据《中华人民共和国民法典》及其他有关法律、法规、规章，甲、乙双方本着自愿、平等、互利和诚实信用的原则，经甲乙双方友好协商，达成一致意见，双方签订本合同书。条款如下：</w:t>
      </w:r>
    </w:p>
    <w:p w14:paraId="1B385505">
      <w:pPr>
        <w:spacing w:line="360" w:lineRule="auto"/>
        <w:ind w:firstLine="442" w:firstLineChars="200"/>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一、货物、供货时间、价格</w:t>
      </w:r>
    </w:p>
    <w:p w14:paraId="142F0E5D">
      <w:pPr>
        <w:pStyle w:val="16"/>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自</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年</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月</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日至</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年</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月</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日止。</w:t>
      </w:r>
      <w:r>
        <w:rPr>
          <w:rFonts w:hint="eastAsia" w:asciiTheme="minorEastAsia" w:hAnsiTheme="minorEastAsia" w:eastAsiaTheme="minorEastAsia" w:cstheme="minorEastAsia"/>
          <w:color w:val="auto"/>
          <w:spacing w:val="-3"/>
          <w:sz w:val="22"/>
          <w:szCs w:val="22"/>
          <w:highlight w:val="none"/>
        </w:rPr>
        <w:t>乙方须根据甲方的要求为甲方供应食材</w:t>
      </w:r>
      <w:r>
        <w:rPr>
          <w:rFonts w:hint="eastAsia" w:asciiTheme="minorEastAsia" w:hAnsiTheme="minorEastAsia" w:eastAsiaTheme="minorEastAsia" w:cstheme="minorEastAsia"/>
          <w:color w:val="auto"/>
          <w:sz w:val="22"/>
          <w:szCs w:val="22"/>
          <w:highlight w:val="none"/>
        </w:rPr>
        <w:t>，各品种</w:t>
      </w:r>
      <w:r>
        <w:rPr>
          <w:rFonts w:hint="eastAsia" w:asciiTheme="minorEastAsia" w:hAnsiTheme="minorEastAsia" w:eastAsiaTheme="minorEastAsia" w:cstheme="minorEastAsia"/>
          <w:color w:val="auto"/>
          <w:sz w:val="22"/>
          <w:szCs w:val="22"/>
          <w:highlight w:val="none"/>
          <w:lang w:val="en-US" w:eastAsia="zh-CN"/>
        </w:rPr>
        <w:t>品牌</w:t>
      </w:r>
      <w:r>
        <w:rPr>
          <w:rFonts w:hint="eastAsia" w:asciiTheme="minorEastAsia" w:hAnsiTheme="minorEastAsia" w:eastAsiaTheme="minorEastAsia" w:cstheme="minorEastAsia"/>
          <w:color w:val="auto"/>
          <w:sz w:val="22"/>
          <w:szCs w:val="22"/>
          <w:highlight w:val="none"/>
        </w:rPr>
        <w:t>及规格参照以下表格：</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2"/>
        <w:gridCol w:w="3724"/>
        <w:gridCol w:w="2784"/>
      </w:tblGrid>
      <w:tr w14:paraId="4C6D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pct"/>
            <w:vAlign w:val="center"/>
          </w:tcPr>
          <w:p w14:paraId="360B1FDA">
            <w:pPr>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品名</w:t>
            </w:r>
          </w:p>
        </w:tc>
        <w:tc>
          <w:tcPr>
            <w:tcW w:w="1923" w:type="pct"/>
            <w:vAlign w:val="center"/>
          </w:tcPr>
          <w:p w14:paraId="5BBFFCE6">
            <w:pPr>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规格</w:t>
            </w:r>
          </w:p>
        </w:tc>
        <w:tc>
          <w:tcPr>
            <w:tcW w:w="1437" w:type="pct"/>
            <w:vAlign w:val="center"/>
          </w:tcPr>
          <w:p w14:paraId="40D0E6E4">
            <w:pPr>
              <w:spacing w:line="240" w:lineRule="auto"/>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cstheme="minorEastAsia"/>
                <w:color w:val="auto"/>
                <w:sz w:val="22"/>
                <w:szCs w:val="22"/>
                <w:highlight w:val="none"/>
                <w:lang w:val="en-US" w:eastAsia="zh-CN"/>
              </w:rPr>
              <w:t>品牌</w:t>
            </w:r>
          </w:p>
        </w:tc>
      </w:tr>
      <w:tr w14:paraId="3803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pct"/>
            <w:vAlign w:val="center"/>
          </w:tcPr>
          <w:p w14:paraId="3D3149B4">
            <w:pPr>
              <w:spacing w:line="240" w:lineRule="auto"/>
              <w:jc w:val="center"/>
              <w:rPr>
                <w:rFonts w:hint="eastAsia" w:asciiTheme="minorEastAsia" w:hAnsiTheme="minorEastAsia" w:eastAsiaTheme="minorEastAsia" w:cstheme="minorEastAsia"/>
                <w:color w:val="auto"/>
                <w:sz w:val="22"/>
                <w:szCs w:val="22"/>
                <w:highlight w:val="none"/>
              </w:rPr>
            </w:pPr>
          </w:p>
        </w:tc>
        <w:tc>
          <w:tcPr>
            <w:tcW w:w="1923" w:type="pct"/>
            <w:vAlign w:val="center"/>
          </w:tcPr>
          <w:p w14:paraId="5C459E3D">
            <w:pPr>
              <w:spacing w:line="240" w:lineRule="auto"/>
              <w:jc w:val="center"/>
              <w:rPr>
                <w:rFonts w:hint="eastAsia" w:asciiTheme="minorEastAsia" w:hAnsiTheme="minorEastAsia" w:eastAsiaTheme="minorEastAsia" w:cstheme="minorEastAsia"/>
                <w:color w:val="auto"/>
                <w:sz w:val="22"/>
                <w:szCs w:val="22"/>
                <w:highlight w:val="none"/>
              </w:rPr>
            </w:pPr>
          </w:p>
        </w:tc>
        <w:tc>
          <w:tcPr>
            <w:tcW w:w="1437" w:type="pct"/>
            <w:vAlign w:val="center"/>
          </w:tcPr>
          <w:p w14:paraId="36509614">
            <w:pPr>
              <w:spacing w:line="240" w:lineRule="auto"/>
              <w:jc w:val="center"/>
              <w:rPr>
                <w:rFonts w:hint="eastAsia" w:asciiTheme="minorEastAsia" w:hAnsiTheme="minorEastAsia" w:eastAsiaTheme="minorEastAsia" w:cstheme="minorEastAsia"/>
                <w:color w:val="auto"/>
                <w:sz w:val="22"/>
                <w:szCs w:val="22"/>
                <w:highlight w:val="none"/>
              </w:rPr>
            </w:pPr>
          </w:p>
        </w:tc>
      </w:tr>
      <w:tr w14:paraId="475D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pct"/>
            <w:vAlign w:val="center"/>
          </w:tcPr>
          <w:p w14:paraId="783DA8A7">
            <w:pPr>
              <w:spacing w:line="240" w:lineRule="auto"/>
              <w:jc w:val="center"/>
              <w:rPr>
                <w:rFonts w:hint="eastAsia" w:asciiTheme="minorEastAsia" w:hAnsiTheme="minorEastAsia" w:eastAsiaTheme="minorEastAsia" w:cstheme="minorEastAsia"/>
                <w:color w:val="auto"/>
                <w:sz w:val="22"/>
                <w:szCs w:val="22"/>
                <w:highlight w:val="none"/>
              </w:rPr>
            </w:pPr>
          </w:p>
        </w:tc>
        <w:tc>
          <w:tcPr>
            <w:tcW w:w="1923" w:type="pct"/>
            <w:vAlign w:val="center"/>
          </w:tcPr>
          <w:p w14:paraId="1D7D4DF8">
            <w:pPr>
              <w:spacing w:line="240" w:lineRule="auto"/>
              <w:jc w:val="center"/>
              <w:rPr>
                <w:rFonts w:hint="eastAsia" w:asciiTheme="minorEastAsia" w:hAnsiTheme="minorEastAsia" w:eastAsiaTheme="minorEastAsia" w:cstheme="minorEastAsia"/>
                <w:color w:val="auto"/>
                <w:sz w:val="22"/>
                <w:szCs w:val="22"/>
                <w:highlight w:val="none"/>
              </w:rPr>
            </w:pPr>
          </w:p>
        </w:tc>
        <w:tc>
          <w:tcPr>
            <w:tcW w:w="1437" w:type="pct"/>
            <w:vAlign w:val="center"/>
          </w:tcPr>
          <w:p w14:paraId="1BDD4AFA">
            <w:pPr>
              <w:spacing w:line="240" w:lineRule="auto"/>
              <w:jc w:val="center"/>
              <w:rPr>
                <w:rFonts w:hint="eastAsia" w:asciiTheme="minorEastAsia" w:hAnsiTheme="minorEastAsia" w:eastAsiaTheme="minorEastAsia" w:cstheme="minorEastAsia"/>
                <w:color w:val="auto"/>
                <w:sz w:val="22"/>
                <w:szCs w:val="22"/>
                <w:highlight w:val="none"/>
              </w:rPr>
            </w:pPr>
          </w:p>
        </w:tc>
      </w:tr>
      <w:tr w14:paraId="6AC9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pct"/>
            <w:vAlign w:val="center"/>
          </w:tcPr>
          <w:p w14:paraId="54A2E0E0">
            <w:pPr>
              <w:spacing w:line="240" w:lineRule="auto"/>
              <w:jc w:val="center"/>
              <w:rPr>
                <w:rFonts w:hint="eastAsia" w:asciiTheme="minorEastAsia" w:hAnsiTheme="minorEastAsia" w:eastAsiaTheme="minorEastAsia" w:cstheme="minorEastAsia"/>
                <w:color w:val="auto"/>
                <w:sz w:val="22"/>
                <w:szCs w:val="22"/>
                <w:highlight w:val="none"/>
              </w:rPr>
            </w:pPr>
          </w:p>
        </w:tc>
        <w:tc>
          <w:tcPr>
            <w:tcW w:w="1923" w:type="pct"/>
            <w:vAlign w:val="center"/>
          </w:tcPr>
          <w:p w14:paraId="5461BA8D">
            <w:pPr>
              <w:spacing w:line="240" w:lineRule="auto"/>
              <w:jc w:val="center"/>
              <w:rPr>
                <w:rFonts w:hint="eastAsia" w:asciiTheme="minorEastAsia" w:hAnsiTheme="minorEastAsia" w:eastAsiaTheme="minorEastAsia" w:cstheme="minorEastAsia"/>
                <w:color w:val="auto"/>
                <w:sz w:val="22"/>
                <w:szCs w:val="22"/>
                <w:highlight w:val="none"/>
              </w:rPr>
            </w:pPr>
          </w:p>
        </w:tc>
        <w:tc>
          <w:tcPr>
            <w:tcW w:w="1437" w:type="pct"/>
            <w:vAlign w:val="center"/>
          </w:tcPr>
          <w:p w14:paraId="7C4A26B0">
            <w:pPr>
              <w:spacing w:line="240" w:lineRule="auto"/>
              <w:jc w:val="center"/>
              <w:rPr>
                <w:rFonts w:hint="eastAsia" w:asciiTheme="minorEastAsia" w:hAnsiTheme="minorEastAsia" w:eastAsiaTheme="minorEastAsia" w:cstheme="minorEastAsia"/>
                <w:color w:val="auto"/>
                <w:sz w:val="22"/>
                <w:szCs w:val="22"/>
                <w:highlight w:val="none"/>
              </w:rPr>
            </w:pPr>
          </w:p>
        </w:tc>
      </w:tr>
      <w:tr w14:paraId="0488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8" w:type="pct"/>
            <w:vAlign w:val="center"/>
          </w:tcPr>
          <w:p w14:paraId="5535BFEC">
            <w:pPr>
              <w:spacing w:line="240" w:lineRule="auto"/>
              <w:jc w:val="center"/>
              <w:rPr>
                <w:rFonts w:hint="eastAsia" w:asciiTheme="minorEastAsia" w:hAnsiTheme="minorEastAsia" w:eastAsiaTheme="minorEastAsia" w:cstheme="minorEastAsia"/>
                <w:color w:val="auto"/>
                <w:sz w:val="22"/>
                <w:szCs w:val="22"/>
                <w:highlight w:val="none"/>
              </w:rPr>
            </w:pPr>
          </w:p>
        </w:tc>
        <w:tc>
          <w:tcPr>
            <w:tcW w:w="1923" w:type="pct"/>
            <w:vAlign w:val="center"/>
          </w:tcPr>
          <w:p w14:paraId="723C5FEF">
            <w:pPr>
              <w:spacing w:line="240" w:lineRule="auto"/>
              <w:jc w:val="center"/>
              <w:rPr>
                <w:rFonts w:hint="eastAsia" w:asciiTheme="minorEastAsia" w:hAnsiTheme="minorEastAsia" w:eastAsiaTheme="minorEastAsia" w:cstheme="minorEastAsia"/>
                <w:color w:val="auto"/>
                <w:sz w:val="22"/>
                <w:szCs w:val="22"/>
                <w:highlight w:val="none"/>
              </w:rPr>
            </w:pPr>
          </w:p>
        </w:tc>
        <w:tc>
          <w:tcPr>
            <w:tcW w:w="1437" w:type="pct"/>
            <w:vAlign w:val="center"/>
          </w:tcPr>
          <w:p w14:paraId="6BF65D33">
            <w:pPr>
              <w:spacing w:line="240" w:lineRule="auto"/>
              <w:jc w:val="center"/>
              <w:rPr>
                <w:rFonts w:hint="eastAsia" w:asciiTheme="minorEastAsia" w:hAnsiTheme="minorEastAsia" w:eastAsiaTheme="minorEastAsia" w:cstheme="minorEastAsia"/>
                <w:color w:val="auto"/>
                <w:sz w:val="22"/>
                <w:szCs w:val="22"/>
                <w:highlight w:val="none"/>
              </w:rPr>
            </w:pPr>
          </w:p>
        </w:tc>
      </w:tr>
    </w:tbl>
    <w:p w14:paraId="239650C0">
      <w:pPr>
        <w:adjustRightInd w:val="0"/>
        <w:snapToGrid w:val="0"/>
        <w:spacing w:line="360" w:lineRule="auto"/>
        <w:ind w:firstLine="440" w:firstLineChars="200"/>
        <w:jc w:val="left"/>
        <w:rPr>
          <w:rFonts w:hint="default" w:asciiTheme="minorEastAsia" w:hAnsiTheme="minorEastAsia" w:eastAsiaTheme="minorEastAsia" w:cstheme="minorEastAsia"/>
          <w:b w:val="0"/>
          <w:bCs/>
          <w:color w:val="auto"/>
          <w:sz w:val="22"/>
          <w:szCs w:val="22"/>
          <w:highlight w:val="none"/>
          <w:lang w:val="en-US" w:eastAsia="zh-CN"/>
        </w:rPr>
      </w:pPr>
      <w:r>
        <w:rPr>
          <w:rFonts w:hint="default" w:asciiTheme="minorEastAsia" w:hAnsiTheme="minorEastAsia" w:eastAsiaTheme="minorEastAsia" w:cstheme="minorEastAsia"/>
          <w:b w:val="0"/>
          <w:bCs/>
          <w:color w:val="auto"/>
          <w:sz w:val="22"/>
          <w:szCs w:val="22"/>
          <w:highlight w:val="none"/>
          <w:lang w:val="en-US" w:eastAsia="zh-CN"/>
        </w:rPr>
        <w:t>（一）</w:t>
      </w:r>
      <w:r>
        <w:rPr>
          <w:rFonts w:hint="eastAsia" w:asciiTheme="minorEastAsia" w:hAnsiTheme="minorEastAsia" w:cstheme="minorEastAsia"/>
          <w:b w:val="0"/>
          <w:bCs/>
          <w:color w:val="auto"/>
          <w:sz w:val="22"/>
          <w:szCs w:val="22"/>
          <w:highlight w:val="none"/>
          <w:lang w:val="en-US" w:eastAsia="zh-CN"/>
        </w:rPr>
        <w:t>价格</w:t>
      </w:r>
    </w:p>
    <w:p w14:paraId="1C6DEC78">
      <w:pPr>
        <w:adjustRightInd w:val="0"/>
        <w:snapToGrid w:val="0"/>
        <w:spacing w:line="360" w:lineRule="auto"/>
        <w:ind w:firstLine="440" w:firstLineChars="200"/>
        <w:jc w:val="left"/>
        <w:rPr>
          <w:rFonts w:hint="default" w:asciiTheme="minorEastAsia" w:hAnsiTheme="minorEastAsia" w:eastAsiaTheme="minorEastAsia" w:cstheme="minorEastAsia"/>
          <w:b w:val="0"/>
          <w:bCs/>
          <w:color w:val="auto"/>
          <w:sz w:val="22"/>
          <w:szCs w:val="22"/>
          <w:highlight w:val="none"/>
          <w:lang w:val="en-US" w:eastAsia="zh-CN"/>
        </w:rPr>
      </w:pPr>
      <w:r>
        <w:rPr>
          <w:rFonts w:hint="default" w:asciiTheme="minorEastAsia" w:hAnsiTheme="minorEastAsia" w:eastAsiaTheme="minorEastAsia" w:cstheme="minorEastAsia"/>
          <w:b w:val="0"/>
          <w:bCs/>
          <w:color w:val="auto"/>
          <w:sz w:val="22"/>
          <w:szCs w:val="22"/>
          <w:highlight w:val="none"/>
          <w:lang w:val="en-US" w:eastAsia="zh-CN"/>
        </w:rPr>
        <w:t>1、依据“定价方法”</w:t>
      </w:r>
      <w:r>
        <w:rPr>
          <w:rFonts w:hint="eastAsia" w:asciiTheme="minorEastAsia" w:hAnsiTheme="minorEastAsia" w:cstheme="minorEastAsia"/>
          <w:b w:val="0"/>
          <w:bCs/>
          <w:color w:val="auto"/>
          <w:sz w:val="22"/>
          <w:szCs w:val="22"/>
          <w:highlight w:val="none"/>
          <w:lang w:val="en-US" w:eastAsia="zh-CN"/>
        </w:rPr>
        <w:t>的</w:t>
      </w:r>
      <w:r>
        <w:rPr>
          <w:rFonts w:hint="eastAsia" w:asciiTheme="minorEastAsia" w:hAnsiTheme="minorEastAsia" w:cstheme="minorEastAsia"/>
          <w:b w:val="0"/>
          <w:bCs/>
          <w:color w:val="auto"/>
          <w:sz w:val="22"/>
          <w:szCs w:val="22"/>
          <w:highlight w:val="none"/>
          <w:u w:val="single"/>
          <w:lang w:val="en-US" w:eastAsia="zh-CN"/>
        </w:rPr>
        <w:t xml:space="preserve">    </w:t>
      </w:r>
      <w:r>
        <w:rPr>
          <w:rFonts w:hint="eastAsia" w:asciiTheme="minorEastAsia" w:hAnsiTheme="minorEastAsia" w:cstheme="minorEastAsia"/>
          <w:b w:val="0"/>
          <w:bCs/>
          <w:color w:val="auto"/>
          <w:sz w:val="22"/>
          <w:szCs w:val="22"/>
          <w:highlight w:val="none"/>
          <w:lang w:val="en-US" w:eastAsia="zh-CN"/>
        </w:rPr>
        <w:t>%结算</w:t>
      </w:r>
      <w:r>
        <w:rPr>
          <w:rFonts w:hint="default" w:asciiTheme="minorEastAsia" w:hAnsiTheme="minorEastAsia" w:eastAsiaTheme="minorEastAsia" w:cstheme="minorEastAsia"/>
          <w:b w:val="0"/>
          <w:bCs/>
          <w:color w:val="auto"/>
          <w:sz w:val="22"/>
          <w:szCs w:val="22"/>
          <w:highlight w:val="none"/>
          <w:lang w:val="en-US" w:eastAsia="zh-CN"/>
        </w:rPr>
        <w:t>；</w:t>
      </w:r>
    </w:p>
    <w:p w14:paraId="4F869935">
      <w:pPr>
        <w:adjustRightInd w:val="0"/>
        <w:snapToGrid w:val="0"/>
        <w:spacing w:line="360" w:lineRule="auto"/>
        <w:ind w:firstLine="440" w:firstLineChars="200"/>
        <w:jc w:val="left"/>
        <w:rPr>
          <w:rFonts w:hint="default"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cstheme="minorEastAsia"/>
          <w:b w:val="0"/>
          <w:bCs/>
          <w:color w:val="auto"/>
          <w:sz w:val="22"/>
          <w:szCs w:val="22"/>
          <w:highlight w:val="none"/>
          <w:lang w:val="en-US" w:eastAsia="zh-CN"/>
        </w:rPr>
        <w:t>2</w:t>
      </w:r>
      <w:r>
        <w:rPr>
          <w:rFonts w:hint="default" w:asciiTheme="minorEastAsia" w:hAnsiTheme="minorEastAsia" w:eastAsiaTheme="minorEastAsia" w:cstheme="minorEastAsia"/>
          <w:b w:val="0"/>
          <w:bCs/>
          <w:color w:val="auto"/>
          <w:sz w:val="22"/>
          <w:szCs w:val="22"/>
          <w:highlight w:val="none"/>
          <w:lang w:val="en-US" w:eastAsia="zh-CN"/>
        </w:rPr>
        <w:t>、报价为含食材、运输、人工、税费等完成本项目发生的所有费用。</w:t>
      </w:r>
      <w:r>
        <w:rPr>
          <w:rFonts w:hint="eastAsia" w:asciiTheme="minorEastAsia" w:hAnsiTheme="minorEastAsia" w:cstheme="minorEastAsia"/>
          <w:b w:val="0"/>
          <w:bCs/>
          <w:color w:val="auto"/>
          <w:sz w:val="22"/>
          <w:szCs w:val="22"/>
          <w:highlight w:val="none"/>
          <w:lang w:val="en-US" w:eastAsia="zh-CN"/>
        </w:rPr>
        <w:t>乙方</w:t>
      </w:r>
      <w:r>
        <w:rPr>
          <w:rFonts w:hint="default" w:asciiTheme="minorEastAsia" w:hAnsiTheme="minorEastAsia" w:eastAsiaTheme="minorEastAsia" w:cstheme="minorEastAsia"/>
          <w:b w:val="0"/>
          <w:bCs/>
          <w:color w:val="auto"/>
          <w:sz w:val="22"/>
          <w:szCs w:val="22"/>
          <w:highlight w:val="none"/>
          <w:lang w:val="en-US" w:eastAsia="zh-CN"/>
        </w:rPr>
        <w:t>一旦</w:t>
      </w:r>
      <w:r>
        <w:rPr>
          <w:rFonts w:hint="eastAsia" w:asciiTheme="minorEastAsia" w:hAnsiTheme="minorEastAsia" w:cstheme="minorEastAsia"/>
          <w:b w:val="0"/>
          <w:bCs/>
          <w:color w:val="auto"/>
          <w:sz w:val="22"/>
          <w:szCs w:val="22"/>
          <w:highlight w:val="none"/>
          <w:lang w:val="en-US" w:eastAsia="zh-CN"/>
        </w:rPr>
        <w:t>中标</w:t>
      </w:r>
      <w:r>
        <w:rPr>
          <w:rFonts w:hint="default" w:asciiTheme="minorEastAsia" w:hAnsiTheme="minorEastAsia" w:eastAsiaTheme="minorEastAsia" w:cstheme="minorEastAsia"/>
          <w:b w:val="0"/>
          <w:bCs/>
          <w:color w:val="auto"/>
          <w:sz w:val="22"/>
          <w:szCs w:val="22"/>
          <w:highlight w:val="none"/>
          <w:lang w:val="en-US" w:eastAsia="zh-CN"/>
        </w:rPr>
        <w:t>后，如因市场变化、政策性调整等因素导致报价成本的变化，中标折扣将不会得到调整。</w:t>
      </w:r>
    </w:p>
    <w:p w14:paraId="3C57CE3C">
      <w:pPr>
        <w:adjustRightInd w:val="0"/>
        <w:snapToGrid w:val="0"/>
        <w:spacing w:line="360" w:lineRule="auto"/>
        <w:ind w:firstLine="440" w:firstLineChars="200"/>
        <w:jc w:val="left"/>
        <w:rPr>
          <w:rFonts w:hint="default" w:asciiTheme="minorEastAsia" w:hAnsiTheme="minorEastAsia" w:eastAsiaTheme="minorEastAsia" w:cstheme="minorEastAsia"/>
          <w:b w:val="0"/>
          <w:bCs/>
          <w:color w:val="auto"/>
          <w:sz w:val="22"/>
          <w:szCs w:val="22"/>
          <w:highlight w:val="none"/>
          <w:lang w:val="en-US" w:eastAsia="zh-CN"/>
        </w:rPr>
      </w:pPr>
      <w:r>
        <w:rPr>
          <w:rFonts w:hint="default" w:asciiTheme="minorEastAsia" w:hAnsiTheme="minorEastAsia" w:eastAsiaTheme="minorEastAsia" w:cstheme="minorEastAsia"/>
          <w:b w:val="0"/>
          <w:bCs/>
          <w:color w:val="auto"/>
          <w:sz w:val="22"/>
          <w:szCs w:val="22"/>
          <w:highlight w:val="none"/>
          <w:lang w:val="en-US" w:eastAsia="zh-CN"/>
        </w:rPr>
        <w:t>（二）定价方法</w:t>
      </w:r>
    </w:p>
    <w:p w14:paraId="024DCDDA">
      <w:pPr>
        <w:adjustRightInd w:val="0"/>
        <w:snapToGrid w:val="0"/>
        <w:spacing w:line="360" w:lineRule="auto"/>
        <w:ind w:firstLine="440" w:firstLineChars="200"/>
        <w:jc w:val="left"/>
        <w:rPr>
          <w:rFonts w:hint="default" w:asciiTheme="minorEastAsia" w:hAnsiTheme="minorEastAsia" w:eastAsiaTheme="minorEastAsia" w:cstheme="minorEastAsia"/>
          <w:b w:val="0"/>
          <w:bCs/>
          <w:color w:val="auto"/>
          <w:sz w:val="22"/>
          <w:szCs w:val="22"/>
          <w:highlight w:val="none"/>
          <w:lang w:val="en-US" w:eastAsia="zh-CN"/>
        </w:rPr>
      </w:pPr>
      <w:r>
        <w:rPr>
          <w:rFonts w:hint="default" w:asciiTheme="minorEastAsia" w:hAnsiTheme="minorEastAsia" w:eastAsiaTheme="minorEastAsia" w:cstheme="minorEastAsia"/>
          <w:b w:val="0"/>
          <w:bCs/>
          <w:color w:val="auto"/>
          <w:sz w:val="22"/>
          <w:szCs w:val="22"/>
          <w:highlight w:val="none"/>
          <w:lang w:val="en-US" w:eastAsia="zh-CN"/>
        </w:rPr>
        <w:t>1、所供食材种类单价参照供货前一周“南京市发展和改革委员会官网”网站公布的价格为基准（网站公布的价格均为含税价）；</w:t>
      </w:r>
    </w:p>
    <w:p w14:paraId="0F6D5DB3">
      <w:pPr>
        <w:adjustRightInd w:val="0"/>
        <w:snapToGrid w:val="0"/>
        <w:spacing w:line="360" w:lineRule="auto"/>
        <w:ind w:firstLine="440" w:firstLineChars="200"/>
        <w:jc w:val="left"/>
        <w:rPr>
          <w:rFonts w:hint="default" w:asciiTheme="minorEastAsia" w:hAnsiTheme="minorEastAsia" w:eastAsiaTheme="minorEastAsia" w:cstheme="minorEastAsia"/>
          <w:b w:val="0"/>
          <w:bCs/>
          <w:color w:val="auto"/>
          <w:sz w:val="22"/>
          <w:szCs w:val="22"/>
          <w:highlight w:val="none"/>
          <w:lang w:val="en-US" w:eastAsia="zh-CN"/>
        </w:rPr>
      </w:pPr>
      <w:r>
        <w:rPr>
          <w:rFonts w:hint="default" w:asciiTheme="minorEastAsia" w:hAnsiTheme="minorEastAsia" w:eastAsiaTheme="minorEastAsia" w:cstheme="minorEastAsia"/>
          <w:b w:val="0"/>
          <w:bCs/>
          <w:color w:val="auto"/>
          <w:sz w:val="22"/>
          <w:szCs w:val="22"/>
          <w:highlight w:val="none"/>
          <w:lang w:val="en-US" w:eastAsia="zh-CN"/>
        </w:rPr>
        <w:t>2、网站未公布的食材价格：以供货前一天，在</w:t>
      </w:r>
      <w:r>
        <w:rPr>
          <w:rFonts w:hint="eastAsia" w:asciiTheme="minorEastAsia" w:hAnsiTheme="minorEastAsia" w:cstheme="minorEastAsia"/>
          <w:b w:val="0"/>
          <w:bCs/>
          <w:color w:val="auto"/>
          <w:sz w:val="22"/>
          <w:szCs w:val="22"/>
          <w:highlight w:val="none"/>
          <w:lang w:val="en-US" w:eastAsia="zh-CN"/>
        </w:rPr>
        <w:t>甲方</w:t>
      </w:r>
      <w:r>
        <w:rPr>
          <w:rFonts w:hint="default" w:asciiTheme="minorEastAsia" w:hAnsiTheme="minorEastAsia" w:eastAsiaTheme="minorEastAsia" w:cstheme="minorEastAsia"/>
          <w:b w:val="0"/>
          <w:bCs/>
          <w:color w:val="auto"/>
          <w:sz w:val="22"/>
          <w:szCs w:val="22"/>
          <w:highlight w:val="none"/>
          <w:lang w:val="en-US" w:eastAsia="zh-CN"/>
        </w:rPr>
        <w:t>单位周边的零售菜场或超市所询的同品牌同类商品零售价的最低价为基准；</w:t>
      </w:r>
    </w:p>
    <w:p w14:paraId="1D2DB004">
      <w:pPr>
        <w:adjustRightInd w:val="0"/>
        <w:snapToGrid w:val="0"/>
        <w:spacing w:line="360" w:lineRule="auto"/>
        <w:ind w:firstLine="440" w:firstLineChars="200"/>
        <w:jc w:val="left"/>
        <w:rPr>
          <w:rFonts w:hint="default" w:asciiTheme="minorEastAsia" w:hAnsiTheme="minorEastAsia" w:eastAsiaTheme="minorEastAsia" w:cstheme="minorEastAsia"/>
          <w:b w:val="0"/>
          <w:bCs/>
          <w:color w:val="auto"/>
          <w:sz w:val="22"/>
          <w:szCs w:val="22"/>
          <w:highlight w:val="none"/>
          <w:lang w:val="en-US" w:eastAsia="zh-CN"/>
        </w:rPr>
      </w:pPr>
      <w:r>
        <w:rPr>
          <w:rFonts w:hint="default" w:asciiTheme="minorEastAsia" w:hAnsiTheme="minorEastAsia" w:eastAsiaTheme="minorEastAsia" w:cstheme="minorEastAsia"/>
          <w:b w:val="0"/>
          <w:bCs/>
          <w:color w:val="auto"/>
          <w:sz w:val="22"/>
          <w:szCs w:val="22"/>
          <w:highlight w:val="none"/>
          <w:lang w:val="en-US" w:eastAsia="zh-CN"/>
        </w:rPr>
        <w:t>3、</w:t>
      </w:r>
      <w:r>
        <w:rPr>
          <w:rFonts w:hint="eastAsia" w:asciiTheme="minorEastAsia" w:hAnsiTheme="minorEastAsia" w:cstheme="minorEastAsia"/>
          <w:b w:val="0"/>
          <w:bCs/>
          <w:color w:val="auto"/>
          <w:sz w:val="22"/>
          <w:szCs w:val="22"/>
          <w:highlight w:val="none"/>
          <w:lang w:val="en-US" w:eastAsia="zh-CN"/>
        </w:rPr>
        <w:t>乙方</w:t>
      </w:r>
      <w:r>
        <w:rPr>
          <w:rFonts w:hint="default" w:asciiTheme="minorEastAsia" w:hAnsiTheme="minorEastAsia" w:eastAsiaTheme="minorEastAsia" w:cstheme="minorEastAsia"/>
          <w:b w:val="0"/>
          <w:bCs/>
          <w:color w:val="auto"/>
          <w:sz w:val="22"/>
          <w:szCs w:val="22"/>
          <w:highlight w:val="none"/>
          <w:lang w:val="en-US" w:eastAsia="zh-CN"/>
        </w:rPr>
        <w:t>每周按照上述第1和第2条要求进行价格对比，报价后市场价格有明显变化须及时调整送货价格，并在送货单上注明，方便结算时核价。</w:t>
      </w:r>
    </w:p>
    <w:p w14:paraId="56231535">
      <w:pPr>
        <w:adjustRightInd w:val="0"/>
        <w:snapToGrid w:val="0"/>
        <w:spacing w:line="360" w:lineRule="auto"/>
        <w:ind w:firstLine="440" w:firstLineChars="200"/>
        <w:jc w:val="left"/>
        <w:rPr>
          <w:rFonts w:hint="default" w:asciiTheme="minorEastAsia" w:hAnsiTheme="minorEastAsia" w:eastAsiaTheme="minorEastAsia" w:cstheme="minorEastAsia"/>
          <w:b w:val="0"/>
          <w:bCs/>
          <w:color w:val="auto"/>
          <w:sz w:val="22"/>
          <w:szCs w:val="22"/>
          <w:highlight w:val="none"/>
          <w:lang w:val="en-US" w:eastAsia="zh-CN"/>
        </w:rPr>
      </w:pPr>
      <w:r>
        <w:rPr>
          <w:rFonts w:hint="default" w:asciiTheme="minorEastAsia" w:hAnsiTheme="minorEastAsia" w:eastAsiaTheme="minorEastAsia" w:cstheme="minorEastAsia"/>
          <w:b w:val="0"/>
          <w:bCs/>
          <w:color w:val="auto"/>
          <w:sz w:val="22"/>
          <w:szCs w:val="22"/>
          <w:highlight w:val="none"/>
          <w:lang w:val="en-US" w:eastAsia="zh-CN"/>
        </w:rPr>
        <w:t>（注：食材涨价须提前告知</w:t>
      </w:r>
      <w:r>
        <w:rPr>
          <w:rFonts w:hint="eastAsia" w:asciiTheme="minorEastAsia" w:hAnsiTheme="minorEastAsia" w:cstheme="minorEastAsia"/>
          <w:b w:val="0"/>
          <w:bCs/>
          <w:color w:val="auto"/>
          <w:sz w:val="22"/>
          <w:szCs w:val="22"/>
          <w:highlight w:val="none"/>
          <w:lang w:val="en-US" w:eastAsia="zh-CN"/>
        </w:rPr>
        <w:t>甲方</w:t>
      </w:r>
      <w:r>
        <w:rPr>
          <w:rFonts w:hint="default" w:asciiTheme="minorEastAsia" w:hAnsiTheme="minorEastAsia" w:eastAsiaTheme="minorEastAsia" w:cstheme="minorEastAsia"/>
          <w:b w:val="0"/>
          <w:bCs/>
          <w:color w:val="auto"/>
          <w:sz w:val="22"/>
          <w:szCs w:val="22"/>
          <w:highlight w:val="none"/>
          <w:lang w:val="en-US" w:eastAsia="zh-CN"/>
        </w:rPr>
        <w:t>，本周内某食材涨价20%以下仍然按涨价之前的价格计算）</w:t>
      </w:r>
    </w:p>
    <w:p w14:paraId="1ACB602F">
      <w:pPr>
        <w:adjustRightInd w:val="0"/>
        <w:snapToGrid w:val="0"/>
        <w:spacing w:line="360" w:lineRule="auto"/>
        <w:ind w:firstLine="442" w:firstLineChars="200"/>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二、货物质量</w:t>
      </w:r>
    </w:p>
    <w:p w14:paraId="0146F0F6">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乙方</w:t>
      </w:r>
      <w:r>
        <w:rPr>
          <w:rFonts w:hint="eastAsia" w:asciiTheme="minorEastAsia" w:hAnsiTheme="minorEastAsia" w:eastAsiaTheme="minorEastAsia" w:cstheme="minorEastAsia"/>
          <w:color w:val="auto"/>
          <w:sz w:val="22"/>
          <w:szCs w:val="22"/>
          <w:highlight w:val="none"/>
        </w:rPr>
        <w:t>所供主副食品必须满足《中华人民共和国食品安全法》、《中华人民共和国农产品质量安全法》和</w:t>
      </w:r>
      <w:r>
        <w:rPr>
          <w:rFonts w:hint="eastAsia" w:asciiTheme="minorEastAsia" w:hAnsiTheme="minorEastAsia" w:eastAsiaTheme="minorEastAsia" w:cstheme="minorEastAsia"/>
          <w:color w:val="auto"/>
          <w:sz w:val="22"/>
          <w:szCs w:val="22"/>
          <w:highlight w:val="none"/>
          <w:lang w:val="en-US" w:eastAsia="zh-CN"/>
        </w:rPr>
        <w:t>甲方</w:t>
      </w:r>
      <w:r>
        <w:rPr>
          <w:rFonts w:hint="eastAsia" w:asciiTheme="minorEastAsia" w:hAnsiTheme="minorEastAsia" w:eastAsiaTheme="minorEastAsia" w:cstheme="minorEastAsia"/>
          <w:color w:val="auto"/>
          <w:sz w:val="22"/>
          <w:szCs w:val="22"/>
          <w:highlight w:val="none"/>
        </w:rPr>
        <w:t>有关要求，符合国家质量技术监督和食品卫生标准，确保安全。</w:t>
      </w:r>
    </w:p>
    <w:p w14:paraId="24B69545">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1、水产、肉禽类须保证为鲜活产品。</w:t>
      </w:r>
    </w:p>
    <w:p w14:paraId="461844D4">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2、蔬菜、水果类食品要求新鲜，无霉烂变质。</w:t>
      </w:r>
    </w:p>
    <w:p w14:paraId="2F8FD6C3">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3、干杂类须是正规厂家并具有合格证书且无任何添加剂的优质产品。</w:t>
      </w:r>
    </w:p>
    <w:p w14:paraId="59EEC1C9">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4、其它有包装食品应符合《中华人民共和国产品质量法》有关要求，剩余保质期不少于三分之二。</w:t>
      </w:r>
    </w:p>
    <w:p w14:paraId="67675561">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w:t>
      </w:r>
      <w:r>
        <w:rPr>
          <w:rFonts w:hint="eastAsia" w:asciiTheme="minorEastAsia" w:hAnsiTheme="minorEastAsia" w:eastAsiaTheme="minorEastAsia" w:cstheme="minorEastAsia"/>
          <w:color w:val="auto"/>
          <w:sz w:val="22"/>
          <w:szCs w:val="22"/>
          <w:highlight w:val="none"/>
          <w:lang w:val="en-US" w:eastAsia="zh-CN"/>
        </w:rPr>
        <w:t>乙方</w:t>
      </w:r>
      <w:r>
        <w:rPr>
          <w:rFonts w:hint="eastAsia" w:asciiTheme="minorEastAsia" w:hAnsiTheme="minorEastAsia" w:eastAsiaTheme="minorEastAsia" w:cstheme="minorEastAsia"/>
          <w:color w:val="auto"/>
          <w:sz w:val="22"/>
          <w:szCs w:val="22"/>
          <w:highlight w:val="none"/>
        </w:rPr>
        <w:t>送货至</w:t>
      </w:r>
      <w:r>
        <w:rPr>
          <w:rFonts w:hint="eastAsia" w:asciiTheme="minorEastAsia" w:hAnsiTheme="minorEastAsia" w:eastAsiaTheme="minorEastAsia" w:cstheme="minorEastAsia"/>
          <w:color w:val="auto"/>
          <w:sz w:val="22"/>
          <w:szCs w:val="22"/>
          <w:highlight w:val="none"/>
          <w:lang w:val="en-US" w:eastAsia="zh-CN"/>
        </w:rPr>
        <w:t>甲方</w:t>
      </w:r>
      <w:r>
        <w:rPr>
          <w:rFonts w:hint="eastAsia" w:asciiTheme="minorEastAsia" w:hAnsiTheme="minorEastAsia" w:eastAsiaTheme="minorEastAsia" w:cstheme="minorEastAsia"/>
          <w:color w:val="auto"/>
          <w:sz w:val="22"/>
          <w:szCs w:val="22"/>
          <w:highlight w:val="none"/>
        </w:rPr>
        <w:t>后进行复称，生鲜称重类货物以去包装后重量为准。</w:t>
      </w:r>
    </w:p>
    <w:p w14:paraId="1157F691">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6、运输过程须保证食品的卫生与安全，运输冷藏工具应停放在指定的地点。</w:t>
      </w:r>
    </w:p>
    <w:p w14:paraId="78A322DC">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7、需要</w:t>
      </w:r>
      <w:r>
        <w:rPr>
          <w:rFonts w:hint="eastAsia" w:asciiTheme="minorEastAsia" w:hAnsiTheme="minorEastAsia" w:eastAsiaTheme="minorEastAsia" w:cstheme="minorEastAsia"/>
          <w:color w:val="auto"/>
          <w:sz w:val="22"/>
          <w:szCs w:val="22"/>
          <w:highlight w:val="none"/>
          <w:lang w:val="en-US" w:eastAsia="zh-CN"/>
        </w:rPr>
        <w:t>乙方</w:t>
      </w:r>
      <w:r>
        <w:rPr>
          <w:rFonts w:hint="eastAsia" w:asciiTheme="minorEastAsia" w:hAnsiTheme="minorEastAsia" w:eastAsiaTheme="minorEastAsia" w:cstheme="minorEastAsia"/>
          <w:color w:val="auto"/>
          <w:sz w:val="22"/>
          <w:szCs w:val="22"/>
          <w:highlight w:val="none"/>
        </w:rPr>
        <w:t>配送未列明情况的其它产品质量要求，由</w:t>
      </w:r>
      <w:r>
        <w:rPr>
          <w:rFonts w:hint="eastAsia" w:asciiTheme="minorEastAsia" w:hAnsiTheme="minorEastAsia" w:eastAsiaTheme="minorEastAsia" w:cstheme="minorEastAsia"/>
          <w:color w:val="auto"/>
          <w:sz w:val="22"/>
          <w:szCs w:val="22"/>
          <w:highlight w:val="none"/>
          <w:lang w:val="en-US" w:eastAsia="zh-CN"/>
        </w:rPr>
        <w:t>甲方</w:t>
      </w:r>
      <w:r>
        <w:rPr>
          <w:rFonts w:hint="eastAsia" w:asciiTheme="minorEastAsia" w:hAnsiTheme="minorEastAsia" w:eastAsiaTheme="minorEastAsia" w:cstheme="minorEastAsia"/>
          <w:color w:val="auto"/>
          <w:sz w:val="22"/>
          <w:szCs w:val="22"/>
          <w:highlight w:val="none"/>
        </w:rPr>
        <w:t>双方协商确定。</w:t>
      </w:r>
    </w:p>
    <w:p w14:paraId="4CB135A2">
      <w:pPr>
        <w:adjustRightInd w:val="0"/>
        <w:snapToGrid w:val="0"/>
        <w:spacing w:line="360" w:lineRule="auto"/>
        <w:ind w:firstLine="442" w:firstLineChars="200"/>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三、送货及验收要求</w:t>
      </w:r>
    </w:p>
    <w:p w14:paraId="5FAA4F90">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1、交期要求：乙方须保证在约定时间之前将甲方所订的货物送至甲方所在地或其他指定位置；乙方如送货迟到超过半小时，甲方可扣乙方当天总货款的10%</w:t>
      </w:r>
      <w:r>
        <w:rPr>
          <w:rFonts w:hint="eastAsia" w:asciiTheme="minorEastAsia" w:hAnsiTheme="minorEastAsia" w:eastAsiaTheme="minorEastAsia" w:cstheme="minorEastAsia"/>
          <w:color w:val="auto"/>
          <w:sz w:val="22"/>
          <w:szCs w:val="22"/>
          <w:highlight w:val="none"/>
          <w:lang w:eastAsia="zh-CN"/>
        </w:rPr>
        <w:t>作为</w:t>
      </w:r>
      <w:r>
        <w:rPr>
          <w:rFonts w:hint="eastAsia" w:asciiTheme="minorEastAsia" w:hAnsiTheme="minorEastAsia" w:eastAsiaTheme="minorEastAsia" w:cstheme="minorEastAsia"/>
          <w:color w:val="auto"/>
          <w:sz w:val="22"/>
          <w:szCs w:val="22"/>
          <w:highlight w:val="none"/>
        </w:rPr>
        <w:t>违约金。因迟到时间长而造成甲方无法正常供餐的，甲方有权追究乙方相关经济、法律责任。遇有特殊任务或其他情况，应以</w:t>
      </w:r>
      <w:r>
        <w:rPr>
          <w:rFonts w:hint="eastAsia" w:asciiTheme="minorEastAsia" w:hAnsiTheme="minorEastAsia" w:eastAsiaTheme="minorEastAsia" w:cstheme="minorEastAsia"/>
          <w:color w:val="auto"/>
          <w:sz w:val="22"/>
          <w:szCs w:val="22"/>
          <w:highlight w:val="none"/>
          <w:lang w:val="en-US" w:eastAsia="zh-CN"/>
        </w:rPr>
        <w:t>甲方</w:t>
      </w:r>
      <w:r>
        <w:rPr>
          <w:rFonts w:hint="eastAsia" w:asciiTheme="minorEastAsia" w:hAnsiTheme="minorEastAsia" w:eastAsiaTheme="minorEastAsia" w:cstheme="minorEastAsia"/>
          <w:color w:val="auto"/>
          <w:sz w:val="22"/>
          <w:szCs w:val="22"/>
          <w:highlight w:val="none"/>
        </w:rPr>
        <w:t>具体要求为准。非正常工作时间，遇特殊情况，</w:t>
      </w:r>
      <w:r>
        <w:rPr>
          <w:rFonts w:hint="eastAsia" w:asciiTheme="minorEastAsia" w:hAnsiTheme="minorEastAsia" w:eastAsiaTheme="minorEastAsia" w:cstheme="minorEastAsia"/>
          <w:color w:val="auto"/>
          <w:sz w:val="22"/>
          <w:szCs w:val="22"/>
          <w:highlight w:val="none"/>
          <w:lang w:val="en-US" w:eastAsia="zh-CN"/>
        </w:rPr>
        <w:t>乙方</w:t>
      </w:r>
      <w:r>
        <w:rPr>
          <w:rFonts w:hint="eastAsia" w:asciiTheme="minorEastAsia" w:hAnsiTheme="minorEastAsia" w:eastAsiaTheme="minorEastAsia" w:cstheme="minorEastAsia"/>
          <w:color w:val="auto"/>
          <w:sz w:val="22"/>
          <w:szCs w:val="22"/>
          <w:highlight w:val="none"/>
        </w:rPr>
        <w:t>要为</w:t>
      </w:r>
      <w:r>
        <w:rPr>
          <w:rFonts w:hint="eastAsia" w:asciiTheme="minorEastAsia" w:hAnsiTheme="minorEastAsia" w:eastAsiaTheme="minorEastAsia" w:cstheme="minorEastAsia"/>
          <w:color w:val="auto"/>
          <w:sz w:val="22"/>
          <w:szCs w:val="22"/>
          <w:highlight w:val="none"/>
          <w:lang w:val="en-US" w:eastAsia="zh-CN"/>
        </w:rPr>
        <w:t>甲方</w:t>
      </w:r>
      <w:r>
        <w:rPr>
          <w:rFonts w:hint="eastAsia" w:asciiTheme="minorEastAsia" w:hAnsiTheme="minorEastAsia" w:eastAsiaTheme="minorEastAsia" w:cstheme="minorEastAsia"/>
          <w:color w:val="auto"/>
          <w:sz w:val="22"/>
          <w:szCs w:val="22"/>
          <w:highlight w:val="none"/>
        </w:rPr>
        <w:t>提供紧急配送服务。</w:t>
      </w:r>
    </w:p>
    <w:p w14:paraId="079116E9">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2、服务方案：</w:t>
      </w:r>
    </w:p>
    <w:p w14:paraId="7FF70A44">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乙方提供的服务须符合投标文件所述内容，详见投标文件</w:t>
      </w:r>
      <w:r>
        <w:rPr>
          <w:rFonts w:hint="eastAsia" w:asciiTheme="minorEastAsia" w:hAnsiTheme="minorEastAsia" w:eastAsiaTheme="minorEastAsia" w:cstheme="minorEastAsia"/>
          <w:color w:val="auto"/>
          <w:sz w:val="22"/>
          <w:szCs w:val="22"/>
          <w:highlight w:val="none"/>
        </w:rPr>
        <w:t>。</w:t>
      </w:r>
    </w:p>
    <w:p w14:paraId="1F2A3D0D">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配送人员要有相应的健康证。</w:t>
      </w:r>
    </w:p>
    <w:p w14:paraId="665AE14F">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3、服务要求</w:t>
      </w:r>
      <w:r>
        <w:rPr>
          <w:rFonts w:hint="eastAsia" w:asciiTheme="minorEastAsia" w:hAnsiTheme="minorEastAsia" w:eastAsiaTheme="minorEastAsia" w:cstheme="minorEastAsia"/>
          <w:color w:val="auto"/>
          <w:sz w:val="22"/>
          <w:szCs w:val="22"/>
          <w:highlight w:val="none"/>
          <w:lang w:eastAsia="zh-CN"/>
        </w:rPr>
        <w:t>：</w:t>
      </w:r>
    </w:p>
    <w:p w14:paraId="3FCDAD23">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（1）所有食材必须卫生、清洁、新鲜、无污染、无假冒伪劣、无过期变质，符合食品国家标准和行业标准。</w:t>
      </w:r>
    </w:p>
    <w:p w14:paraId="6E78E754">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lang w:eastAsia="zh-CN"/>
        </w:rPr>
        <w:t>乙方</w:t>
      </w:r>
      <w:r>
        <w:rPr>
          <w:rFonts w:hint="eastAsia" w:asciiTheme="minorEastAsia" w:hAnsiTheme="minorEastAsia" w:eastAsiaTheme="minorEastAsia" w:cstheme="minorEastAsia"/>
          <w:color w:val="auto"/>
          <w:sz w:val="22"/>
          <w:szCs w:val="22"/>
          <w:highlight w:val="none"/>
        </w:rPr>
        <w:t>所供食材要经</w:t>
      </w:r>
      <w:r>
        <w:rPr>
          <w:rFonts w:hint="eastAsia" w:asciiTheme="minorEastAsia" w:hAnsiTheme="minorEastAsia" w:eastAsiaTheme="minorEastAsia" w:cstheme="minorEastAsia"/>
          <w:color w:val="auto"/>
          <w:sz w:val="22"/>
          <w:szCs w:val="22"/>
          <w:highlight w:val="none"/>
          <w:lang w:eastAsia="zh-CN"/>
        </w:rPr>
        <w:t>甲方</w:t>
      </w:r>
      <w:r>
        <w:rPr>
          <w:rFonts w:hint="eastAsia" w:asciiTheme="minorEastAsia" w:hAnsiTheme="minorEastAsia" w:eastAsiaTheme="minorEastAsia" w:cstheme="minorEastAsia"/>
          <w:color w:val="auto"/>
          <w:sz w:val="22"/>
          <w:szCs w:val="22"/>
          <w:highlight w:val="none"/>
        </w:rPr>
        <w:t>复秤验收，在质量、数量上存在问题的不合格食材由</w:t>
      </w:r>
      <w:r>
        <w:rPr>
          <w:rFonts w:hint="eastAsia" w:asciiTheme="minorEastAsia" w:hAnsiTheme="minorEastAsia" w:eastAsiaTheme="minorEastAsia" w:cstheme="minorEastAsia"/>
          <w:color w:val="auto"/>
          <w:sz w:val="22"/>
          <w:szCs w:val="22"/>
          <w:highlight w:val="none"/>
          <w:lang w:eastAsia="zh-CN"/>
        </w:rPr>
        <w:t>乙方</w:t>
      </w:r>
      <w:r>
        <w:rPr>
          <w:rFonts w:hint="eastAsia" w:asciiTheme="minorEastAsia" w:hAnsiTheme="minorEastAsia" w:eastAsiaTheme="minorEastAsia" w:cstheme="minorEastAsia"/>
          <w:color w:val="auto"/>
          <w:sz w:val="22"/>
          <w:szCs w:val="22"/>
          <w:highlight w:val="none"/>
        </w:rPr>
        <w:t>及时调换或增补，损失由</w:t>
      </w:r>
      <w:r>
        <w:rPr>
          <w:rFonts w:hint="eastAsia" w:asciiTheme="minorEastAsia" w:hAnsiTheme="minorEastAsia" w:eastAsiaTheme="minorEastAsia" w:cstheme="minorEastAsia"/>
          <w:color w:val="auto"/>
          <w:sz w:val="22"/>
          <w:szCs w:val="22"/>
          <w:highlight w:val="none"/>
          <w:lang w:eastAsia="zh-CN"/>
        </w:rPr>
        <w:t>乙方</w:t>
      </w:r>
      <w:r>
        <w:rPr>
          <w:rFonts w:hint="eastAsia" w:asciiTheme="minorEastAsia" w:hAnsiTheme="minorEastAsia" w:eastAsiaTheme="minorEastAsia" w:cstheme="minorEastAsia"/>
          <w:color w:val="auto"/>
          <w:sz w:val="22"/>
          <w:szCs w:val="22"/>
          <w:highlight w:val="none"/>
        </w:rPr>
        <w:t>承担。</w:t>
      </w:r>
    </w:p>
    <w:p w14:paraId="2175639B">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r>
        <w:rPr>
          <w:rFonts w:hint="eastAsia" w:asciiTheme="minorEastAsia" w:hAnsiTheme="minorEastAsia" w:eastAsiaTheme="minorEastAsia" w:cstheme="minorEastAsia"/>
          <w:color w:val="auto"/>
          <w:sz w:val="22"/>
          <w:szCs w:val="22"/>
          <w:highlight w:val="none"/>
          <w:lang w:eastAsia="zh-CN"/>
        </w:rPr>
        <w:t>乙方</w:t>
      </w:r>
      <w:r>
        <w:rPr>
          <w:rFonts w:hint="eastAsia" w:asciiTheme="minorEastAsia" w:hAnsiTheme="minorEastAsia" w:eastAsiaTheme="minorEastAsia" w:cstheme="minorEastAsia"/>
          <w:color w:val="auto"/>
          <w:sz w:val="22"/>
          <w:szCs w:val="22"/>
          <w:highlight w:val="none"/>
        </w:rPr>
        <w:t>要按照</w:t>
      </w:r>
      <w:r>
        <w:rPr>
          <w:rFonts w:hint="eastAsia" w:asciiTheme="minorEastAsia" w:hAnsiTheme="minorEastAsia" w:eastAsiaTheme="minorEastAsia" w:cstheme="minorEastAsia"/>
          <w:color w:val="auto"/>
          <w:sz w:val="22"/>
          <w:szCs w:val="22"/>
          <w:highlight w:val="none"/>
          <w:lang w:eastAsia="zh-CN"/>
        </w:rPr>
        <w:t>甲方</w:t>
      </w:r>
      <w:r>
        <w:rPr>
          <w:rFonts w:hint="eastAsia" w:asciiTheme="minorEastAsia" w:hAnsiTheme="minorEastAsia" w:eastAsiaTheme="minorEastAsia" w:cstheme="minorEastAsia"/>
          <w:color w:val="auto"/>
          <w:sz w:val="22"/>
          <w:szCs w:val="22"/>
          <w:highlight w:val="none"/>
        </w:rPr>
        <w:t>的要求及时供货，并将所供食材送到指定地点。</w:t>
      </w:r>
    </w:p>
    <w:p w14:paraId="0D641119">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w:t>
      </w:r>
      <w:r>
        <w:rPr>
          <w:rFonts w:hint="eastAsia" w:asciiTheme="minorEastAsia" w:hAnsiTheme="minorEastAsia" w:eastAsiaTheme="minorEastAsia" w:cstheme="minorEastAsia"/>
          <w:color w:val="auto"/>
          <w:sz w:val="22"/>
          <w:szCs w:val="22"/>
          <w:highlight w:val="none"/>
          <w:lang w:eastAsia="zh-CN"/>
        </w:rPr>
        <w:t>乙方</w:t>
      </w:r>
      <w:r>
        <w:rPr>
          <w:rFonts w:hint="eastAsia" w:asciiTheme="minorEastAsia" w:hAnsiTheme="minorEastAsia" w:eastAsiaTheme="minorEastAsia" w:cstheme="minorEastAsia"/>
          <w:color w:val="auto"/>
          <w:sz w:val="22"/>
          <w:szCs w:val="22"/>
          <w:highlight w:val="none"/>
        </w:rPr>
        <w:t>应保证做到所提供的产品价格合理、质量合格、计量准确、送货及时、服务周到，同时负责提供该产品进入市场的相关证明（质检报告、卫生证等）。</w:t>
      </w:r>
      <w:r>
        <w:rPr>
          <w:rFonts w:hint="eastAsia" w:asciiTheme="minorEastAsia" w:hAnsiTheme="minorEastAsia" w:eastAsiaTheme="minorEastAsia" w:cstheme="minorEastAsia"/>
          <w:color w:val="auto"/>
          <w:sz w:val="22"/>
          <w:szCs w:val="22"/>
          <w:highlight w:val="none"/>
          <w:lang w:eastAsia="zh-CN"/>
        </w:rPr>
        <w:t>甲方</w:t>
      </w:r>
      <w:r>
        <w:rPr>
          <w:rFonts w:hint="eastAsia" w:asciiTheme="minorEastAsia" w:hAnsiTheme="minorEastAsia" w:eastAsiaTheme="minorEastAsia" w:cstheme="minorEastAsia"/>
          <w:color w:val="auto"/>
          <w:sz w:val="22"/>
          <w:szCs w:val="22"/>
          <w:highlight w:val="none"/>
        </w:rPr>
        <w:t>可按需要向</w:t>
      </w:r>
      <w:r>
        <w:rPr>
          <w:rFonts w:hint="eastAsia" w:asciiTheme="minorEastAsia" w:hAnsiTheme="minorEastAsia" w:eastAsiaTheme="minorEastAsia" w:cstheme="minorEastAsia"/>
          <w:color w:val="auto"/>
          <w:sz w:val="22"/>
          <w:szCs w:val="22"/>
          <w:highlight w:val="none"/>
          <w:lang w:eastAsia="zh-CN"/>
        </w:rPr>
        <w:t>乙方</w:t>
      </w:r>
      <w:r>
        <w:rPr>
          <w:rFonts w:hint="eastAsia" w:asciiTheme="minorEastAsia" w:hAnsiTheme="minorEastAsia" w:eastAsiaTheme="minorEastAsia" w:cstheme="minorEastAsia"/>
          <w:color w:val="auto"/>
          <w:sz w:val="22"/>
          <w:szCs w:val="22"/>
          <w:highlight w:val="none"/>
        </w:rPr>
        <w:t>提出调换或增加供货的品种和型号。</w:t>
      </w:r>
    </w:p>
    <w:p w14:paraId="1235717C">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（5）所供食材要求一次达标，质量合格，在使用过程中由于食品质量导致的后果，均由</w:t>
      </w:r>
      <w:r>
        <w:rPr>
          <w:rFonts w:hint="eastAsia" w:asciiTheme="minorEastAsia" w:hAnsiTheme="minorEastAsia" w:eastAsiaTheme="minorEastAsia" w:cstheme="minorEastAsia"/>
          <w:color w:val="auto"/>
          <w:sz w:val="22"/>
          <w:szCs w:val="22"/>
          <w:highlight w:val="none"/>
          <w:lang w:eastAsia="zh-CN"/>
        </w:rPr>
        <w:t>乙方</w:t>
      </w:r>
      <w:r>
        <w:rPr>
          <w:rFonts w:hint="eastAsia" w:asciiTheme="minorEastAsia" w:hAnsiTheme="minorEastAsia" w:eastAsiaTheme="minorEastAsia" w:cstheme="minorEastAsia"/>
          <w:color w:val="auto"/>
          <w:sz w:val="22"/>
          <w:szCs w:val="22"/>
          <w:highlight w:val="none"/>
        </w:rPr>
        <w:t>全权负责。</w:t>
      </w:r>
    </w:p>
    <w:p w14:paraId="13CC07D1">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w:t>
      </w:r>
      <w:r>
        <w:rPr>
          <w:rFonts w:hint="eastAsia" w:asciiTheme="minorEastAsia" w:hAnsiTheme="minorEastAsia" w:eastAsiaTheme="minorEastAsia" w:cstheme="minorEastAsia"/>
          <w:color w:val="auto"/>
          <w:sz w:val="22"/>
          <w:szCs w:val="22"/>
          <w:highlight w:val="none"/>
          <w:lang w:eastAsia="zh-CN"/>
        </w:rPr>
        <w:t>乙方</w:t>
      </w:r>
      <w:r>
        <w:rPr>
          <w:rFonts w:hint="eastAsia" w:asciiTheme="minorEastAsia" w:hAnsiTheme="minorEastAsia" w:eastAsiaTheme="minorEastAsia" w:cstheme="minorEastAsia"/>
          <w:color w:val="auto"/>
          <w:sz w:val="22"/>
          <w:szCs w:val="22"/>
          <w:highlight w:val="none"/>
        </w:rPr>
        <w:t>每次送货以</w:t>
      </w:r>
      <w:r>
        <w:rPr>
          <w:rFonts w:hint="eastAsia" w:asciiTheme="minorEastAsia" w:hAnsiTheme="minorEastAsia" w:eastAsiaTheme="minorEastAsia" w:cstheme="minorEastAsia"/>
          <w:color w:val="auto"/>
          <w:sz w:val="22"/>
          <w:szCs w:val="22"/>
          <w:highlight w:val="none"/>
          <w:lang w:eastAsia="zh-CN"/>
        </w:rPr>
        <w:t>甲方</w:t>
      </w:r>
      <w:r>
        <w:rPr>
          <w:rFonts w:hint="eastAsia" w:asciiTheme="minorEastAsia" w:hAnsiTheme="minorEastAsia" w:eastAsiaTheme="minorEastAsia" w:cstheme="minorEastAsia"/>
          <w:color w:val="auto"/>
          <w:sz w:val="22"/>
          <w:szCs w:val="22"/>
          <w:highlight w:val="none"/>
        </w:rPr>
        <w:t>提报计划通知为准，</w:t>
      </w:r>
      <w:r>
        <w:rPr>
          <w:rFonts w:hint="eastAsia" w:asciiTheme="minorEastAsia" w:hAnsiTheme="minorEastAsia" w:eastAsiaTheme="minorEastAsia" w:cstheme="minorEastAsia"/>
          <w:color w:val="auto"/>
          <w:sz w:val="22"/>
          <w:szCs w:val="22"/>
          <w:highlight w:val="none"/>
          <w:lang w:eastAsia="zh-CN"/>
        </w:rPr>
        <w:t>甲方</w:t>
      </w:r>
      <w:r>
        <w:rPr>
          <w:rFonts w:hint="eastAsia" w:asciiTheme="minorEastAsia" w:hAnsiTheme="minorEastAsia" w:eastAsiaTheme="minorEastAsia" w:cstheme="minorEastAsia"/>
          <w:color w:val="auto"/>
          <w:sz w:val="22"/>
          <w:szCs w:val="22"/>
          <w:highlight w:val="none"/>
        </w:rPr>
        <w:t>要货应提前一天通知</w:t>
      </w:r>
      <w:r>
        <w:rPr>
          <w:rFonts w:hint="eastAsia" w:asciiTheme="minorEastAsia" w:hAnsiTheme="minorEastAsia" w:eastAsiaTheme="minorEastAsia" w:cstheme="minorEastAsia"/>
          <w:color w:val="auto"/>
          <w:sz w:val="22"/>
          <w:szCs w:val="22"/>
          <w:highlight w:val="none"/>
          <w:lang w:eastAsia="zh-CN"/>
        </w:rPr>
        <w:t>乙方</w:t>
      </w:r>
      <w:r>
        <w:rPr>
          <w:rFonts w:hint="eastAsia" w:asciiTheme="minorEastAsia" w:hAnsiTheme="minorEastAsia" w:eastAsiaTheme="minorEastAsia" w:cstheme="minorEastAsia"/>
          <w:color w:val="auto"/>
          <w:sz w:val="22"/>
          <w:szCs w:val="22"/>
          <w:highlight w:val="none"/>
        </w:rPr>
        <w:t>，并明确要货数量，</w:t>
      </w:r>
      <w:r>
        <w:rPr>
          <w:rFonts w:hint="eastAsia" w:asciiTheme="minorEastAsia" w:hAnsiTheme="minorEastAsia" w:eastAsiaTheme="minorEastAsia" w:cstheme="minorEastAsia"/>
          <w:color w:val="auto"/>
          <w:sz w:val="22"/>
          <w:szCs w:val="22"/>
          <w:highlight w:val="none"/>
          <w:lang w:eastAsia="zh-CN"/>
        </w:rPr>
        <w:t>接到甲方</w:t>
      </w:r>
      <w:r>
        <w:rPr>
          <w:rFonts w:hint="eastAsia" w:asciiTheme="minorEastAsia" w:hAnsiTheme="minorEastAsia" w:eastAsiaTheme="minorEastAsia" w:cstheme="minorEastAsia"/>
          <w:color w:val="auto"/>
          <w:sz w:val="22"/>
          <w:szCs w:val="22"/>
          <w:highlight w:val="none"/>
        </w:rPr>
        <w:t>通知后，</w:t>
      </w:r>
      <w:r>
        <w:rPr>
          <w:rFonts w:hint="eastAsia" w:asciiTheme="minorEastAsia" w:hAnsiTheme="minorEastAsia" w:eastAsiaTheme="minorEastAsia" w:cstheme="minorEastAsia"/>
          <w:color w:val="auto"/>
          <w:sz w:val="22"/>
          <w:szCs w:val="22"/>
          <w:highlight w:val="none"/>
          <w:lang w:eastAsia="zh-CN"/>
        </w:rPr>
        <w:t>乙方</w:t>
      </w:r>
      <w:r>
        <w:rPr>
          <w:rFonts w:hint="eastAsia" w:asciiTheme="minorEastAsia" w:hAnsiTheme="minorEastAsia" w:eastAsiaTheme="minorEastAsia" w:cstheme="minorEastAsia"/>
          <w:color w:val="auto"/>
          <w:sz w:val="22"/>
          <w:szCs w:val="22"/>
          <w:highlight w:val="none"/>
        </w:rPr>
        <w:t>应保证按时将货准时送到</w:t>
      </w:r>
      <w:r>
        <w:rPr>
          <w:rFonts w:hint="eastAsia" w:asciiTheme="minorEastAsia" w:hAnsiTheme="minorEastAsia" w:eastAsiaTheme="minorEastAsia" w:cstheme="minorEastAsia"/>
          <w:color w:val="auto"/>
          <w:sz w:val="22"/>
          <w:szCs w:val="22"/>
          <w:highlight w:val="none"/>
          <w:lang w:eastAsia="zh-CN"/>
        </w:rPr>
        <w:t>甲方</w:t>
      </w:r>
      <w:r>
        <w:rPr>
          <w:rFonts w:hint="eastAsia" w:asciiTheme="minorEastAsia" w:hAnsiTheme="minorEastAsia" w:eastAsiaTheme="minorEastAsia" w:cstheme="minorEastAsia"/>
          <w:color w:val="auto"/>
          <w:sz w:val="22"/>
          <w:szCs w:val="22"/>
          <w:highlight w:val="none"/>
        </w:rPr>
        <w:t>指定地点，以免影响</w:t>
      </w:r>
      <w:r>
        <w:rPr>
          <w:rFonts w:hint="eastAsia" w:asciiTheme="minorEastAsia" w:hAnsiTheme="minorEastAsia" w:eastAsiaTheme="minorEastAsia" w:cstheme="minorEastAsia"/>
          <w:color w:val="auto"/>
          <w:sz w:val="22"/>
          <w:szCs w:val="22"/>
          <w:highlight w:val="none"/>
          <w:lang w:eastAsia="zh-CN"/>
        </w:rPr>
        <w:t>甲方</w:t>
      </w:r>
      <w:r>
        <w:rPr>
          <w:rFonts w:hint="eastAsia" w:asciiTheme="minorEastAsia" w:hAnsiTheme="minorEastAsia" w:eastAsiaTheme="minorEastAsia" w:cstheme="minorEastAsia"/>
          <w:color w:val="auto"/>
          <w:sz w:val="22"/>
          <w:szCs w:val="22"/>
          <w:highlight w:val="none"/>
        </w:rPr>
        <w:t>正常使用。</w:t>
      </w:r>
    </w:p>
    <w:p w14:paraId="353A3BF2">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（7）食材进行密封包装，并带有公司出厂标签。夏季高温天气，</w:t>
      </w:r>
      <w:r>
        <w:rPr>
          <w:rFonts w:hint="eastAsia" w:asciiTheme="minorEastAsia" w:hAnsiTheme="minorEastAsia" w:eastAsiaTheme="minorEastAsia" w:cstheme="minorEastAsia"/>
          <w:color w:val="auto"/>
          <w:sz w:val="22"/>
          <w:szCs w:val="22"/>
          <w:highlight w:val="none"/>
          <w:lang w:eastAsia="zh-CN"/>
        </w:rPr>
        <w:t>乙方</w:t>
      </w:r>
      <w:r>
        <w:rPr>
          <w:rFonts w:hint="eastAsia" w:asciiTheme="minorEastAsia" w:hAnsiTheme="minorEastAsia" w:eastAsiaTheme="minorEastAsia" w:cstheme="minorEastAsia"/>
          <w:color w:val="auto"/>
          <w:sz w:val="22"/>
          <w:szCs w:val="22"/>
          <w:highlight w:val="none"/>
        </w:rPr>
        <w:t>提供冷藏设备配送，防止（预防）原材料在高温情况下出现变质。</w:t>
      </w:r>
    </w:p>
    <w:p w14:paraId="5EE47622">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（8）配送人员要有相应的健康证等证件。配送人员必须是本公司人员，必须每年进行一次健康体检，取得健康合格证后方可上岗。</w:t>
      </w:r>
    </w:p>
    <w:p w14:paraId="0BEF3765">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4、供应方式要求</w:t>
      </w:r>
    </w:p>
    <w:p w14:paraId="1F88A3C6">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lang w:eastAsia="zh-CN"/>
        </w:rPr>
        <w:t>甲方</w:t>
      </w:r>
      <w:r>
        <w:rPr>
          <w:rFonts w:hint="eastAsia" w:asciiTheme="minorEastAsia" w:hAnsiTheme="minorEastAsia" w:eastAsiaTheme="minorEastAsia" w:cstheme="minorEastAsia"/>
          <w:color w:val="auto"/>
          <w:sz w:val="22"/>
          <w:szCs w:val="22"/>
          <w:highlight w:val="none"/>
        </w:rPr>
        <w:t>提前一天向</w:t>
      </w:r>
      <w:r>
        <w:rPr>
          <w:rFonts w:hint="eastAsia" w:asciiTheme="minorEastAsia" w:hAnsiTheme="minorEastAsia" w:eastAsiaTheme="minorEastAsia" w:cstheme="minorEastAsia"/>
          <w:color w:val="auto"/>
          <w:sz w:val="22"/>
          <w:szCs w:val="22"/>
          <w:highlight w:val="none"/>
          <w:lang w:eastAsia="zh-CN"/>
        </w:rPr>
        <w:t>乙方</w:t>
      </w:r>
      <w:r>
        <w:rPr>
          <w:rFonts w:hint="eastAsia" w:asciiTheme="minorEastAsia" w:hAnsiTheme="minorEastAsia" w:eastAsiaTheme="minorEastAsia" w:cstheme="minorEastAsia"/>
          <w:color w:val="auto"/>
          <w:sz w:val="22"/>
          <w:szCs w:val="22"/>
          <w:highlight w:val="none"/>
        </w:rPr>
        <w:t>提供所需副食品订单，</w:t>
      </w:r>
      <w:r>
        <w:rPr>
          <w:rFonts w:hint="eastAsia" w:asciiTheme="minorEastAsia" w:hAnsiTheme="minorEastAsia" w:eastAsiaTheme="minorEastAsia" w:cstheme="minorEastAsia"/>
          <w:color w:val="auto"/>
          <w:sz w:val="22"/>
          <w:szCs w:val="22"/>
          <w:highlight w:val="none"/>
          <w:lang w:eastAsia="zh-CN"/>
        </w:rPr>
        <w:t>乙方</w:t>
      </w:r>
      <w:r>
        <w:rPr>
          <w:rFonts w:hint="eastAsia" w:asciiTheme="minorEastAsia" w:hAnsiTheme="minorEastAsia" w:eastAsiaTheme="minorEastAsia" w:cstheme="minorEastAsia"/>
          <w:color w:val="auto"/>
          <w:sz w:val="22"/>
          <w:szCs w:val="22"/>
          <w:highlight w:val="none"/>
        </w:rPr>
        <w:t>必须在</w:t>
      </w:r>
      <w:r>
        <w:rPr>
          <w:rFonts w:hint="eastAsia" w:asciiTheme="minorEastAsia" w:hAnsiTheme="minorEastAsia" w:eastAsiaTheme="minorEastAsia" w:cstheme="minorEastAsia"/>
          <w:color w:val="auto"/>
          <w:sz w:val="22"/>
          <w:szCs w:val="22"/>
          <w:highlight w:val="none"/>
          <w:lang w:eastAsia="zh-CN"/>
        </w:rPr>
        <w:t>甲方</w:t>
      </w:r>
      <w:r>
        <w:rPr>
          <w:rFonts w:hint="eastAsia" w:asciiTheme="minorEastAsia" w:hAnsiTheme="minorEastAsia" w:eastAsiaTheme="minorEastAsia" w:cstheme="minorEastAsia"/>
          <w:color w:val="auto"/>
          <w:sz w:val="22"/>
          <w:szCs w:val="22"/>
          <w:highlight w:val="none"/>
        </w:rPr>
        <w:t>规定时间内，依据订单将</w:t>
      </w:r>
      <w:r>
        <w:rPr>
          <w:rFonts w:hint="eastAsia" w:asciiTheme="minorEastAsia" w:hAnsiTheme="minorEastAsia" w:eastAsiaTheme="minorEastAsia" w:cstheme="minorEastAsia"/>
          <w:color w:val="auto"/>
          <w:sz w:val="22"/>
          <w:szCs w:val="22"/>
          <w:highlight w:val="none"/>
          <w:lang w:eastAsia="zh-CN"/>
        </w:rPr>
        <w:t>甲方</w:t>
      </w:r>
      <w:r>
        <w:rPr>
          <w:rFonts w:hint="eastAsia" w:asciiTheme="minorEastAsia" w:hAnsiTheme="minorEastAsia" w:eastAsiaTheme="minorEastAsia" w:cstheme="minorEastAsia"/>
          <w:color w:val="auto"/>
          <w:sz w:val="22"/>
          <w:szCs w:val="22"/>
          <w:highlight w:val="none"/>
        </w:rPr>
        <w:t>所需的副食品购齐，送至</w:t>
      </w:r>
      <w:r>
        <w:rPr>
          <w:rFonts w:hint="eastAsia" w:asciiTheme="minorEastAsia" w:hAnsiTheme="minorEastAsia" w:eastAsiaTheme="minorEastAsia" w:cstheme="minorEastAsia"/>
          <w:color w:val="auto"/>
          <w:sz w:val="22"/>
          <w:szCs w:val="22"/>
          <w:highlight w:val="none"/>
          <w:lang w:eastAsia="zh-CN"/>
        </w:rPr>
        <w:t>甲方</w:t>
      </w:r>
      <w:r>
        <w:rPr>
          <w:rFonts w:hint="eastAsia" w:asciiTheme="minorEastAsia" w:hAnsiTheme="minorEastAsia" w:eastAsiaTheme="minorEastAsia" w:cstheme="minorEastAsia"/>
          <w:color w:val="auto"/>
          <w:sz w:val="22"/>
          <w:szCs w:val="22"/>
          <w:highlight w:val="none"/>
        </w:rPr>
        <w:t>伙食单位进行验收。</w:t>
      </w:r>
    </w:p>
    <w:p w14:paraId="1A2E8898">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lang w:eastAsia="zh-CN"/>
        </w:rPr>
        <w:t>乙方</w:t>
      </w:r>
      <w:r>
        <w:rPr>
          <w:rFonts w:hint="eastAsia" w:asciiTheme="minorEastAsia" w:hAnsiTheme="minorEastAsia" w:eastAsiaTheme="minorEastAsia" w:cstheme="minorEastAsia"/>
          <w:color w:val="auto"/>
          <w:sz w:val="22"/>
          <w:szCs w:val="22"/>
          <w:highlight w:val="none"/>
        </w:rPr>
        <w:t>不得以任何理由拒绝供应、随意变更订单项目、内容，由于特殊情况不能及时供应的副食品，</w:t>
      </w:r>
      <w:r>
        <w:rPr>
          <w:rFonts w:hint="eastAsia" w:asciiTheme="minorEastAsia" w:hAnsiTheme="minorEastAsia" w:eastAsiaTheme="minorEastAsia" w:cstheme="minorEastAsia"/>
          <w:color w:val="auto"/>
          <w:sz w:val="22"/>
          <w:szCs w:val="22"/>
          <w:highlight w:val="none"/>
          <w:lang w:eastAsia="zh-CN"/>
        </w:rPr>
        <w:t>乙方</w:t>
      </w:r>
      <w:r>
        <w:rPr>
          <w:rFonts w:hint="eastAsia" w:asciiTheme="minorEastAsia" w:hAnsiTheme="minorEastAsia" w:eastAsiaTheme="minorEastAsia" w:cstheme="minorEastAsia"/>
          <w:color w:val="auto"/>
          <w:sz w:val="22"/>
          <w:szCs w:val="22"/>
          <w:highlight w:val="none"/>
        </w:rPr>
        <w:t>应提前通知</w:t>
      </w:r>
      <w:r>
        <w:rPr>
          <w:rFonts w:hint="eastAsia" w:asciiTheme="minorEastAsia" w:hAnsiTheme="minorEastAsia" w:eastAsiaTheme="minorEastAsia" w:cstheme="minorEastAsia"/>
          <w:color w:val="auto"/>
          <w:sz w:val="22"/>
          <w:szCs w:val="22"/>
          <w:highlight w:val="none"/>
          <w:lang w:eastAsia="zh-CN"/>
        </w:rPr>
        <w:t>甲方</w:t>
      </w:r>
      <w:r>
        <w:rPr>
          <w:rFonts w:hint="eastAsia" w:asciiTheme="minorEastAsia" w:hAnsiTheme="minorEastAsia" w:eastAsiaTheme="minorEastAsia" w:cstheme="minorEastAsia"/>
          <w:color w:val="auto"/>
          <w:sz w:val="22"/>
          <w:szCs w:val="22"/>
          <w:highlight w:val="none"/>
        </w:rPr>
        <w:t>，经</w:t>
      </w:r>
      <w:r>
        <w:rPr>
          <w:rFonts w:hint="eastAsia" w:asciiTheme="minorEastAsia" w:hAnsiTheme="minorEastAsia" w:eastAsiaTheme="minorEastAsia" w:cstheme="minorEastAsia"/>
          <w:color w:val="auto"/>
          <w:sz w:val="22"/>
          <w:szCs w:val="22"/>
          <w:highlight w:val="none"/>
          <w:lang w:eastAsia="zh-CN"/>
        </w:rPr>
        <w:t>甲方</w:t>
      </w:r>
      <w:r>
        <w:rPr>
          <w:rFonts w:hint="eastAsia" w:asciiTheme="minorEastAsia" w:hAnsiTheme="minorEastAsia" w:eastAsiaTheme="minorEastAsia" w:cstheme="minorEastAsia"/>
          <w:color w:val="auto"/>
          <w:sz w:val="22"/>
          <w:szCs w:val="22"/>
          <w:highlight w:val="none"/>
        </w:rPr>
        <w:t>许可后方能调整所订副食品。</w:t>
      </w:r>
    </w:p>
    <w:p w14:paraId="638558FC">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r>
        <w:rPr>
          <w:rFonts w:hint="eastAsia" w:asciiTheme="minorEastAsia" w:hAnsiTheme="minorEastAsia" w:eastAsiaTheme="minorEastAsia" w:cstheme="minorEastAsia"/>
          <w:color w:val="auto"/>
          <w:sz w:val="22"/>
          <w:szCs w:val="22"/>
          <w:highlight w:val="none"/>
          <w:lang w:eastAsia="zh-CN"/>
        </w:rPr>
        <w:t>乙方</w:t>
      </w:r>
      <w:r>
        <w:rPr>
          <w:rFonts w:hint="eastAsia" w:asciiTheme="minorEastAsia" w:hAnsiTheme="minorEastAsia" w:eastAsiaTheme="minorEastAsia" w:cstheme="minorEastAsia"/>
          <w:color w:val="auto"/>
          <w:sz w:val="22"/>
          <w:szCs w:val="22"/>
          <w:highlight w:val="none"/>
        </w:rPr>
        <w:t>应主动配合</w:t>
      </w:r>
      <w:r>
        <w:rPr>
          <w:rFonts w:hint="eastAsia" w:asciiTheme="minorEastAsia" w:hAnsiTheme="minorEastAsia" w:eastAsiaTheme="minorEastAsia" w:cstheme="minorEastAsia"/>
          <w:color w:val="auto"/>
          <w:sz w:val="22"/>
          <w:szCs w:val="22"/>
          <w:highlight w:val="none"/>
          <w:lang w:eastAsia="zh-CN"/>
        </w:rPr>
        <w:t>甲方</w:t>
      </w:r>
      <w:r>
        <w:rPr>
          <w:rFonts w:hint="eastAsia" w:asciiTheme="minorEastAsia" w:hAnsiTheme="minorEastAsia" w:eastAsiaTheme="minorEastAsia" w:cstheme="minorEastAsia"/>
          <w:color w:val="auto"/>
          <w:sz w:val="22"/>
          <w:szCs w:val="22"/>
          <w:highlight w:val="none"/>
        </w:rPr>
        <w:t>对其供应副食品所进行的数量、质量检查和价格审核调查，根据</w:t>
      </w:r>
      <w:r>
        <w:rPr>
          <w:rFonts w:hint="eastAsia" w:asciiTheme="minorEastAsia" w:hAnsiTheme="minorEastAsia" w:eastAsiaTheme="minorEastAsia" w:cstheme="minorEastAsia"/>
          <w:color w:val="auto"/>
          <w:sz w:val="22"/>
          <w:szCs w:val="22"/>
          <w:highlight w:val="none"/>
          <w:lang w:eastAsia="zh-CN"/>
        </w:rPr>
        <w:t>甲方</w:t>
      </w:r>
      <w:r>
        <w:rPr>
          <w:rFonts w:hint="eastAsia" w:asciiTheme="minorEastAsia" w:hAnsiTheme="minorEastAsia" w:eastAsiaTheme="minorEastAsia" w:cstheme="minorEastAsia"/>
          <w:color w:val="auto"/>
          <w:sz w:val="22"/>
          <w:szCs w:val="22"/>
          <w:highlight w:val="none"/>
        </w:rPr>
        <w:t>需要，提供菜市场当日菜价的有效凭据（如菜场电子屏幕截图）。</w:t>
      </w:r>
    </w:p>
    <w:p w14:paraId="19037D43">
      <w:pPr>
        <w:adjustRightInd w:val="0"/>
        <w:snapToGrid w:val="0"/>
        <w:spacing w:line="360" w:lineRule="auto"/>
        <w:ind w:firstLine="442" w:firstLineChars="200"/>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四、付款方式</w:t>
      </w:r>
    </w:p>
    <w:p w14:paraId="72A3390D">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（一）库房当月盘点后，次月结清货款</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乙方所供货物经甲方相关部门验收无安全质量问题后，开具正式发票（若发票户名、开户行、账号与供货单位不一致，甲方不予付款）。</w:t>
      </w:r>
    </w:p>
    <w:p w14:paraId="551F709C">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（二）由甲方财务在收齐发票后办理财务审核报销手续，并于次月10日-20日之间以转账形式向乙方付款。</w:t>
      </w:r>
    </w:p>
    <w:p w14:paraId="2F258E01">
      <w:pPr>
        <w:adjustRightInd w:val="0"/>
        <w:snapToGrid w:val="0"/>
        <w:spacing w:line="360" w:lineRule="auto"/>
        <w:ind w:firstLine="442" w:firstLineChars="200"/>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五、价格调整</w:t>
      </w:r>
    </w:p>
    <w:p w14:paraId="52B0530D">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甲、乙双方在合同期限内必须履行其合同义务，不得以任何形式擅自调价。具体调价原则参照招标文件相关条款及</w:t>
      </w:r>
      <w:r>
        <w:rPr>
          <w:rFonts w:hint="eastAsia" w:asciiTheme="minorEastAsia" w:hAnsiTheme="minorEastAsia" w:eastAsiaTheme="minorEastAsia" w:cstheme="minorEastAsia"/>
          <w:color w:val="auto"/>
          <w:sz w:val="22"/>
          <w:szCs w:val="22"/>
          <w:highlight w:val="none"/>
          <w:lang w:eastAsia="zh-CN"/>
        </w:rPr>
        <w:t>甲方</w:t>
      </w:r>
      <w:r>
        <w:rPr>
          <w:rFonts w:hint="eastAsia" w:asciiTheme="minorEastAsia" w:hAnsiTheme="minorEastAsia" w:eastAsiaTheme="minorEastAsia" w:cstheme="minorEastAsia"/>
          <w:color w:val="auto"/>
          <w:sz w:val="22"/>
          <w:szCs w:val="22"/>
          <w:highlight w:val="none"/>
        </w:rPr>
        <w:t>的相关规定。价格调整前，乙方必须保证正常供货。</w:t>
      </w:r>
    </w:p>
    <w:p w14:paraId="2896F038">
      <w:pPr>
        <w:adjustRightInd w:val="0"/>
        <w:snapToGrid w:val="0"/>
        <w:spacing w:line="360" w:lineRule="auto"/>
        <w:ind w:firstLine="442" w:firstLineChars="200"/>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六、合同双方权利与义务</w:t>
      </w:r>
    </w:p>
    <w:p w14:paraId="20770C68">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（一）甲方有义务配合乙方对所到货物进行收货、验货。</w:t>
      </w:r>
    </w:p>
    <w:p w14:paraId="4CDFDEC6">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（二）甲方有义务按合同约定及时付清货款。无故未按时付清货款，或有意识拖欠货款，乙方有权终止合同，并保留索赔的权利。</w:t>
      </w:r>
    </w:p>
    <w:p w14:paraId="4C89B93D">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（三）甲方根据合同约定对乙方的违约行为，有权提出终止合同。</w:t>
      </w:r>
    </w:p>
    <w:p w14:paraId="5D8941AF">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（四）乙方有义务提供企业的相关资质证明，企业法人的营业执照、法人代表的身份证等复印件给甲方。</w:t>
      </w:r>
    </w:p>
    <w:p w14:paraId="38FA53DE">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（五）乙方送货人员必须持有健康证明。运输车辆要求里外整洁卫生。</w:t>
      </w:r>
    </w:p>
    <w:p w14:paraId="115186F4">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（六）乙方有义务提供：符合质量要求；符合《</w:t>
      </w:r>
      <w:r>
        <w:rPr>
          <w:rFonts w:hint="eastAsia" w:asciiTheme="minorEastAsia" w:hAnsiTheme="minorEastAsia" w:eastAsiaTheme="minorEastAsia" w:cstheme="minorEastAsia"/>
          <w:color w:val="auto"/>
          <w:sz w:val="22"/>
          <w:szCs w:val="22"/>
          <w:highlight w:val="none"/>
          <w:lang w:eastAsia="zh-CN"/>
        </w:rPr>
        <w:t>中华人民共和国食品安全法</w:t>
      </w:r>
      <w:r>
        <w:rPr>
          <w:rFonts w:hint="eastAsia" w:asciiTheme="minorEastAsia" w:hAnsiTheme="minorEastAsia" w:eastAsiaTheme="minorEastAsia" w:cstheme="minorEastAsia"/>
          <w:color w:val="auto"/>
          <w:sz w:val="22"/>
          <w:szCs w:val="22"/>
          <w:highlight w:val="none"/>
        </w:rPr>
        <w:t>》等相关法律要求的货物。</w:t>
      </w:r>
    </w:p>
    <w:p w14:paraId="4D90A4E1">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（七）乙方有义务按指定的时间、地点和要求送货。</w:t>
      </w:r>
    </w:p>
    <w:p w14:paraId="41136671">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（八）乙方有义务主动配合甲方对货物进行验收。</w:t>
      </w:r>
    </w:p>
    <w:p w14:paraId="032F5AA6">
      <w:pPr>
        <w:pStyle w:val="203"/>
        <w:numPr>
          <w:ilvl w:val="1"/>
          <w:numId w:val="0"/>
        </w:numPr>
        <w:spacing w:line="360" w:lineRule="auto"/>
        <w:ind w:left="0" w:leftChars="0" w:firstLine="420" w:firstLineChars="0"/>
        <w:jc w:val="left"/>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rPr>
        <w:t>（九）甲方如需进行农校对接或执行扶贫项目时，乙方必须积极服从甲方供货分配工作，乙方不得以任何方式提出疑议。</w:t>
      </w:r>
    </w:p>
    <w:p w14:paraId="05B2D906">
      <w:pPr>
        <w:spacing w:line="360" w:lineRule="auto"/>
        <w:ind w:firstLine="442" w:firstLineChars="200"/>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七、违约处理：</w:t>
      </w:r>
    </w:p>
    <w:p w14:paraId="6D983F4E">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合同期内，甲方按年度对乙方配送服务情况进行考核，考核不合格的，甲方可单方面终止合同。</w:t>
      </w:r>
    </w:p>
    <w:p w14:paraId="476E09CD">
      <w:pPr>
        <w:widowControl/>
        <w:spacing w:line="360" w:lineRule="auto"/>
        <w:ind w:firstLine="440" w:firstLineChars="200"/>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2、如</w:t>
      </w:r>
      <w:r>
        <w:rPr>
          <w:rFonts w:hint="eastAsia" w:asciiTheme="minorEastAsia" w:hAnsiTheme="minorEastAsia" w:cstheme="minorEastAsia"/>
          <w:color w:val="auto"/>
          <w:sz w:val="22"/>
          <w:szCs w:val="22"/>
          <w:highlight w:val="none"/>
          <w:lang w:val="en-US" w:eastAsia="zh-CN"/>
        </w:rPr>
        <w:t>乙方</w:t>
      </w:r>
      <w:r>
        <w:rPr>
          <w:rFonts w:hint="eastAsia" w:asciiTheme="minorEastAsia" w:hAnsiTheme="minorEastAsia" w:eastAsiaTheme="minorEastAsia" w:cstheme="minorEastAsia"/>
          <w:color w:val="auto"/>
          <w:sz w:val="22"/>
          <w:szCs w:val="22"/>
          <w:highlight w:val="none"/>
        </w:rPr>
        <w:t>延迟交货或配送货物不符合订单要求，</w:t>
      </w:r>
      <w:r>
        <w:rPr>
          <w:rFonts w:hint="eastAsia" w:asciiTheme="minorEastAsia" w:hAnsiTheme="minorEastAsia" w:cstheme="minorEastAsia"/>
          <w:color w:val="auto"/>
          <w:sz w:val="22"/>
          <w:szCs w:val="22"/>
          <w:highlight w:val="none"/>
          <w:lang w:val="en-US" w:eastAsia="zh-CN"/>
        </w:rPr>
        <w:t>乙方</w:t>
      </w:r>
      <w:r>
        <w:rPr>
          <w:rFonts w:hint="eastAsia" w:asciiTheme="minorEastAsia" w:hAnsiTheme="minorEastAsia" w:eastAsiaTheme="minorEastAsia" w:cstheme="minorEastAsia"/>
          <w:color w:val="auto"/>
          <w:sz w:val="22"/>
          <w:szCs w:val="22"/>
          <w:highlight w:val="none"/>
        </w:rPr>
        <w:t>须按</w:t>
      </w:r>
      <w:r>
        <w:rPr>
          <w:rFonts w:hint="eastAsia" w:asciiTheme="minorEastAsia" w:hAnsiTheme="minorEastAsia" w:cstheme="minorEastAsia"/>
          <w:color w:val="auto"/>
          <w:sz w:val="22"/>
          <w:szCs w:val="22"/>
          <w:highlight w:val="none"/>
          <w:lang w:val="en-US" w:eastAsia="zh-CN"/>
        </w:rPr>
        <w:t>甲方</w:t>
      </w:r>
      <w:r>
        <w:rPr>
          <w:rFonts w:hint="eastAsia" w:asciiTheme="minorEastAsia" w:hAnsiTheme="minorEastAsia" w:eastAsiaTheme="minorEastAsia" w:cstheme="minorEastAsia"/>
          <w:color w:val="auto"/>
          <w:sz w:val="22"/>
          <w:szCs w:val="22"/>
          <w:highlight w:val="none"/>
        </w:rPr>
        <w:t>要求及时补货、换货或退货。对于上述情况的发生，第一次</w:t>
      </w:r>
      <w:r>
        <w:rPr>
          <w:rFonts w:hint="eastAsia" w:asciiTheme="minorEastAsia" w:hAnsiTheme="minorEastAsia" w:cstheme="minorEastAsia"/>
          <w:color w:val="auto"/>
          <w:sz w:val="22"/>
          <w:szCs w:val="22"/>
          <w:highlight w:val="none"/>
          <w:lang w:val="en-US" w:eastAsia="zh-CN"/>
        </w:rPr>
        <w:t>甲方</w:t>
      </w:r>
      <w:r>
        <w:rPr>
          <w:rFonts w:hint="eastAsia" w:asciiTheme="minorEastAsia" w:hAnsiTheme="minorEastAsia" w:eastAsiaTheme="minorEastAsia" w:cstheme="minorEastAsia"/>
          <w:color w:val="auto"/>
          <w:sz w:val="22"/>
          <w:szCs w:val="22"/>
          <w:highlight w:val="none"/>
        </w:rPr>
        <w:t>将予以警告，第二次</w:t>
      </w:r>
      <w:r>
        <w:rPr>
          <w:rFonts w:hint="eastAsia" w:asciiTheme="minorEastAsia" w:hAnsiTheme="minorEastAsia" w:cstheme="minorEastAsia"/>
          <w:color w:val="auto"/>
          <w:sz w:val="22"/>
          <w:szCs w:val="22"/>
          <w:highlight w:val="none"/>
          <w:lang w:val="en-US" w:eastAsia="zh-CN"/>
        </w:rPr>
        <w:t>甲方</w:t>
      </w:r>
      <w:r>
        <w:rPr>
          <w:rFonts w:hint="eastAsia" w:asciiTheme="minorEastAsia" w:hAnsiTheme="minorEastAsia" w:eastAsiaTheme="minorEastAsia" w:cstheme="minorEastAsia"/>
          <w:color w:val="auto"/>
          <w:sz w:val="22"/>
          <w:szCs w:val="22"/>
          <w:highlight w:val="none"/>
        </w:rPr>
        <w:t>有权扣除50%的履约保证金，第三次</w:t>
      </w:r>
      <w:r>
        <w:rPr>
          <w:rFonts w:hint="eastAsia" w:asciiTheme="minorEastAsia" w:hAnsiTheme="minorEastAsia" w:cstheme="minorEastAsia"/>
          <w:color w:val="auto"/>
          <w:sz w:val="22"/>
          <w:szCs w:val="22"/>
          <w:highlight w:val="none"/>
          <w:lang w:val="en-US" w:eastAsia="zh-CN"/>
        </w:rPr>
        <w:t>甲方</w:t>
      </w:r>
      <w:r>
        <w:rPr>
          <w:rFonts w:hint="eastAsia" w:asciiTheme="minorEastAsia" w:hAnsiTheme="minorEastAsia" w:eastAsiaTheme="minorEastAsia" w:cstheme="minorEastAsia"/>
          <w:color w:val="auto"/>
          <w:sz w:val="22"/>
          <w:szCs w:val="22"/>
          <w:highlight w:val="none"/>
        </w:rPr>
        <w:t>有权直接解除合同，扣除全部履约保证金。</w:t>
      </w:r>
    </w:p>
    <w:p w14:paraId="49EE6523">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r>
        <w:rPr>
          <w:rFonts w:hint="eastAsia" w:asciiTheme="minorEastAsia" w:hAnsi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除不可抗力因素，如乙方在合同执行期间，有不按照约定品牌与质量送货或不送、少送的情况，达到3次及以上，甲方有权终止合同。</w:t>
      </w:r>
    </w:p>
    <w:p w14:paraId="626D1203">
      <w:pPr>
        <w:widowControl/>
        <w:spacing w:line="360" w:lineRule="auto"/>
        <w:ind w:firstLine="440" w:firstLineChars="200"/>
        <w:jc w:val="lef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4</w:t>
      </w:r>
      <w:r>
        <w:rPr>
          <w:rFonts w:hint="eastAsia" w:asciiTheme="minorEastAsia" w:hAnsi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zh-CN"/>
        </w:rPr>
        <w:t>凡经相关部门认定，乙方所提供的食材造成食物中毒等卫生事故的，乙方除必须承担全部的法律责任外，还要全额承担因食物中毒发生造成后果的一切费用，并取消其供应资格，并暂扣当月所有供应原食材的货款作为赔偿预付款。</w:t>
      </w:r>
    </w:p>
    <w:p w14:paraId="5E62CFBC">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w:t>
      </w:r>
      <w:r>
        <w:rPr>
          <w:rFonts w:hint="eastAsia" w:asciiTheme="minorEastAsia" w:hAnsi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乙方供应的商品应按达到商品包装规格的要求（净重、体积等），甲方有权随机抽查，一经发现有短斤少两现象，按实际质量收货，并按本批次商品总量的5％作为违约金，由乙方对甲方给予赔偿。</w:t>
      </w:r>
    </w:p>
    <w:p w14:paraId="07C4CC66">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6、乙方违反食品行业相关法规，提供过期食品的，甲方有权拒收，并按履约保证金的20%予以处罚，乙方应无条件接受处罚，并按甲方要求补齐货物。</w:t>
      </w:r>
    </w:p>
    <w:p w14:paraId="6FC41927">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w:t>
      </w:r>
      <w:r>
        <w:rPr>
          <w:rFonts w:hint="eastAsia" w:asciiTheme="minorEastAsia" w:hAnsi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合同期内，乙方应服从甲方供货安排，不得以甲方假期内订货量减少等理由拒绝送货，乙方无正当理由，未能按时履约，第一次罚以当前未结货款的20%作为赔偿，第二次甲方有权终止与乙方的合作。</w:t>
      </w:r>
    </w:p>
    <w:p w14:paraId="09A662E5">
      <w:pPr>
        <w:widowControl/>
        <w:spacing w:line="360" w:lineRule="auto"/>
        <w:ind w:firstLine="440" w:firstLineChars="200"/>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w:t>
      </w:r>
      <w:r>
        <w:rPr>
          <w:rFonts w:hint="eastAsia" w:asciiTheme="minorEastAsia" w:hAnsi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甲方如临时增加用餐人员、用餐方式临时调整或有临时性接待任务等原因，需临时补充原料的</w:t>
      </w:r>
      <w:r>
        <w:rPr>
          <w:rFonts w:hint="eastAsia" w:asciiTheme="minorEastAsia" w:hAnsi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乙方应在约定时间内无条件把指定的原料送至指定的地点。（牛羊肉、水产、冷鲜鸡鸭、时令蔬菜等鲜活食材，出现应急补货的情况，乙方接到甲方通知后，应在1小时内无条件把原料送至指定地点。）</w:t>
      </w:r>
      <w:r>
        <w:rPr>
          <w:rFonts w:hint="eastAsia" w:asciiTheme="minorEastAsia" w:hAnsiTheme="minorEastAsia" w:eastAsiaTheme="minorEastAsia" w:cstheme="minorEastAsia"/>
          <w:color w:val="auto"/>
          <w:sz w:val="22"/>
          <w:szCs w:val="22"/>
          <w:highlight w:val="none"/>
        </w:rPr>
        <w:t>乙方无正当理由，未能按时履约，第</w:t>
      </w:r>
      <w:r>
        <w:rPr>
          <w:rFonts w:hint="eastAsia" w:asciiTheme="minorEastAsia" w:hAnsiTheme="minorEastAsia" w:eastAsiaTheme="minorEastAsia" w:cstheme="minorEastAsia"/>
          <w:color w:val="auto"/>
          <w:kern w:val="0"/>
          <w:sz w:val="22"/>
          <w:szCs w:val="22"/>
          <w:highlight w:val="none"/>
        </w:rPr>
        <w:t>一次采购人将予以警告，第二次采购人有权扣除50%的履约保证金，第三次采购人有权直接解除合同，扣除全部履约保证金。</w:t>
      </w:r>
    </w:p>
    <w:p w14:paraId="40C9DCE7">
      <w:pPr>
        <w:widowControl/>
        <w:spacing w:line="360" w:lineRule="auto"/>
        <w:ind w:firstLine="440" w:firstLineChars="200"/>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9</w:t>
      </w:r>
      <w:r>
        <w:rPr>
          <w:rFonts w:hint="eastAsia" w:asciiTheme="minorEastAsia" w:hAnsi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zh-CN"/>
        </w:rPr>
        <w:t>乙方提供的食材或物品发生质量问题，影响食用或使用，三次及以上解除合同。</w:t>
      </w:r>
    </w:p>
    <w:p w14:paraId="47207500">
      <w:pPr>
        <w:widowControl/>
        <w:spacing w:line="360" w:lineRule="auto"/>
        <w:ind w:firstLine="440" w:firstLineChars="200"/>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10</w:t>
      </w:r>
      <w:r>
        <w:rPr>
          <w:rFonts w:hint="eastAsia" w:asciiTheme="minorEastAsia" w:hAnsiTheme="minorEastAsia" w:cstheme="minorEastAsia"/>
          <w:color w:val="auto"/>
          <w:sz w:val="22"/>
          <w:szCs w:val="22"/>
          <w:highlight w:val="none"/>
          <w:lang w:val="zh-CN"/>
        </w:rPr>
        <w:t>、</w:t>
      </w:r>
      <w:r>
        <w:rPr>
          <w:rFonts w:hint="eastAsia" w:asciiTheme="minorEastAsia" w:hAnsiTheme="minorEastAsia" w:eastAsiaTheme="minorEastAsia" w:cstheme="minorEastAsia"/>
          <w:color w:val="auto"/>
          <w:sz w:val="22"/>
          <w:szCs w:val="22"/>
          <w:highlight w:val="none"/>
          <w:lang w:val="zh-CN"/>
        </w:rPr>
        <w:t>合同期间，为保证货物的新鲜度、食品安全，乙方应按照招标文件相关要求，确需配备的冷链车运输的食材，乙方应严格执行冷链车配送。出现不执行情况，第一次甲方</w:t>
      </w:r>
      <w:r>
        <w:rPr>
          <w:rFonts w:hint="eastAsia" w:asciiTheme="minorEastAsia" w:hAnsiTheme="minorEastAsia" w:eastAsiaTheme="minorEastAsia" w:cstheme="minorEastAsia"/>
          <w:color w:val="auto"/>
          <w:kern w:val="0"/>
          <w:sz w:val="22"/>
          <w:szCs w:val="22"/>
          <w:highlight w:val="none"/>
        </w:rPr>
        <w:t>予以警告，第二次甲方有权扣除50%的</w:t>
      </w:r>
      <w:r>
        <w:rPr>
          <w:rFonts w:hint="eastAsia" w:asciiTheme="minorEastAsia" w:hAnsiTheme="minorEastAsia" w:eastAsiaTheme="minorEastAsia" w:cstheme="minorEastAsia"/>
          <w:color w:val="auto"/>
          <w:sz w:val="22"/>
          <w:szCs w:val="22"/>
          <w:highlight w:val="none"/>
        </w:rPr>
        <w:t>履约保证金</w:t>
      </w:r>
      <w:r>
        <w:rPr>
          <w:rFonts w:hint="eastAsia" w:asciiTheme="minorEastAsia" w:hAnsiTheme="minorEastAsia" w:eastAsiaTheme="minorEastAsia" w:cstheme="minorEastAsia"/>
          <w:color w:val="auto"/>
          <w:kern w:val="0"/>
          <w:sz w:val="22"/>
          <w:szCs w:val="22"/>
          <w:highlight w:val="none"/>
        </w:rPr>
        <w:t>，第三次甲方有权直接解除合同，扣除全部</w:t>
      </w:r>
      <w:r>
        <w:rPr>
          <w:rFonts w:hint="eastAsia" w:asciiTheme="minorEastAsia" w:hAnsiTheme="minorEastAsia" w:eastAsiaTheme="minorEastAsia" w:cstheme="minorEastAsia"/>
          <w:color w:val="auto"/>
          <w:sz w:val="22"/>
          <w:szCs w:val="22"/>
          <w:highlight w:val="none"/>
        </w:rPr>
        <w:t>履约保证金</w:t>
      </w:r>
      <w:r>
        <w:rPr>
          <w:rFonts w:hint="eastAsia" w:asciiTheme="minorEastAsia" w:hAnsiTheme="minorEastAsia" w:eastAsiaTheme="minorEastAsia" w:cstheme="minorEastAsia"/>
          <w:color w:val="auto"/>
          <w:kern w:val="0"/>
          <w:sz w:val="22"/>
          <w:szCs w:val="22"/>
          <w:highlight w:val="none"/>
        </w:rPr>
        <w:t>。</w:t>
      </w:r>
    </w:p>
    <w:p w14:paraId="5FCE1223">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zh-CN"/>
        </w:rPr>
        <w:t>11</w:t>
      </w:r>
      <w:r>
        <w:rPr>
          <w:rFonts w:hint="eastAsia" w:asciiTheme="minorEastAsia" w:hAnsiTheme="minorEastAsia" w:cstheme="minorEastAsia"/>
          <w:color w:val="auto"/>
          <w:sz w:val="22"/>
          <w:szCs w:val="22"/>
          <w:highlight w:val="none"/>
          <w:lang w:val="zh-CN"/>
        </w:rPr>
        <w:t>、</w:t>
      </w:r>
      <w:r>
        <w:rPr>
          <w:rFonts w:hint="eastAsia" w:asciiTheme="minorEastAsia" w:hAnsiTheme="minorEastAsia" w:eastAsiaTheme="minorEastAsia" w:cstheme="minorEastAsia"/>
          <w:color w:val="auto"/>
          <w:sz w:val="22"/>
          <w:szCs w:val="22"/>
          <w:highlight w:val="none"/>
          <w:lang w:val="zh-CN"/>
        </w:rPr>
        <w:t>合同期内，</w:t>
      </w:r>
      <w:r>
        <w:rPr>
          <w:rFonts w:hint="eastAsia" w:asciiTheme="minorEastAsia" w:hAnsiTheme="minorEastAsia" w:eastAsiaTheme="minorEastAsia" w:cstheme="minorEastAsia"/>
          <w:color w:val="auto"/>
          <w:sz w:val="22"/>
          <w:szCs w:val="22"/>
          <w:highlight w:val="none"/>
        </w:rPr>
        <w:t>乙方以价格或其他问题单方面向甲方提出毁约的，甲方有权提出罚没履约保证金作为赔偿，并取消其供货资格。</w:t>
      </w:r>
    </w:p>
    <w:p w14:paraId="4ED568FC">
      <w:pPr>
        <w:widowControl/>
        <w:spacing w:line="360" w:lineRule="auto"/>
        <w:ind w:firstLine="440" w:firstLineChars="200"/>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w:t>
      </w:r>
      <w:r>
        <w:rPr>
          <w:rFonts w:hint="eastAsia" w:asciiTheme="minorEastAsia" w:hAnsi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如</w:t>
      </w:r>
      <w:r>
        <w:rPr>
          <w:rFonts w:hint="eastAsia" w:asciiTheme="minorEastAsia" w:hAnsiTheme="minorEastAsia" w:cstheme="minorEastAsia"/>
          <w:color w:val="auto"/>
          <w:kern w:val="0"/>
          <w:sz w:val="22"/>
          <w:szCs w:val="22"/>
          <w:highlight w:val="none"/>
          <w:lang w:eastAsia="zh-CN"/>
        </w:rPr>
        <w:t>乙方</w:t>
      </w:r>
      <w:r>
        <w:rPr>
          <w:rFonts w:hint="eastAsia" w:asciiTheme="minorEastAsia" w:hAnsiTheme="minorEastAsia" w:eastAsiaTheme="minorEastAsia" w:cstheme="minorEastAsia"/>
          <w:color w:val="auto"/>
          <w:kern w:val="0"/>
          <w:sz w:val="22"/>
          <w:szCs w:val="22"/>
          <w:highlight w:val="none"/>
        </w:rPr>
        <w:t>在项目实施期间出现违背投标时的承诺，或经营异常，或丧失商业信誉，或产品被曝光不合格或被政府部门取缔相关生产经营资格的情况，采购人有权直接解除合同。</w:t>
      </w:r>
    </w:p>
    <w:p w14:paraId="6C07AAE6">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13</w:t>
      </w:r>
      <w:r>
        <w:rPr>
          <w:rFonts w:hint="eastAsia" w:asciiTheme="minorEastAsia" w:hAnsi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甲方无特殊原因，未按时偿付货款，造成乙方经营困难和经济损失的，应在接到付款通知后15日内补付货款，且承担本批次货款的5%的违约金。</w:t>
      </w:r>
    </w:p>
    <w:p w14:paraId="0A1DF098">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14</w:t>
      </w:r>
      <w:r>
        <w:rPr>
          <w:rFonts w:hint="eastAsia" w:asciiTheme="minorEastAsia" w:hAnsi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合作期间，未经甲方同意，乙方不得将合同所列条款私自转包，一经发现，甲方有权拒付未结货款，停止与乙方合作，并</w:t>
      </w:r>
      <w:r>
        <w:rPr>
          <w:rFonts w:hint="eastAsia" w:asciiTheme="minorEastAsia" w:hAnsiTheme="minorEastAsia" w:cstheme="minorEastAsia"/>
          <w:color w:val="auto"/>
          <w:sz w:val="22"/>
          <w:szCs w:val="22"/>
          <w:highlight w:val="none"/>
          <w:lang w:val="en-US" w:eastAsia="zh-CN"/>
        </w:rPr>
        <w:t>终止</w:t>
      </w:r>
      <w:r>
        <w:rPr>
          <w:rFonts w:hint="eastAsia" w:asciiTheme="minorEastAsia" w:hAnsiTheme="minorEastAsia" w:eastAsiaTheme="minorEastAsia" w:cstheme="minorEastAsia"/>
          <w:color w:val="auto"/>
          <w:sz w:val="22"/>
          <w:szCs w:val="22"/>
          <w:highlight w:val="none"/>
        </w:rPr>
        <w:t>。</w:t>
      </w:r>
    </w:p>
    <w:p w14:paraId="6A029BAD">
      <w:pPr>
        <w:spacing w:line="360" w:lineRule="auto"/>
        <w:ind w:firstLine="440" w:firstLineChars="200"/>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15、本项目的送货地址是：南京市浦口区百合路248号</w:t>
      </w:r>
    </w:p>
    <w:p w14:paraId="742DDEC7">
      <w:pPr>
        <w:spacing w:line="360" w:lineRule="auto"/>
        <w:ind w:firstLine="442" w:firstLineChars="200"/>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八、合同组成</w:t>
      </w:r>
    </w:p>
    <w:p w14:paraId="5A089505">
      <w:pPr>
        <w:spacing w:line="360" w:lineRule="auto"/>
        <w:ind w:firstLine="440" w:firstLineChars="200"/>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本合同由以下文件组成：</w:t>
      </w:r>
    </w:p>
    <w:p w14:paraId="4EFCC821">
      <w:pPr>
        <w:spacing w:line="360" w:lineRule="auto"/>
        <w:ind w:firstLine="440" w:firstLineChars="200"/>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1．本合同协议书</w:t>
      </w:r>
    </w:p>
    <w:p w14:paraId="232748BA">
      <w:pPr>
        <w:spacing w:line="360" w:lineRule="auto"/>
        <w:ind w:firstLine="440" w:firstLineChars="200"/>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2．中标通知书</w:t>
      </w:r>
    </w:p>
    <w:p w14:paraId="4CAEED4D">
      <w:pPr>
        <w:spacing w:line="360" w:lineRule="auto"/>
        <w:ind w:firstLine="440" w:firstLineChars="200"/>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3．招标文件及投标文件</w:t>
      </w:r>
    </w:p>
    <w:p w14:paraId="77B7DF25">
      <w:pPr>
        <w:spacing w:line="360" w:lineRule="auto"/>
        <w:ind w:firstLine="440" w:firstLineChars="200"/>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4．甲乙双方商定的其他必要文件。</w:t>
      </w:r>
    </w:p>
    <w:p w14:paraId="3166BCA3">
      <w:pPr>
        <w:spacing w:line="360" w:lineRule="auto"/>
        <w:ind w:firstLine="442" w:firstLineChars="200"/>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九、合同生效及其它</w:t>
      </w:r>
    </w:p>
    <w:p w14:paraId="20574DFA">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bCs/>
          <w:color w:val="auto"/>
          <w:sz w:val="22"/>
          <w:szCs w:val="22"/>
          <w:highlight w:val="none"/>
        </w:rPr>
        <w:t>．</w:t>
      </w:r>
      <w:r>
        <w:rPr>
          <w:rFonts w:hint="eastAsia" w:asciiTheme="minorEastAsia" w:hAnsiTheme="minorEastAsia" w:eastAsiaTheme="minorEastAsia" w:cstheme="minorEastAsia"/>
          <w:color w:val="auto"/>
          <w:sz w:val="22"/>
          <w:szCs w:val="22"/>
          <w:highlight w:val="none"/>
        </w:rPr>
        <w:t>本合同经双方签章后生效。</w:t>
      </w:r>
    </w:p>
    <w:p w14:paraId="03AA9861">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bCs/>
          <w:color w:val="auto"/>
          <w:sz w:val="22"/>
          <w:szCs w:val="22"/>
          <w:highlight w:val="none"/>
        </w:rPr>
        <w:t>．</w:t>
      </w:r>
      <w:r>
        <w:rPr>
          <w:rFonts w:hint="eastAsia" w:asciiTheme="minorEastAsia" w:hAnsiTheme="minorEastAsia" w:eastAsiaTheme="minorEastAsia" w:cstheme="minorEastAsia"/>
          <w:color w:val="auto"/>
          <w:sz w:val="22"/>
          <w:szCs w:val="22"/>
          <w:highlight w:val="none"/>
        </w:rPr>
        <w:t>合同生效后，双方都应严格履行合同，如在履行合同过程中产生争议时，双方协商解决。协商不成，向南京市浦口区人民法院提起诉讼。</w:t>
      </w:r>
    </w:p>
    <w:p w14:paraId="2F933313">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r>
        <w:rPr>
          <w:rFonts w:hint="eastAsia" w:asciiTheme="minorEastAsia" w:hAnsiTheme="minorEastAsia" w:eastAsiaTheme="minorEastAsia" w:cstheme="minorEastAsia"/>
          <w:bCs/>
          <w:color w:val="auto"/>
          <w:sz w:val="22"/>
          <w:szCs w:val="22"/>
          <w:highlight w:val="none"/>
        </w:rPr>
        <w:t>．</w:t>
      </w:r>
      <w:r>
        <w:rPr>
          <w:rFonts w:hint="eastAsia" w:asciiTheme="minorEastAsia" w:hAnsiTheme="minorEastAsia" w:eastAsiaTheme="minorEastAsia" w:cstheme="minorEastAsia"/>
          <w:color w:val="auto"/>
          <w:sz w:val="22"/>
          <w:szCs w:val="22"/>
          <w:highlight w:val="none"/>
        </w:rPr>
        <w:t>合同在执行过程中出现的未尽事宜，双方协商解决。协商结果以补充协议形式作为本合同的附件，与本合同具有同等效力。</w:t>
      </w:r>
    </w:p>
    <w:p w14:paraId="08FB8008">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w:t>
      </w:r>
      <w:r>
        <w:rPr>
          <w:rFonts w:hint="eastAsia" w:asciiTheme="minorEastAsia" w:hAnsiTheme="minorEastAsia" w:eastAsiaTheme="minorEastAsia" w:cstheme="minorEastAsia"/>
          <w:bCs/>
          <w:color w:val="auto"/>
          <w:sz w:val="22"/>
          <w:szCs w:val="22"/>
          <w:highlight w:val="none"/>
        </w:rPr>
        <w:t>．</w:t>
      </w:r>
      <w:r>
        <w:rPr>
          <w:rFonts w:hint="eastAsia" w:asciiTheme="minorEastAsia" w:hAnsiTheme="minorEastAsia" w:eastAsiaTheme="minorEastAsia" w:cstheme="minorEastAsia"/>
          <w:color w:val="auto"/>
          <w:sz w:val="22"/>
          <w:szCs w:val="22"/>
          <w:highlight w:val="none"/>
        </w:rPr>
        <w:t>本合同一式四份，甲方执三份，乙方执一份，均具有同等效力。</w:t>
      </w:r>
    </w:p>
    <w:p w14:paraId="1D31FD0A">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p>
    <w:p w14:paraId="78A21E74">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p>
    <w:p w14:paraId="0EB494A7">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甲方：                                   乙方：</w:t>
      </w:r>
    </w:p>
    <w:p w14:paraId="0BDD5410">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单位地址：                               单位地址：</w:t>
      </w:r>
    </w:p>
    <w:p w14:paraId="360AF37B">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甲方代表（签章）：                       乙方代表（签章）：</w:t>
      </w:r>
    </w:p>
    <w:p w14:paraId="3FF2340D">
      <w:pPr>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联系电话：                               联系电话：</w:t>
      </w:r>
    </w:p>
    <w:p w14:paraId="37442C68">
      <w:pPr>
        <w:spacing w:line="360" w:lineRule="auto"/>
        <w:ind w:firstLine="44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2"/>
          <w:szCs w:val="22"/>
          <w:highlight w:val="none"/>
        </w:rPr>
        <w:t>签订时间：  年  月  日                   签订时间：   年  月  日</w:t>
      </w:r>
    </w:p>
    <w:p w14:paraId="7242A6C6">
      <w:pPr>
        <w:jc w:val="center"/>
        <w:outlineLvl w:val="0"/>
        <w:rPr>
          <w:rFonts w:cs="黑体" w:asciiTheme="minorEastAsia" w:hAnsiTheme="minorEastAsia"/>
          <w:b/>
          <w:color w:val="auto"/>
          <w:sz w:val="36"/>
          <w:szCs w:val="24"/>
          <w:highlight w:val="none"/>
          <w:lang w:val="zh-CN"/>
        </w:rPr>
      </w:pPr>
      <w:r>
        <w:rPr>
          <w:rFonts w:hint="eastAsia" w:ascii="宋体" w:hAnsi="宋体"/>
          <w:color w:val="auto"/>
          <w:sz w:val="36"/>
          <w:szCs w:val="36"/>
          <w:highlight w:val="none"/>
          <w:lang w:val="zh-CN"/>
        </w:rPr>
        <w:br w:type="page"/>
      </w:r>
      <w:r>
        <w:rPr>
          <w:rFonts w:hint="eastAsia" w:cs="黑体" w:asciiTheme="minorEastAsia" w:hAnsiTheme="minorEastAsia"/>
          <w:b/>
          <w:color w:val="auto"/>
          <w:sz w:val="36"/>
          <w:szCs w:val="24"/>
          <w:highlight w:val="none"/>
          <w:lang w:val="zh-CN"/>
        </w:rPr>
        <w:t>第六章</w:t>
      </w:r>
      <w:r>
        <w:rPr>
          <w:rFonts w:hint="eastAsia" w:cs="黑体" w:asciiTheme="minorEastAsia" w:hAnsiTheme="minorEastAsia"/>
          <w:b/>
          <w:color w:val="auto"/>
          <w:sz w:val="36"/>
          <w:szCs w:val="24"/>
          <w:highlight w:val="none"/>
        </w:rPr>
        <w:t xml:space="preserve">  </w:t>
      </w:r>
      <w:r>
        <w:rPr>
          <w:rFonts w:hint="eastAsia" w:cs="黑体" w:asciiTheme="minorEastAsia" w:hAnsiTheme="minorEastAsia"/>
          <w:b/>
          <w:color w:val="auto"/>
          <w:sz w:val="36"/>
          <w:szCs w:val="24"/>
          <w:highlight w:val="none"/>
          <w:lang w:val="zh-CN"/>
        </w:rPr>
        <w:t>投标文件格式及附件</w:t>
      </w:r>
    </w:p>
    <w:p w14:paraId="79DD2DF1">
      <w:pPr>
        <w:jc w:val="center"/>
        <w:rPr>
          <w:rFonts w:ascii="宋体" w:hAnsi="宋体"/>
          <w:b/>
          <w:color w:val="auto"/>
          <w:sz w:val="72"/>
          <w:highlight w:val="none"/>
        </w:rPr>
      </w:pPr>
    </w:p>
    <w:p w14:paraId="4D8856D7">
      <w:pPr>
        <w:jc w:val="center"/>
        <w:rPr>
          <w:rFonts w:ascii="宋体" w:hAnsi="宋体"/>
          <w:b/>
          <w:color w:val="auto"/>
          <w:sz w:val="72"/>
          <w:highlight w:val="none"/>
        </w:rPr>
      </w:pPr>
    </w:p>
    <w:p w14:paraId="56A7A66F">
      <w:pPr>
        <w:jc w:val="center"/>
        <w:rPr>
          <w:rFonts w:ascii="宋体" w:hAnsi="宋体"/>
          <w:b/>
          <w:color w:val="auto"/>
          <w:sz w:val="72"/>
          <w:highlight w:val="none"/>
        </w:rPr>
      </w:pPr>
    </w:p>
    <w:p w14:paraId="142E42C9">
      <w:pPr>
        <w:jc w:val="center"/>
        <w:rPr>
          <w:rFonts w:ascii="宋体" w:hAnsi="宋体"/>
          <w:b/>
          <w:color w:val="auto"/>
          <w:sz w:val="72"/>
          <w:highlight w:val="none"/>
        </w:rPr>
      </w:pPr>
    </w:p>
    <w:p w14:paraId="0E67E9E4">
      <w:pPr>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50816D67">
      <w:pPr>
        <w:jc w:val="center"/>
        <w:rPr>
          <w:rFonts w:ascii="宋体" w:hAnsi="宋体"/>
          <w:b/>
          <w:color w:val="auto"/>
          <w:sz w:val="24"/>
          <w:highlight w:val="none"/>
        </w:rPr>
      </w:pPr>
    </w:p>
    <w:p w14:paraId="76185A3A">
      <w:pPr>
        <w:jc w:val="center"/>
        <w:rPr>
          <w:rFonts w:ascii="宋体" w:hAnsi="宋体"/>
          <w:b/>
          <w:color w:val="auto"/>
          <w:sz w:val="24"/>
          <w:highlight w:val="none"/>
        </w:rPr>
      </w:pPr>
    </w:p>
    <w:p w14:paraId="2E7F32A2">
      <w:pPr>
        <w:jc w:val="center"/>
        <w:rPr>
          <w:rFonts w:ascii="宋体" w:hAnsi="宋体"/>
          <w:b/>
          <w:color w:val="auto"/>
          <w:sz w:val="24"/>
          <w:highlight w:val="none"/>
        </w:rPr>
      </w:pPr>
    </w:p>
    <w:p w14:paraId="037F1D70">
      <w:pPr>
        <w:jc w:val="center"/>
        <w:rPr>
          <w:rFonts w:ascii="宋体" w:hAnsi="宋体"/>
          <w:b/>
          <w:color w:val="auto"/>
          <w:sz w:val="24"/>
          <w:highlight w:val="none"/>
        </w:rPr>
      </w:pPr>
    </w:p>
    <w:p w14:paraId="182BDE22">
      <w:pPr>
        <w:jc w:val="center"/>
        <w:rPr>
          <w:rFonts w:ascii="宋体" w:hAnsi="宋体"/>
          <w:b/>
          <w:color w:val="auto"/>
          <w:sz w:val="24"/>
          <w:highlight w:val="none"/>
        </w:rPr>
      </w:pPr>
    </w:p>
    <w:p w14:paraId="6C8164CB">
      <w:pPr>
        <w:jc w:val="center"/>
        <w:rPr>
          <w:rFonts w:ascii="宋体" w:hAnsi="宋体"/>
          <w:b/>
          <w:color w:val="auto"/>
          <w:sz w:val="24"/>
          <w:highlight w:val="none"/>
        </w:rPr>
      </w:pPr>
    </w:p>
    <w:p w14:paraId="276C0895">
      <w:pPr>
        <w:jc w:val="center"/>
        <w:rPr>
          <w:rFonts w:ascii="宋体" w:hAnsi="宋体"/>
          <w:b/>
          <w:color w:val="auto"/>
          <w:sz w:val="24"/>
          <w:highlight w:val="none"/>
        </w:rPr>
      </w:pPr>
    </w:p>
    <w:p w14:paraId="1EC31B40">
      <w:pPr>
        <w:jc w:val="center"/>
        <w:rPr>
          <w:rFonts w:ascii="宋体" w:hAnsi="宋体"/>
          <w:b/>
          <w:color w:val="auto"/>
          <w:sz w:val="24"/>
          <w:highlight w:val="none"/>
        </w:rPr>
      </w:pPr>
    </w:p>
    <w:p w14:paraId="08ABD6DC">
      <w:pPr>
        <w:jc w:val="center"/>
        <w:rPr>
          <w:rFonts w:ascii="宋体" w:hAnsi="宋体"/>
          <w:b/>
          <w:color w:val="auto"/>
          <w:sz w:val="24"/>
          <w:highlight w:val="none"/>
        </w:rPr>
      </w:pPr>
    </w:p>
    <w:p w14:paraId="153520ED">
      <w:pPr>
        <w:jc w:val="center"/>
        <w:rPr>
          <w:rFonts w:ascii="宋体" w:hAnsi="宋体"/>
          <w:b/>
          <w:color w:val="auto"/>
          <w:sz w:val="24"/>
          <w:highlight w:val="none"/>
        </w:rPr>
      </w:pPr>
    </w:p>
    <w:p w14:paraId="7990367C">
      <w:pPr>
        <w:jc w:val="center"/>
        <w:rPr>
          <w:rFonts w:ascii="宋体" w:hAnsi="宋体"/>
          <w:b/>
          <w:color w:val="auto"/>
          <w:sz w:val="24"/>
          <w:highlight w:val="none"/>
        </w:rPr>
      </w:pPr>
    </w:p>
    <w:p w14:paraId="63496604">
      <w:pPr>
        <w:ind w:firstLine="843" w:firstLineChars="300"/>
        <w:rPr>
          <w:rFonts w:hint="eastAsia" w:ascii="宋体" w:hAnsi="宋体"/>
          <w:b/>
          <w:color w:val="auto"/>
          <w:sz w:val="28"/>
          <w:szCs w:val="28"/>
          <w:highlight w:val="none"/>
        </w:rPr>
      </w:pPr>
      <w:r>
        <w:rPr>
          <w:rFonts w:hint="eastAsia" w:ascii="宋体" w:hAnsi="宋体"/>
          <w:b/>
          <w:color w:val="auto"/>
          <w:sz w:val="28"/>
          <w:szCs w:val="28"/>
          <w:highlight w:val="none"/>
        </w:rPr>
        <w:t>项目编号：</w:t>
      </w:r>
    </w:p>
    <w:p w14:paraId="497C5D08">
      <w:pPr>
        <w:ind w:firstLine="843" w:firstLineChars="300"/>
        <w:rPr>
          <w:rFonts w:hint="eastAsia" w:ascii="宋体" w:hAnsi="宋体" w:eastAsiaTheme="minorEastAsia"/>
          <w:b/>
          <w:color w:val="auto"/>
          <w:sz w:val="28"/>
          <w:szCs w:val="28"/>
          <w:highlight w:val="none"/>
          <w:lang w:val="en-US" w:eastAsia="zh-CN"/>
        </w:rPr>
      </w:pPr>
      <w:r>
        <w:rPr>
          <w:rFonts w:hint="eastAsia" w:ascii="宋体" w:hAnsi="宋体"/>
          <w:b/>
          <w:color w:val="auto"/>
          <w:sz w:val="28"/>
          <w:szCs w:val="28"/>
          <w:highlight w:val="none"/>
          <w:lang w:val="en-US" w:eastAsia="zh-CN"/>
        </w:rPr>
        <w:t>标段编号：</w:t>
      </w:r>
    </w:p>
    <w:p w14:paraId="66C2DECB">
      <w:pPr>
        <w:ind w:firstLine="843" w:firstLineChars="300"/>
        <w:rPr>
          <w:rFonts w:hint="eastAsia" w:ascii="宋体" w:hAnsi="宋体"/>
          <w:b/>
          <w:color w:val="auto"/>
          <w:sz w:val="28"/>
          <w:szCs w:val="28"/>
          <w:highlight w:val="none"/>
        </w:rPr>
      </w:pPr>
      <w:r>
        <w:rPr>
          <w:rFonts w:hint="eastAsia" w:ascii="宋体" w:hAnsi="宋体"/>
          <w:b/>
          <w:color w:val="auto"/>
          <w:sz w:val="28"/>
          <w:szCs w:val="28"/>
          <w:highlight w:val="none"/>
        </w:rPr>
        <w:t>项目名称：</w:t>
      </w:r>
    </w:p>
    <w:p w14:paraId="4A63FE8A">
      <w:pPr>
        <w:ind w:firstLine="843" w:firstLineChars="300"/>
        <w:rPr>
          <w:rFonts w:hint="eastAsia" w:ascii="宋体" w:hAnsi="宋体" w:eastAsiaTheme="minorEastAsia"/>
          <w:b/>
          <w:color w:val="auto"/>
          <w:sz w:val="28"/>
          <w:szCs w:val="28"/>
          <w:highlight w:val="none"/>
          <w:lang w:val="en-US" w:eastAsia="zh-CN"/>
        </w:rPr>
      </w:pPr>
      <w:r>
        <w:rPr>
          <w:rFonts w:hint="eastAsia" w:ascii="宋体" w:hAnsi="宋体"/>
          <w:b/>
          <w:color w:val="auto"/>
          <w:sz w:val="28"/>
          <w:szCs w:val="28"/>
          <w:highlight w:val="none"/>
          <w:lang w:val="en-US" w:eastAsia="zh-CN"/>
        </w:rPr>
        <w:t>标段名称</w:t>
      </w:r>
    </w:p>
    <w:p w14:paraId="1E0C060A">
      <w:pPr>
        <w:rPr>
          <w:rFonts w:ascii="宋体" w:hAnsi="宋体"/>
          <w:b/>
          <w:color w:val="auto"/>
          <w:sz w:val="28"/>
          <w:szCs w:val="28"/>
          <w:highlight w:val="none"/>
        </w:rPr>
      </w:pPr>
    </w:p>
    <w:p w14:paraId="3445068B">
      <w:pPr>
        <w:rPr>
          <w:rFonts w:ascii="宋体" w:hAnsi="宋体"/>
          <w:b/>
          <w:color w:val="auto"/>
          <w:sz w:val="28"/>
          <w:szCs w:val="28"/>
          <w:highlight w:val="none"/>
        </w:rPr>
      </w:pPr>
    </w:p>
    <w:p w14:paraId="61CF56CF">
      <w:pPr>
        <w:rPr>
          <w:rFonts w:ascii="宋体" w:hAnsi="宋体"/>
          <w:b/>
          <w:color w:val="auto"/>
          <w:sz w:val="28"/>
          <w:szCs w:val="28"/>
          <w:highlight w:val="none"/>
        </w:rPr>
      </w:pPr>
    </w:p>
    <w:p w14:paraId="5EB620E7">
      <w:pPr>
        <w:rPr>
          <w:rFonts w:ascii="宋体" w:hAnsi="宋体"/>
          <w:b/>
          <w:color w:val="auto"/>
          <w:sz w:val="28"/>
          <w:szCs w:val="28"/>
          <w:highlight w:val="none"/>
        </w:rPr>
      </w:pPr>
    </w:p>
    <w:p w14:paraId="45A3E7EE">
      <w:pPr>
        <w:rPr>
          <w:rFonts w:ascii="宋体" w:hAnsi="宋体"/>
          <w:b/>
          <w:color w:val="auto"/>
          <w:sz w:val="28"/>
          <w:szCs w:val="28"/>
          <w:highlight w:val="none"/>
        </w:rPr>
      </w:pPr>
    </w:p>
    <w:p w14:paraId="7039119D">
      <w:pPr>
        <w:rPr>
          <w:rFonts w:ascii="宋体" w:hAnsi="宋体"/>
          <w:b/>
          <w:color w:val="auto"/>
          <w:sz w:val="28"/>
          <w:szCs w:val="28"/>
          <w:highlight w:val="none"/>
        </w:rPr>
      </w:pPr>
    </w:p>
    <w:p w14:paraId="4FDA31BE">
      <w:pPr>
        <w:rPr>
          <w:rFonts w:ascii="宋体" w:hAnsi="宋体"/>
          <w:b/>
          <w:color w:val="auto"/>
          <w:sz w:val="28"/>
          <w:szCs w:val="28"/>
          <w:highlight w:val="none"/>
        </w:rPr>
      </w:pPr>
    </w:p>
    <w:p w14:paraId="24E70ADD">
      <w:pPr>
        <w:rPr>
          <w:rFonts w:ascii="宋体" w:hAnsi="宋体"/>
          <w:b/>
          <w:color w:val="auto"/>
          <w:sz w:val="28"/>
          <w:szCs w:val="28"/>
          <w:highlight w:val="none"/>
        </w:rPr>
      </w:pPr>
    </w:p>
    <w:p w14:paraId="6E4D0707">
      <w:pPr>
        <w:rPr>
          <w:rFonts w:ascii="宋体" w:hAnsi="宋体"/>
          <w:b/>
          <w:color w:val="auto"/>
          <w:sz w:val="28"/>
          <w:szCs w:val="28"/>
          <w:highlight w:val="none"/>
          <w:u w:val="single"/>
        </w:rPr>
      </w:pPr>
      <w:r>
        <w:rPr>
          <w:rFonts w:hint="eastAsia" w:ascii="宋体" w:hAnsi="宋体"/>
          <w:b/>
          <w:color w:val="auto"/>
          <w:sz w:val="28"/>
          <w:szCs w:val="28"/>
          <w:highlight w:val="none"/>
        </w:rPr>
        <w:t>投标人名称：</w:t>
      </w:r>
    </w:p>
    <w:p w14:paraId="08669A33">
      <w:pPr>
        <w:rPr>
          <w:rFonts w:ascii="宋体" w:hAnsi="宋体"/>
          <w:b/>
          <w:color w:val="auto"/>
          <w:sz w:val="28"/>
          <w:szCs w:val="28"/>
          <w:highlight w:val="none"/>
        </w:rPr>
      </w:pPr>
      <w:r>
        <w:rPr>
          <w:rFonts w:hint="eastAsia" w:ascii="宋体" w:hAnsi="宋体"/>
          <w:b/>
          <w:color w:val="auto"/>
          <w:sz w:val="28"/>
          <w:szCs w:val="28"/>
          <w:highlight w:val="none"/>
        </w:rPr>
        <w:t>日期：</w:t>
      </w:r>
    </w:p>
    <w:p w14:paraId="45DD42AA">
      <w:pPr>
        <w:jc w:val="center"/>
        <w:rPr>
          <w:rFonts w:ascii="宋体" w:hAnsi="宋体"/>
          <w:b/>
          <w:color w:val="auto"/>
          <w:sz w:val="30"/>
          <w:szCs w:val="30"/>
          <w:highlight w:val="none"/>
        </w:rPr>
      </w:pPr>
      <w:r>
        <w:rPr>
          <w:rFonts w:ascii="宋体" w:hAnsi="宋体"/>
          <w:b/>
          <w:bCs/>
          <w:color w:val="auto"/>
          <w:sz w:val="36"/>
          <w:highlight w:val="none"/>
        </w:rPr>
        <w:br w:type="page"/>
      </w:r>
      <w:bookmarkStart w:id="5" w:name="_Toc405408732"/>
      <w:r>
        <w:rPr>
          <w:rFonts w:hint="eastAsia" w:ascii="宋体" w:hAnsi="宋体"/>
          <w:b/>
          <w:color w:val="auto"/>
          <w:sz w:val="30"/>
          <w:szCs w:val="30"/>
          <w:highlight w:val="none"/>
        </w:rPr>
        <w:t>评分索引表</w:t>
      </w:r>
    </w:p>
    <w:tbl>
      <w:tblPr>
        <w:tblStyle w:val="43"/>
        <w:tblW w:w="96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2"/>
        <w:gridCol w:w="3455"/>
      </w:tblGrid>
      <w:tr w14:paraId="561C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232" w:type="dxa"/>
          </w:tcPr>
          <w:p w14:paraId="2409C4D4">
            <w:pPr>
              <w:jc w:val="center"/>
              <w:rPr>
                <w:rFonts w:ascii="宋体" w:hAnsi="宋体"/>
                <w:b/>
                <w:color w:val="auto"/>
                <w:highlight w:val="none"/>
              </w:rPr>
            </w:pPr>
            <w:r>
              <w:rPr>
                <w:rFonts w:hint="eastAsia" w:ascii="宋体" w:hAnsi="宋体"/>
                <w:b/>
                <w:color w:val="auto"/>
                <w:highlight w:val="none"/>
              </w:rPr>
              <w:t>评分项目</w:t>
            </w:r>
          </w:p>
        </w:tc>
        <w:tc>
          <w:tcPr>
            <w:tcW w:w="3455" w:type="dxa"/>
          </w:tcPr>
          <w:p w14:paraId="4E85A108">
            <w:pPr>
              <w:jc w:val="center"/>
              <w:rPr>
                <w:rFonts w:ascii="宋体" w:hAnsi="宋体"/>
                <w:b/>
                <w:color w:val="auto"/>
                <w:highlight w:val="none"/>
              </w:rPr>
            </w:pPr>
            <w:r>
              <w:rPr>
                <w:rFonts w:hint="eastAsia" w:ascii="宋体" w:hAnsi="宋体"/>
                <w:b/>
                <w:color w:val="auto"/>
                <w:highlight w:val="none"/>
              </w:rPr>
              <w:t>在投标文件中的页码位置</w:t>
            </w:r>
          </w:p>
        </w:tc>
      </w:tr>
      <w:tr w14:paraId="495C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32" w:type="dxa"/>
          </w:tcPr>
          <w:p w14:paraId="353B06BC">
            <w:pPr>
              <w:rPr>
                <w:rFonts w:ascii="宋体" w:hAnsi="宋体"/>
                <w:b/>
                <w:color w:val="auto"/>
                <w:highlight w:val="none"/>
              </w:rPr>
            </w:pPr>
          </w:p>
        </w:tc>
        <w:tc>
          <w:tcPr>
            <w:tcW w:w="3455" w:type="dxa"/>
          </w:tcPr>
          <w:p w14:paraId="31F7224A">
            <w:pPr>
              <w:rPr>
                <w:rFonts w:ascii="宋体" w:hAnsi="宋体"/>
                <w:b/>
                <w:color w:val="auto"/>
                <w:highlight w:val="none"/>
              </w:rPr>
            </w:pPr>
          </w:p>
        </w:tc>
      </w:tr>
      <w:tr w14:paraId="03AA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687" w:type="dxa"/>
            <w:gridSpan w:val="2"/>
          </w:tcPr>
          <w:p w14:paraId="1F390FDD">
            <w:pPr>
              <w:rPr>
                <w:rFonts w:ascii="宋体" w:hAnsi="宋体"/>
                <w:b/>
                <w:color w:val="auto"/>
                <w:highlight w:val="none"/>
              </w:rPr>
            </w:pPr>
          </w:p>
        </w:tc>
      </w:tr>
      <w:tr w14:paraId="3CFA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232" w:type="dxa"/>
          </w:tcPr>
          <w:p w14:paraId="3B1C54E9">
            <w:pPr>
              <w:rPr>
                <w:rFonts w:ascii="宋体" w:hAnsi="宋体"/>
                <w:b/>
                <w:color w:val="auto"/>
                <w:highlight w:val="none"/>
              </w:rPr>
            </w:pPr>
          </w:p>
        </w:tc>
        <w:tc>
          <w:tcPr>
            <w:tcW w:w="3455" w:type="dxa"/>
          </w:tcPr>
          <w:p w14:paraId="54C1B5CE">
            <w:pPr>
              <w:rPr>
                <w:rFonts w:ascii="宋体" w:hAnsi="宋体"/>
                <w:b/>
                <w:color w:val="auto"/>
                <w:highlight w:val="none"/>
              </w:rPr>
            </w:pPr>
          </w:p>
        </w:tc>
      </w:tr>
      <w:tr w14:paraId="02D4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232" w:type="dxa"/>
          </w:tcPr>
          <w:p w14:paraId="2D269D81">
            <w:pPr>
              <w:rPr>
                <w:rFonts w:ascii="宋体" w:hAnsi="宋体"/>
                <w:b/>
                <w:color w:val="auto"/>
                <w:highlight w:val="none"/>
              </w:rPr>
            </w:pPr>
          </w:p>
        </w:tc>
        <w:tc>
          <w:tcPr>
            <w:tcW w:w="3455" w:type="dxa"/>
          </w:tcPr>
          <w:p w14:paraId="40159595">
            <w:pPr>
              <w:rPr>
                <w:rFonts w:ascii="宋体" w:hAnsi="宋体"/>
                <w:b/>
                <w:color w:val="auto"/>
                <w:highlight w:val="none"/>
              </w:rPr>
            </w:pPr>
          </w:p>
        </w:tc>
      </w:tr>
      <w:tr w14:paraId="0CF3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232" w:type="dxa"/>
          </w:tcPr>
          <w:p w14:paraId="6D8DCE69">
            <w:pPr>
              <w:rPr>
                <w:rFonts w:ascii="宋体" w:hAnsi="宋体"/>
                <w:b/>
                <w:color w:val="auto"/>
                <w:highlight w:val="none"/>
              </w:rPr>
            </w:pPr>
          </w:p>
        </w:tc>
        <w:tc>
          <w:tcPr>
            <w:tcW w:w="3455" w:type="dxa"/>
          </w:tcPr>
          <w:p w14:paraId="057A257E">
            <w:pPr>
              <w:rPr>
                <w:rFonts w:ascii="宋体" w:hAnsi="宋体"/>
                <w:b/>
                <w:color w:val="auto"/>
                <w:highlight w:val="none"/>
              </w:rPr>
            </w:pPr>
          </w:p>
        </w:tc>
      </w:tr>
      <w:tr w14:paraId="5F07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232" w:type="dxa"/>
          </w:tcPr>
          <w:p w14:paraId="409E5771">
            <w:pPr>
              <w:rPr>
                <w:rFonts w:ascii="宋体" w:hAnsi="宋体"/>
                <w:b/>
                <w:color w:val="auto"/>
                <w:highlight w:val="none"/>
              </w:rPr>
            </w:pPr>
          </w:p>
        </w:tc>
        <w:tc>
          <w:tcPr>
            <w:tcW w:w="3455" w:type="dxa"/>
          </w:tcPr>
          <w:p w14:paraId="418E14F2">
            <w:pPr>
              <w:rPr>
                <w:rFonts w:ascii="宋体" w:hAnsi="宋体"/>
                <w:b/>
                <w:color w:val="auto"/>
                <w:highlight w:val="none"/>
              </w:rPr>
            </w:pPr>
          </w:p>
        </w:tc>
      </w:tr>
      <w:tr w14:paraId="6CCE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32" w:type="dxa"/>
          </w:tcPr>
          <w:p w14:paraId="4F392FAD">
            <w:pPr>
              <w:rPr>
                <w:rFonts w:ascii="宋体" w:hAnsi="宋体"/>
                <w:b/>
                <w:color w:val="auto"/>
                <w:highlight w:val="none"/>
              </w:rPr>
            </w:pPr>
          </w:p>
        </w:tc>
        <w:tc>
          <w:tcPr>
            <w:tcW w:w="3455" w:type="dxa"/>
          </w:tcPr>
          <w:p w14:paraId="65A13349">
            <w:pPr>
              <w:rPr>
                <w:rFonts w:ascii="宋体" w:hAnsi="宋体"/>
                <w:b/>
                <w:color w:val="auto"/>
                <w:highlight w:val="none"/>
              </w:rPr>
            </w:pPr>
          </w:p>
        </w:tc>
      </w:tr>
      <w:tr w14:paraId="7363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687" w:type="dxa"/>
            <w:gridSpan w:val="2"/>
          </w:tcPr>
          <w:p w14:paraId="71BA67CD">
            <w:pPr>
              <w:rPr>
                <w:rFonts w:ascii="宋体" w:hAnsi="宋体"/>
                <w:b/>
                <w:color w:val="auto"/>
                <w:highlight w:val="none"/>
              </w:rPr>
            </w:pPr>
          </w:p>
        </w:tc>
      </w:tr>
      <w:tr w14:paraId="71C9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232" w:type="dxa"/>
          </w:tcPr>
          <w:p w14:paraId="5FABDB13">
            <w:pPr>
              <w:rPr>
                <w:rFonts w:ascii="宋体" w:hAnsi="宋体"/>
                <w:b/>
                <w:color w:val="auto"/>
                <w:highlight w:val="none"/>
              </w:rPr>
            </w:pPr>
          </w:p>
        </w:tc>
        <w:tc>
          <w:tcPr>
            <w:tcW w:w="3455" w:type="dxa"/>
          </w:tcPr>
          <w:p w14:paraId="1F9EF839">
            <w:pPr>
              <w:rPr>
                <w:rFonts w:ascii="宋体" w:hAnsi="宋体"/>
                <w:b/>
                <w:color w:val="auto"/>
                <w:highlight w:val="none"/>
              </w:rPr>
            </w:pPr>
          </w:p>
        </w:tc>
      </w:tr>
      <w:tr w14:paraId="00B8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232" w:type="dxa"/>
          </w:tcPr>
          <w:p w14:paraId="0E43A29E">
            <w:pPr>
              <w:rPr>
                <w:rFonts w:ascii="宋体" w:hAnsi="宋体"/>
                <w:b/>
                <w:color w:val="auto"/>
                <w:highlight w:val="none"/>
              </w:rPr>
            </w:pPr>
          </w:p>
        </w:tc>
        <w:tc>
          <w:tcPr>
            <w:tcW w:w="3455" w:type="dxa"/>
          </w:tcPr>
          <w:p w14:paraId="23711A3B">
            <w:pPr>
              <w:rPr>
                <w:rFonts w:ascii="宋体" w:hAnsi="宋体"/>
                <w:b/>
                <w:color w:val="auto"/>
                <w:highlight w:val="none"/>
              </w:rPr>
            </w:pPr>
          </w:p>
        </w:tc>
      </w:tr>
      <w:tr w14:paraId="0EFC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232" w:type="dxa"/>
          </w:tcPr>
          <w:p w14:paraId="1BA224B9">
            <w:pPr>
              <w:rPr>
                <w:rFonts w:ascii="宋体" w:hAnsi="宋体"/>
                <w:b/>
                <w:color w:val="auto"/>
                <w:highlight w:val="none"/>
              </w:rPr>
            </w:pPr>
          </w:p>
        </w:tc>
        <w:tc>
          <w:tcPr>
            <w:tcW w:w="3455" w:type="dxa"/>
          </w:tcPr>
          <w:p w14:paraId="2A02D57C">
            <w:pPr>
              <w:rPr>
                <w:rFonts w:ascii="宋体" w:hAnsi="宋体"/>
                <w:b/>
                <w:color w:val="auto"/>
                <w:highlight w:val="none"/>
              </w:rPr>
            </w:pPr>
          </w:p>
        </w:tc>
      </w:tr>
      <w:tr w14:paraId="5D72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232" w:type="dxa"/>
          </w:tcPr>
          <w:p w14:paraId="7B7E8B52">
            <w:pPr>
              <w:rPr>
                <w:rFonts w:ascii="宋体" w:hAnsi="宋体"/>
                <w:b/>
                <w:color w:val="auto"/>
                <w:highlight w:val="none"/>
              </w:rPr>
            </w:pPr>
          </w:p>
        </w:tc>
        <w:tc>
          <w:tcPr>
            <w:tcW w:w="3455" w:type="dxa"/>
          </w:tcPr>
          <w:p w14:paraId="3A2AB2A2">
            <w:pPr>
              <w:rPr>
                <w:rFonts w:ascii="宋体" w:hAnsi="宋体"/>
                <w:b/>
                <w:color w:val="auto"/>
                <w:highlight w:val="none"/>
              </w:rPr>
            </w:pPr>
          </w:p>
        </w:tc>
      </w:tr>
      <w:tr w14:paraId="100F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32" w:type="dxa"/>
          </w:tcPr>
          <w:p w14:paraId="3DC7007B">
            <w:pPr>
              <w:rPr>
                <w:rFonts w:ascii="宋体" w:hAnsi="宋体"/>
                <w:b/>
                <w:color w:val="auto"/>
                <w:highlight w:val="none"/>
              </w:rPr>
            </w:pPr>
          </w:p>
        </w:tc>
        <w:tc>
          <w:tcPr>
            <w:tcW w:w="3455" w:type="dxa"/>
          </w:tcPr>
          <w:p w14:paraId="571EFC5F">
            <w:pPr>
              <w:rPr>
                <w:rFonts w:ascii="宋体" w:hAnsi="宋体"/>
                <w:b/>
                <w:color w:val="auto"/>
                <w:highlight w:val="none"/>
              </w:rPr>
            </w:pPr>
          </w:p>
        </w:tc>
      </w:tr>
      <w:tr w14:paraId="4B80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87" w:type="dxa"/>
            <w:gridSpan w:val="2"/>
          </w:tcPr>
          <w:p w14:paraId="76329289">
            <w:pPr>
              <w:rPr>
                <w:rFonts w:ascii="宋体" w:hAnsi="宋体"/>
                <w:b/>
                <w:color w:val="auto"/>
                <w:highlight w:val="none"/>
              </w:rPr>
            </w:pPr>
          </w:p>
        </w:tc>
      </w:tr>
      <w:tr w14:paraId="218E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232" w:type="dxa"/>
          </w:tcPr>
          <w:p w14:paraId="55585C26">
            <w:pPr>
              <w:rPr>
                <w:rFonts w:ascii="宋体" w:hAnsi="宋体"/>
                <w:b/>
                <w:color w:val="auto"/>
                <w:highlight w:val="none"/>
              </w:rPr>
            </w:pPr>
          </w:p>
        </w:tc>
        <w:tc>
          <w:tcPr>
            <w:tcW w:w="3455" w:type="dxa"/>
          </w:tcPr>
          <w:p w14:paraId="5DB80D1A">
            <w:pPr>
              <w:rPr>
                <w:rFonts w:ascii="宋体" w:hAnsi="宋体"/>
                <w:b/>
                <w:color w:val="auto"/>
                <w:highlight w:val="none"/>
              </w:rPr>
            </w:pPr>
          </w:p>
        </w:tc>
      </w:tr>
      <w:tr w14:paraId="0791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232" w:type="dxa"/>
          </w:tcPr>
          <w:p w14:paraId="0E5D7D61">
            <w:pPr>
              <w:rPr>
                <w:rFonts w:ascii="宋体" w:hAnsi="宋体"/>
                <w:b/>
                <w:color w:val="auto"/>
                <w:highlight w:val="none"/>
              </w:rPr>
            </w:pPr>
          </w:p>
        </w:tc>
        <w:tc>
          <w:tcPr>
            <w:tcW w:w="3455" w:type="dxa"/>
          </w:tcPr>
          <w:p w14:paraId="7AA7192A">
            <w:pPr>
              <w:rPr>
                <w:rFonts w:ascii="宋体" w:hAnsi="宋体"/>
                <w:b/>
                <w:color w:val="auto"/>
                <w:highlight w:val="none"/>
              </w:rPr>
            </w:pPr>
          </w:p>
        </w:tc>
      </w:tr>
      <w:tr w14:paraId="0DD4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232" w:type="dxa"/>
          </w:tcPr>
          <w:p w14:paraId="5EFD00BB">
            <w:pPr>
              <w:rPr>
                <w:rFonts w:ascii="宋体" w:hAnsi="宋体"/>
                <w:b/>
                <w:color w:val="auto"/>
                <w:highlight w:val="none"/>
              </w:rPr>
            </w:pPr>
          </w:p>
        </w:tc>
        <w:tc>
          <w:tcPr>
            <w:tcW w:w="3455" w:type="dxa"/>
          </w:tcPr>
          <w:p w14:paraId="639A22A9">
            <w:pPr>
              <w:rPr>
                <w:rFonts w:ascii="宋体" w:hAnsi="宋体"/>
                <w:b/>
                <w:color w:val="auto"/>
                <w:highlight w:val="none"/>
              </w:rPr>
            </w:pPr>
          </w:p>
        </w:tc>
      </w:tr>
      <w:tr w14:paraId="5A25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687" w:type="dxa"/>
            <w:gridSpan w:val="2"/>
          </w:tcPr>
          <w:p w14:paraId="069169A6">
            <w:pPr>
              <w:rPr>
                <w:rFonts w:ascii="宋体" w:hAnsi="宋体"/>
                <w:b/>
                <w:color w:val="auto"/>
                <w:highlight w:val="none"/>
              </w:rPr>
            </w:pPr>
          </w:p>
        </w:tc>
      </w:tr>
      <w:tr w14:paraId="2574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232" w:type="dxa"/>
          </w:tcPr>
          <w:p w14:paraId="58968340">
            <w:pPr>
              <w:rPr>
                <w:rFonts w:ascii="宋体" w:hAnsi="宋体"/>
                <w:b/>
                <w:color w:val="auto"/>
                <w:highlight w:val="none"/>
              </w:rPr>
            </w:pPr>
          </w:p>
        </w:tc>
        <w:tc>
          <w:tcPr>
            <w:tcW w:w="3455" w:type="dxa"/>
          </w:tcPr>
          <w:p w14:paraId="68A971CF">
            <w:pPr>
              <w:rPr>
                <w:rFonts w:ascii="宋体" w:hAnsi="宋体"/>
                <w:b/>
                <w:color w:val="auto"/>
                <w:highlight w:val="none"/>
              </w:rPr>
            </w:pPr>
          </w:p>
        </w:tc>
      </w:tr>
      <w:tr w14:paraId="259D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232" w:type="dxa"/>
          </w:tcPr>
          <w:p w14:paraId="5DFD15C9">
            <w:pPr>
              <w:rPr>
                <w:rFonts w:ascii="宋体" w:hAnsi="宋体"/>
                <w:b/>
                <w:color w:val="auto"/>
                <w:highlight w:val="none"/>
              </w:rPr>
            </w:pPr>
          </w:p>
        </w:tc>
        <w:tc>
          <w:tcPr>
            <w:tcW w:w="3455" w:type="dxa"/>
          </w:tcPr>
          <w:p w14:paraId="15304E44">
            <w:pPr>
              <w:rPr>
                <w:rFonts w:ascii="宋体" w:hAnsi="宋体"/>
                <w:b/>
                <w:color w:val="auto"/>
                <w:highlight w:val="none"/>
              </w:rPr>
            </w:pPr>
          </w:p>
        </w:tc>
      </w:tr>
    </w:tbl>
    <w:p w14:paraId="2D93436E">
      <w:pPr>
        <w:rPr>
          <w:rFonts w:ascii="宋体" w:hAnsi="宋体"/>
          <w:color w:val="auto"/>
          <w:highlight w:val="none"/>
        </w:rPr>
      </w:pPr>
    </w:p>
    <w:p w14:paraId="129A9D9A">
      <w:pPr>
        <w:spacing w:line="440" w:lineRule="exact"/>
        <w:ind w:firstLine="420" w:firstLineChars="200"/>
        <w:rPr>
          <w:rFonts w:ascii="宋体" w:hAnsi="宋体"/>
          <w:color w:val="auto"/>
          <w:highlight w:val="none"/>
        </w:rPr>
      </w:pPr>
    </w:p>
    <w:p w14:paraId="1C9FED19">
      <w:pPr>
        <w:spacing w:line="440" w:lineRule="exact"/>
        <w:ind w:firstLine="420" w:firstLineChars="200"/>
        <w:rPr>
          <w:rFonts w:ascii="宋体" w:hAnsi="宋体"/>
          <w:color w:val="auto"/>
          <w:highlight w:val="none"/>
        </w:rPr>
      </w:pPr>
    </w:p>
    <w:p w14:paraId="3B6CD0A1">
      <w:pPr>
        <w:jc w:val="center"/>
        <w:rPr>
          <w:rFonts w:ascii="宋体" w:hAnsi="宋体"/>
          <w:b/>
          <w:bCs/>
          <w:color w:val="auto"/>
          <w:sz w:val="36"/>
          <w:highlight w:val="none"/>
        </w:rPr>
      </w:pPr>
      <w:r>
        <w:rPr>
          <w:rFonts w:ascii="宋体" w:hAnsi="宋体"/>
          <w:b/>
          <w:bCs/>
          <w:color w:val="auto"/>
          <w:sz w:val="36"/>
          <w:highlight w:val="none"/>
        </w:rPr>
        <w:br w:type="page"/>
      </w:r>
      <w:bookmarkStart w:id="6" w:name="_Toc489655320"/>
    </w:p>
    <w:p w14:paraId="606CAA37">
      <w:pPr>
        <w:jc w:val="center"/>
        <w:rPr>
          <w:rFonts w:ascii="宋体" w:hAnsi="宋体"/>
          <w:b/>
          <w:bCs/>
          <w:color w:val="auto"/>
          <w:sz w:val="32"/>
          <w:szCs w:val="32"/>
          <w:highlight w:val="none"/>
        </w:rPr>
      </w:pPr>
      <w:r>
        <w:rPr>
          <w:rFonts w:hint="eastAsia" w:ascii="宋体" w:hAnsi="宋体"/>
          <w:b/>
          <w:bCs/>
          <w:color w:val="auto"/>
          <w:sz w:val="32"/>
          <w:szCs w:val="32"/>
          <w:highlight w:val="none"/>
        </w:rPr>
        <w:t>投标文件主要目录</w:t>
      </w:r>
      <w:bookmarkEnd w:id="5"/>
      <w:bookmarkEnd w:id="6"/>
      <w:r>
        <w:rPr>
          <w:rFonts w:hint="eastAsia" w:ascii="宋体" w:hAnsi="宋体"/>
          <w:b/>
          <w:bCs/>
          <w:color w:val="auto"/>
          <w:sz w:val="32"/>
          <w:szCs w:val="32"/>
          <w:highlight w:val="none"/>
        </w:rPr>
        <w:t>及相关证明材料格式、附件</w:t>
      </w:r>
    </w:p>
    <w:p w14:paraId="664E887F">
      <w:pPr>
        <w:rPr>
          <w:rFonts w:ascii="宋体" w:hAnsi="宋体"/>
          <w:color w:val="auto"/>
          <w:sz w:val="28"/>
          <w:szCs w:val="28"/>
          <w:highlight w:val="none"/>
        </w:rPr>
      </w:pPr>
    </w:p>
    <w:p w14:paraId="304A9490">
      <w:pPr>
        <w:jc w:val="center"/>
        <w:rPr>
          <w:color w:val="auto"/>
          <w:sz w:val="28"/>
          <w:szCs w:val="28"/>
          <w:highlight w:val="none"/>
        </w:rPr>
      </w:pPr>
      <w:r>
        <w:rPr>
          <w:rFonts w:hint="eastAsia"/>
          <w:color w:val="auto"/>
          <w:sz w:val="28"/>
          <w:szCs w:val="28"/>
          <w:highlight w:val="none"/>
        </w:rPr>
        <w:t>（注：投标人根据附件编制投标文件并制作目录（须生成页码））</w:t>
      </w:r>
    </w:p>
    <w:p w14:paraId="514BEDC8">
      <w:pPr>
        <w:autoSpaceDE w:val="0"/>
        <w:autoSpaceDN w:val="0"/>
        <w:adjustRightInd w:val="0"/>
        <w:spacing w:line="240" w:lineRule="atLeast"/>
        <w:rPr>
          <w:rFonts w:ascii="宋体" w:hAnsi="宋体"/>
          <w:b/>
          <w:color w:val="auto"/>
          <w:szCs w:val="21"/>
          <w:highlight w:val="none"/>
          <w:lang w:val="zh-CN"/>
        </w:rPr>
      </w:pPr>
    </w:p>
    <w:p w14:paraId="4AD76644">
      <w:pPr>
        <w:autoSpaceDE w:val="0"/>
        <w:autoSpaceDN w:val="0"/>
        <w:adjustRightInd w:val="0"/>
        <w:spacing w:line="240" w:lineRule="atLeast"/>
        <w:rPr>
          <w:rFonts w:ascii="宋体" w:hAnsi="宋体"/>
          <w:b/>
          <w:color w:val="auto"/>
          <w:szCs w:val="21"/>
          <w:highlight w:val="none"/>
          <w:lang w:val="zh-CN"/>
        </w:rPr>
      </w:pPr>
    </w:p>
    <w:p w14:paraId="0CB3070A">
      <w:pPr>
        <w:autoSpaceDE w:val="0"/>
        <w:autoSpaceDN w:val="0"/>
        <w:adjustRightInd w:val="0"/>
        <w:spacing w:line="240" w:lineRule="atLeast"/>
        <w:rPr>
          <w:rFonts w:ascii="宋体" w:hAnsi="宋体"/>
          <w:b/>
          <w:color w:val="auto"/>
          <w:szCs w:val="21"/>
          <w:highlight w:val="none"/>
          <w:lang w:val="zh-CN"/>
        </w:rPr>
      </w:pPr>
    </w:p>
    <w:p w14:paraId="0DB23139">
      <w:pPr>
        <w:rPr>
          <w:rFonts w:ascii="宋体" w:hAnsi="宋体"/>
          <w:b/>
          <w:color w:val="auto"/>
          <w:szCs w:val="21"/>
          <w:highlight w:val="none"/>
          <w:lang w:val="zh-CN"/>
        </w:rPr>
      </w:pPr>
      <w:r>
        <w:rPr>
          <w:rFonts w:hint="eastAsia" w:ascii="宋体" w:hAnsi="宋体"/>
          <w:b/>
          <w:color w:val="auto"/>
          <w:szCs w:val="21"/>
          <w:highlight w:val="none"/>
          <w:lang w:val="zh-CN"/>
        </w:rPr>
        <w:br w:type="page"/>
      </w:r>
    </w:p>
    <w:p w14:paraId="77E0CA88">
      <w:pPr>
        <w:autoSpaceDE w:val="0"/>
        <w:autoSpaceDN w:val="0"/>
        <w:adjustRightInd w:val="0"/>
        <w:spacing w:line="360" w:lineRule="auto"/>
        <w:rPr>
          <w:rFonts w:ascii="宋体" w:hAnsi="宋体"/>
          <w:b/>
          <w:color w:val="auto"/>
          <w:szCs w:val="21"/>
          <w:highlight w:val="none"/>
          <w:lang w:val="zh-CN"/>
        </w:rPr>
      </w:pPr>
      <w:r>
        <w:rPr>
          <w:rFonts w:hint="eastAsia" w:ascii="宋体" w:hAnsi="宋体"/>
          <w:b/>
          <w:color w:val="auto"/>
          <w:szCs w:val="21"/>
          <w:highlight w:val="none"/>
          <w:lang w:val="zh-CN"/>
        </w:rPr>
        <w:t>目录一、投标申请及声明格式</w:t>
      </w:r>
    </w:p>
    <w:p w14:paraId="4472C9D9">
      <w:pPr>
        <w:autoSpaceDE w:val="0"/>
        <w:autoSpaceDN w:val="0"/>
        <w:adjustRightInd w:val="0"/>
        <w:spacing w:line="360" w:lineRule="auto"/>
        <w:jc w:val="center"/>
        <w:rPr>
          <w:rFonts w:ascii="宋体" w:hAnsi="宋体"/>
          <w:color w:val="auto"/>
          <w:sz w:val="36"/>
          <w:szCs w:val="36"/>
          <w:highlight w:val="none"/>
          <w:lang w:val="zh-CN"/>
        </w:rPr>
      </w:pPr>
      <w:r>
        <w:rPr>
          <w:rFonts w:hint="eastAsia" w:ascii="宋体" w:hAnsi="宋体"/>
          <w:color w:val="auto"/>
          <w:sz w:val="36"/>
          <w:szCs w:val="36"/>
          <w:highlight w:val="none"/>
          <w:lang w:val="zh-CN"/>
        </w:rPr>
        <w:t>投标申请及声明</w:t>
      </w:r>
    </w:p>
    <w:p w14:paraId="28B3402A">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致：</w:t>
      </w:r>
      <w:r>
        <w:rPr>
          <w:rFonts w:hint="eastAsia" w:ascii="宋体" w:hAnsi="宋体"/>
          <w:color w:val="auto"/>
          <w:highlight w:val="none"/>
        </w:rPr>
        <w:t>（招标人）</w:t>
      </w:r>
    </w:p>
    <w:p w14:paraId="029F3904">
      <w:pPr>
        <w:autoSpaceDE w:val="0"/>
        <w:autoSpaceDN w:val="0"/>
        <w:adjustRightIn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根据贵方</w:t>
      </w:r>
      <w:r>
        <w:rPr>
          <w:rFonts w:hint="eastAsia" w:ascii="宋体" w:hAnsi="宋体"/>
          <w:color w:val="auto"/>
          <w:szCs w:val="21"/>
          <w:highlight w:val="none"/>
          <w:u w:val="single"/>
          <w:lang w:val="zh-CN"/>
        </w:rPr>
        <w:t>南京校区三楼教工食堂食材采购</w:t>
      </w:r>
      <w:r>
        <w:rPr>
          <w:rFonts w:hint="eastAsia" w:ascii="宋体" w:hAnsi="宋体"/>
          <w:color w:val="auto"/>
          <w:szCs w:val="21"/>
          <w:highlight w:val="none"/>
          <w:lang w:val="zh-CN"/>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标段名称：</w:t>
      </w:r>
      <w:r>
        <w:rPr>
          <w:rFonts w:hint="eastAsia" w:ascii="宋体" w:hAnsi="宋体"/>
          <w:color w:val="auto"/>
          <w:szCs w:val="21"/>
          <w:highlight w:val="none"/>
          <w:u w:val="single"/>
        </w:rPr>
        <w:t xml:space="preserve">       </w:t>
      </w:r>
      <w:r>
        <w:rPr>
          <w:rFonts w:hint="eastAsia" w:ascii="宋体" w:hAnsi="宋体"/>
          <w:color w:val="auto"/>
          <w:szCs w:val="21"/>
          <w:highlight w:val="none"/>
          <w:lang w:val="en-US" w:eastAsia="zh-CN"/>
        </w:rPr>
        <w:t>标段编号：</w:t>
      </w:r>
      <w:r>
        <w:rPr>
          <w:rFonts w:hint="eastAsia" w:ascii="宋体" w:hAnsi="宋体"/>
          <w:color w:val="auto"/>
          <w:szCs w:val="21"/>
          <w:highlight w:val="none"/>
          <w:u w:val="single"/>
        </w:rPr>
        <w:t xml:space="preserve">       </w:t>
      </w:r>
      <w:r>
        <w:rPr>
          <w:rFonts w:hint="eastAsia" w:ascii="宋体" w:hAnsi="宋体"/>
          <w:color w:val="auto"/>
          <w:szCs w:val="21"/>
          <w:highlight w:val="none"/>
          <w:lang w:val="zh-CN"/>
        </w:rPr>
        <w:t>）投标邀请，正式授权下述签字人（姓名和职务）</w:t>
      </w:r>
      <w:r>
        <w:rPr>
          <w:rFonts w:hint="eastAsia" w:ascii="宋体" w:hAnsi="宋体"/>
          <w:b/>
          <w:color w:val="auto"/>
          <w:szCs w:val="21"/>
          <w:highlight w:val="none"/>
          <w:u w:val="single"/>
          <w:lang w:val="zh-CN"/>
        </w:rPr>
        <w:t xml:space="preserve">        </w:t>
      </w:r>
      <w:r>
        <w:rPr>
          <w:rFonts w:hint="eastAsia" w:ascii="宋体" w:hAnsi="宋体"/>
          <w:b/>
          <w:color w:val="auto"/>
          <w:szCs w:val="21"/>
          <w:highlight w:val="none"/>
          <w:lang w:val="zh-CN"/>
        </w:rPr>
        <w:t xml:space="preserve"> </w:t>
      </w:r>
      <w:r>
        <w:rPr>
          <w:rFonts w:hint="eastAsia" w:ascii="宋体" w:hAnsi="宋体"/>
          <w:color w:val="auto"/>
          <w:szCs w:val="21"/>
          <w:highlight w:val="none"/>
          <w:lang w:val="zh-CN"/>
        </w:rPr>
        <w:t>代表投标人（投标人名称）</w:t>
      </w:r>
      <w:r>
        <w:rPr>
          <w:rFonts w:hint="eastAsia" w:ascii="宋体" w:hAnsi="宋体"/>
          <w:b/>
          <w:color w:val="auto"/>
          <w:szCs w:val="21"/>
          <w:highlight w:val="none"/>
          <w:u w:val="single"/>
          <w:lang w:val="zh-CN"/>
        </w:rPr>
        <w:t xml:space="preserve">        </w:t>
      </w:r>
      <w:r>
        <w:rPr>
          <w:rFonts w:hint="eastAsia" w:ascii="宋体" w:hAnsi="宋体"/>
          <w:b/>
          <w:color w:val="auto"/>
          <w:szCs w:val="21"/>
          <w:highlight w:val="none"/>
          <w:lang w:val="zh-CN"/>
        </w:rPr>
        <w:t xml:space="preserve"> </w:t>
      </w:r>
      <w:r>
        <w:rPr>
          <w:rFonts w:hint="eastAsia" w:ascii="宋体" w:hAnsi="宋体"/>
          <w:color w:val="auto"/>
          <w:szCs w:val="21"/>
          <w:highlight w:val="none"/>
          <w:lang w:val="zh-CN"/>
        </w:rPr>
        <w:t>，提交投标文件。</w:t>
      </w:r>
    </w:p>
    <w:p w14:paraId="6888CDAC">
      <w:pPr>
        <w:autoSpaceDE w:val="0"/>
        <w:autoSpaceDN w:val="0"/>
        <w:adjustRightInd w:val="0"/>
        <w:spacing w:line="360" w:lineRule="auto"/>
        <w:ind w:firstLine="420"/>
        <w:rPr>
          <w:rFonts w:ascii="宋体" w:hAnsi="宋体"/>
          <w:color w:val="auto"/>
          <w:szCs w:val="21"/>
          <w:highlight w:val="none"/>
          <w:lang w:val="zh-CN"/>
        </w:rPr>
      </w:pPr>
      <w:r>
        <w:rPr>
          <w:rFonts w:hint="eastAsia" w:ascii="宋体" w:hAnsi="宋体"/>
          <w:color w:val="auto"/>
          <w:szCs w:val="21"/>
          <w:highlight w:val="none"/>
          <w:lang w:val="zh-CN"/>
        </w:rPr>
        <w:t>据此函，签字人兹宣布声明和承诺如下：</w:t>
      </w:r>
    </w:p>
    <w:p w14:paraId="1F6ECED4">
      <w:pPr>
        <w:autoSpaceDE w:val="0"/>
        <w:autoSpaceDN w:val="0"/>
        <w:adjustRightInd w:val="0"/>
        <w:spacing w:line="360" w:lineRule="auto"/>
        <w:ind w:firstLine="420"/>
        <w:rPr>
          <w:rFonts w:ascii="宋体" w:hAnsi="宋体"/>
          <w:color w:val="auto"/>
          <w:highlight w:val="none"/>
        </w:rPr>
      </w:pPr>
      <w:r>
        <w:rPr>
          <w:rFonts w:ascii="宋体" w:hAnsi="宋体"/>
          <w:color w:val="auto"/>
          <w:szCs w:val="21"/>
          <w:highlight w:val="none"/>
          <w:lang w:val="zh-CN"/>
        </w:rPr>
        <w:t>1</w:t>
      </w:r>
      <w:r>
        <w:rPr>
          <w:rFonts w:hint="eastAsia" w:ascii="宋体" w:hAnsi="宋体"/>
          <w:color w:val="auto"/>
          <w:szCs w:val="21"/>
          <w:highlight w:val="none"/>
          <w:lang w:val="zh-CN"/>
        </w:rPr>
        <w:t>、</w:t>
      </w:r>
      <w:r>
        <w:rPr>
          <w:rFonts w:hint="eastAsia" w:ascii="宋体" w:hAnsi="宋体"/>
          <w:b/>
          <w:color w:val="auto"/>
          <w:szCs w:val="21"/>
          <w:highlight w:val="none"/>
          <w:lang w:val="zh-CN"/>
        </w:rPr>
        <w:t>我们的资格条件完全符合本次招标要求</w:t>
      </w:r>
      <w:r>
        <w:rPr>
          <w:rFonts w:hint="eastAsia" w:ascii="宋体" w:hAnsi="宋体"/>
          <w:color w:val="auto"/>
          <w:szCs w:val="21"/>
          <w:highlight w:val="none"/>
          <w:lang w:val="zh-CN"/>
        </w:rPr>
        <w:t>，</w:t>
      </w:r>
      <w:r>
        <w:rPr>
          <w:rFonts w:hint="eastAsia" w:ascii="宋体" w:hAnsi="宋体"/>
          <w:color w:val="auto"/>
          <w:highlight w:val="none"/>
        </w:rPr>
        <w:t>我们</w:t>
      </w:r>
      <w:r>
        <w:rPr>
          <w:rFonts w:hint="eastAsia" w:ascii="宋体" w:hAnsi="宋体"/>
          <w:color w:val="auto"/>
          <w:szCs w:val="21"/>
          <w:highlight w:val="none"/>
          <w:lang w:val="zh-CN"/>
        </w:rPr>
        <w:t>同意并向贵方提供了与投标有关的所有证据和资料。</w:t>
      </w:r>
    </w:p>
    <w:p w14:paraId="34EC50E8">
      <w:pPr>
        <w:autoSpaceDE w:val="0"/>
        <w:autoSpaceDN w:val="0"/>
        <w:adjustRightInd w:val="0"/>
        <w:spacing w:line="360" w:lineRule="auto"/>
        <w:ind w:left="1474" w:leftChars="200" w:hanging="1054" w:hangingChars="500"/>
        <w:rPr>
          <w:rFonts w:ascii="宋体" w:hAnsi="宋体"/>
          <w:b/>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lang w:val="zh-CN"/>
        </w:rPr>
        <w:t>、按招标要求，我们的投标</w:t>
      </w:r>
      <w:r>
        <w:rPr>
          <w:rFonts w:hint="eastAsia" w:ascii="宋体" w:hAnsi="宋体"/>
          <w:b/>
          <w:color w:val="auto"/>
          <w:szCs w:val="21"/>
          <w:highlight w:val="none"/>
          <w:lang w:val="en-US" w:eastAsia="zh-CN"/>
        </w:rPr>
        <w:t>折扣</w:t>
      </w:r>
      <w:r>
        <w:rPr>
          <w:rFonts w:hint="eastAsia" w:ascii="宋体" w:hAnsi="宋体"/>
          <w:b/>
          <w:color w:val="auto"/>
          <w:szCs w:val="21"/>
          <w:highlight w:val="none"/>
          <w:lang w:val="zh-CN"/>
        </w:rPr>
        <w:t>为：</w:t>
      </w:r>
      <w:r>
        <w:rPr>
          <w:rFonts w:hint="eastAsia" w:ascii="宋体" w:hAnsi="宋体"/>
          <w:b/>
          <w:color w:val="auto"/>
          <w:szCs w:val="21"/>
          <w:highlight w:val="none"/>
          <w:u w:val="single"/>
          <w:lang w:val="zh-CN"/>
        </w:rPr>
        <w:t>（大写）佰分之</w:t>
      </w:r>
      <w:r>
        <w:rPr>
          <w:rFonts w:hint="eastAsia" w:ascii="宋体" w:hAnsi="宋体"/>
          <w:b/>
          <w:color w:val="auto"/>
          <w:highlight w:val="none"/>
          <w:u w:val="single"/>
        </w:rPr>
        <w:t xml:space="preserve">          </w:t>
      </w:r>
      <w:r>
        <w:rPr>
          <w:rFonts w:hint="eastAsia" w:ascii="宋体" w:hAnsi="宋体"/>
          <w:b/>
          <w:color w:val="auto"/>
          <w:highlight w:val="none"/>
        </w:rPr>
        <w:t>；</w:t>
      </w:r>
      <w:r>
        <w:rPr>
          <w:rFonts w:hint="eastAsia" w:ascii="宋体" w:hAnsi="宋体"/>
          <w:b/>
          <w:color w:val="auto"/>
          <w:highlight w:val="none"/>
          <w:u w:val="single"/>
        </w:rPr>
        <w:t xml:space="preserve">（小写：       </w:t>
      </w:r>
      <w:r>
        <w:rPr>
          <w:rFonts w:hint="eastAsia" w:ascii="宋体" w:hAnsi="宋体"/>
          <w:b/>
          <w:color w:val="auto"/>
          <w:highlight w:val="none"/>
          <w:u w:val="single"/>
          <w:lang w:val="en-US" w:eastAsia="zh-CN"/>
        </w:rPr>
        <w:t>%</w:t>
      </w:r>
      <w:r>
        <w:rPr>
          <w:rFonts w:hint="eastAsia" w:ascii="宋体" w:hAnsi="宋体"/>
          <w:b/>
          <w:color w:val="auto"/>
          <w:highlight w:val="none"/>
          <w:u w:val="single"/>
        </w:rPr>
        <w:t>）</w:t>
      </w:r>
      <w:r>
        <w:rPr>
          <w:rFonts w:hint="eastAsia" w:ascii="宋体" w:hAnsi="宋体"/>
          <w:b/>
          <w:color w:val="auto"/>
          <w:highlight w:val="none"/>
        </w:rPr>
        <w:t>。</w:t>
      </w:r>
    </w:p>
    <w:p w14:paraId="5FAFF1D4">
      <w:pPr>
        <w:autoSpaceDE w:val="0"/>
        <w:autoSpaceDN w:val="0"/>
        <w:adjustRightInd w:val="0"/>
        <w:spacing w:line="360" w:lineRule="auto"/>
        <w:ind w:firstLine="420"/>
        <w:rPr>
          <w:rFonts w:ascii="宋体" w:hAnsi="宋体"/>
          <w:color w:val="auto"/>
          <w:szCs w:val="21"/>
          <w:highlight w:val="none"/>
          <w:lang w:val="zh-CN"/>
        </w:rPr>
      </w:pPr>
      <w:r>
        <w:rPr>
          <w:rFonts w:hint="eastAsia" w:ascii="宋体" w:hAnsi="宋体"/>
          <w:bCs/>
          <w:color w:val="auto"/>
          <w:szCs w:val="21"/>
          <w:highlight w:val="none"/>
          <w:lang w:val="zh-CN"/>
        </w:rPr>
        <w:t>3、</w:t>
      </w:r>
      <w:r>
        <w:rPr>
          <w:rFonts w:hint="eastAsia" w:ascii="宋体" w:hAnsi="宋体"/>
          <w:color w:val="auto"/>
          <w:szCs w:val="21"/>
          <w:highlight w:val="none"/>
          <w:lang w:val="zh-CN"/>
        </w:rPr>
        <w:t>我们已详细审核全部招标文件及其有效补充文件，我们放弃对招标文件任何误解的权利，提交投标文件后，</w:t>
      </w:r>
      <w:r>
        <w:rPr>
          <w:rFonts w:hint="eastAsia" w:ascii="宋体" w:hAnsi="宋体"/>
          <w:b/>
          <w:color w:val="auto"/>
          <w:szCs w:val="21"/>
          <w:highlight w:val="none"/>
          <w:lang w:val="zh-CN"/>
        </w:rPr>
        <w:t>不对招标文件本身提出质疑</w:t>
      </w:r>
      <w:r>
        <w:rPr>
          <w:rFonts w:hint="eastAsia" w:ascii="宋体" w:hAnsi="宋体"/>
          <w:color w:val="auto"/>
          <w:szCs w:val="21"/>
          <w:highlight w:val="none"/>
          <w:lang w:val="zh-CN"/>
        </w:rPr>
        <w:t>。否则，属于不诚信和故意扰乱采购活动行为，我们将无条件接受处罚。</w:t>
      </w:r>
    </w:p>
    <w:p w14:paraId="605319DE">
      <w:pPr>
        <w:autoSpaceDE w:val="0"/>
        <w:autoSpaceDN w:val="0"/>
        <w:adjustRightInd w:val="0"/>
        <w:spacing w:line="360" w:lineRule="auto"/>
        <w:ind w:firstLine="420"/>
        <w:rPr>
          <w:rFonts w:ascii="宋体" w:hAnsi="宋体"/>
          <w:color w:val="auto"/>
          <w:szCs w:val="21"/>
          <w:highlight w:val="none"/>
          <w:lang w:val="zh-CN"/>
        </w:rPr>
      </w:pPr>
      <w:r>
        <w:rPr>
          <w:rFonts w:hint="eastAsia" w:ascii="宋体" w:hAnsi="宋体"/>
          <w:color w:val="auto"/>
          <w:szCs w:val="21"/>
          <w:highlight w:val="none"/>
        </w:rPr>
        <w:t>4</w:t>
      </w:r>
      <w:r>
        <w:rPr>
          <w:rFonts w:hint="eastAsia" w:ascii="宋体" w:hAnsi="宋体"/>
          <w:color w:val="auto"/>
          <w:szCs w:val="21"/>
          <w:highlight w:val="none"/>
          <w:lang w:val="zh-CN"/>
        </w:rPr>
        <w:t>、我们同意从规定的开标日期起遵循本投标文件，并在规定的投标有效期期满之前均具有约束力。</w:t>
      </w:r>
    </w:p>
    <w:p w14:paraId="6EA7F559">
      <w:pPr>
        <w:autoSpaceDE w:val="0"/>
        <w:autoSpaceDN w:val="0"/>
        <w:adjustRightInd w:val="0"/>
        <w:spacing w:line="360" w:lineRule="auto"/>
        <w:ind w:firstLine="420"/>
        <w:rPr>
          <w:rFonts w:ascii="宋体" w:hAnsi="宋体"/>
          <w:color w:val="auto"/>
          <w:szCs w:val="21"/>
          <w:highlight w:val="none"/>
          <w:lang w:val="zh-CN"/>
        </w:rPr>
      </w:pPr>
      <w:r>
        <w:rPr>
          <w:rFonts w:hint="eastAsia" w:ascii="宋体" w:hAnsi="宋体"/>
          <w:color w:val="auto"/>
          <w:szCs w:val="21"/>
          <w:highlight w:val="none"/>
        </w:rPr>
        <w:t>5</w:t>
      </w:r>
      <w:r>
        <w:rPr>
          <w:rFonts w:hint="eastAsia" w:ascii="宋体" w:hAnsi="宋体"/>
          <w:color w:val="auto"/>
          <w:szCs w:val="21"/>
          <w:highlight w:val="none"/>
          <w:lang w:val="zh-CN"/>
        </w:rPr>
        <w:t>、一旦我方中标，我方将根据招标文件的规定严格履行合同，并保证于承诺的时间完成项目的启动等服务，交付招标人验收。</w:t>
      </w:r>
    </w:p>
    <w:p w14:paraId="108D0C7E">
      <w:pPr>
        <w:autoSpaceDE w:val="0"/>
        <w:autoSpaceDN w:val="0"/>
        <w:adjustRightInd w:val="0"/>
        <w:spacing w:line="360" w:lineRule="auto"/>
        <w:ind w:firstLine="420"/>
        <w:rPr>
          <w:rFonts w:ascii="宋体" w:hAnsi="宋体"/>
          <w:color w:val="auto"/>
          <w:szCs w:val="21"/>
          <w:highlight w:val="none"/>
          <w:lang w:val="zh-CN"/>
        </w:rPr>
      </w:pPr>
      <w:r>
        <w:rPr>
          <w:rFonts w:hint="eastAsia" w:ascii="宋体" w:hAnsi="宋体"/>
          <w:color w:val="auto"/>
          <w:szCs w:val="21"/>
          <w:highlight w:val="none"/>
        </w:rPr>
        <w:t>6</w:t>
      </w:r>
      <w:r>
        <w:rPr>
          <w:rFonts w:hint="eastAsia" w:ascii="宋体" w:hAnsi="宋体"/>
          <w:color w:val="auto"/>
          <w:szCs w:val="21"/>
          <w:highlight w:val="none"/>
          <w:lang w:val="zh-CN"/>
        </w:rPr>
        <w:t>、我方决不提供虚假材料谋取中标、决不采取不正当手段诋毁、排挤其他投标人、决不与招标人、其他投标人恶意串通、决不向招标人和评委进行商业贿赂、决不在采购过程中与招标人进行协商谈判、决不拒绝有关部门监督检查或提供虚假情况，如有违反，无条件接受贵方及相关管理部门的处罚。</w:t>
      </w:r>
    </w:p>
    <w:p w14:paraId="65724070">
      <w:pPr>
        <w:autoSpaceDE w:val="0"/>
        <w:autoSpaceDN w:val="0"/>
        <w:adjustRightInd w:val="0"/>
        <w:spacing w:line="360" w:lineRule="auto"/>
        <w:ind w:firstLine="420"/>
        <w:rPr>
          <w:rFonts w:ascii="宋体" w:hAnsi="宋体"/>
          <w:color w:val="auto"/>
          <w:szCs w:val="21"/>
          <w:highlight w:val="none"/>
          <w:lang w:val="zh-CN"/>
        </w:rPr>
      </w:pPr>
      <w:r>
        <w:rPr>
          <w:rFonts w:hint="eastAsia" w:ascii="宋体" w:hAnsi="宋体"/>
          <w:color w:val="auto"/>
          <w:szCs w:val="21"/>
          <w:highlight w:val="none"/>
        </w:rPr>
        <w:t>7</w:t>
      </w:r>
      <w:r>
        <w:rPr>
          <w:rFonts w:hint="eastAsia" w:ascii="宋体" w:hAnsi="宋体"/>
          <w:color w:val="auto"/>
          <w:szCs w:val="21"/>
          <w:highlight w:val="none"/>
          <w:lang w:val="zh-CN"/>
        </w:rPr>
        <w:t>、与本投标有关的正式联系方式为：</w:t>
      </w:r>
    </w:p>
    <w:p w14:paraId="0F15E822">
      <w:pPr>
        <w:autoSpaceDE w:val="0"/>
        <w:autoSpaceDN w:val="0"/>
        <w:adjustRightInd w:val="0"/>
        <w:spacing w:line="360" w:lineRule="auto"/>
        <w:ind w:firstLine="420"/>
        <w:rPr>
          <w:rFonts w:ascii="宋体" w:hAnsi="宋体"/>
          <w:color w:val="auto"/>
          <w:szCs w:val="21"/>
          <w:highlight w:val="none"/>
          <w:u w:val="single"/>
          <w:lang w:val="zh-CN"/>
        </w:rPr>
      </w:pPr>
      <w:r>
        <w:rPr>
          <w:rFonts w:hint="eastAsia" w:ascii="宋体" w:hAnsi="宋体"/>
          <w:color w:val="auto"/>
          <w:szCs w:val="21"/>
          <w:highlight w:val="none"/>
          <w:lang w:val="zh-CN"/>
        </w:rPr>
        <w:t>地址：</w:t>
      </w:r>
    </w:p>
    <w:p w14:paraId="01D86C6D">
      <w:pPr>
        <w:autoSpaceDE w:val="0"/>
        <w:autoSpaceDN w:val="0"/>
        <w:adjustRightInd w:val="0"/>
        <w:spacing w:line="360" w:lineRule="auto"/>
        <w:ind w:firstLine="420"/>
        <w:rPr>
          <w:rFonts w:ascii="宋体" w:hAnsi="宋体"/>
          <w:color w:val="auto"/>
          <w:szCs w:val="21"/>
          <w:highlight w:val="none"/>
          <w:u w:val="single"/>
          <w:lang w:val="zh-CN"/>
        </w:rPr>
      </w:pPr>
      <w:r>
        <w:rPr>
          <w:rFonts w:hint="eastAsia" w:ascii="宋体" w:hAnsi="宋体"/>
          <w:color w:val="auto"/>
          <w:szCs w:val="21"/>
          <w:highlight w:val="none"/>
          <w:lang w:val="zh-CN"/>
        </w:rPr>
        <w:t>电话：</w:t>
      </w:r>
    </w:p>
    <w:p w14:paraId="5DD6C9E3">
      <w:pPr>
        <w:autoSpaceDE w:val="0"/>
        <w:autoSpaceDN w:val="0"/>
        <w:adjustRightInd w:val="0"/>
        <w:spacing w:line="360" w:lineRule="auto"/>
        <w:ind w:firstLine="420"/>
        <w:rPr>
          <w:rFonts w:ascii="宋体" w:hAnsi="宋体"/>
          <w:color w:val="auto"/>
          <w:szCs w:val="21"/>
          <w:highlight w:val="none"/>
          <w:u w:val="single"/>
          <w:lang w:val="zh-CN"/>
        </w:rPr>
      </w:pPr>
      <w:r>
        <w:rPr>
          <w:rFonts w:hint="eastAsia" w:ascii="宋体" w:hAnsi="宋体"/>
          <w:color w:val="auto"/>
          <w:szCs w:val="21"/>
          <w:highlight w:val="none"/>
          <w:lang w:val="zh-CN"/>
        </w:rPr>
        <w:t>传真：</w:t>
      </w:r>
    </w:p>
    <w:p w14:paraId="5A4B43EF">
      <w:pPr>
        <w:autoSpaceDE w:val="0"/>
        <w:autoSpaceDN w:val="0"/>
        <w:adjustRightInd w:val="0"/>
        <w:spacing w:line="360" w:lineRule="auto"/>
        <w:ind w:firstLine="420"/>
        <w:rPr>
          <w:rFonts w:ascii="宋体" w:hAnsi="宋体"/>
          <w:color w:val="auto"/>
          <w:szCs w:val="21"/>
          <w:highlight w:val="none"/>
          <w:lang w:val="zh-CN"/>
        </w:rPr>
      </w:pPr>
      <w:r>
        <w:rPr>
          <w:rFonts w:hint="eastAsia" w:ascii="宋体" w:hAnsi="宋体"/>
          <w:color w:val="auto"/>
          <w:szCs w:val="21"/>
          <w:highlight w:val="none"/>
          <w:lang w:val="zh-CN"/>
        </w:rPr>
        <w:t>开户银行：</w:t>
      </w:r>
    </w:p>
    <w:p w14:paraId="5FC907FD">
      <w:pPr>
        <w:autoSpaceDE w:val="0"/>
        <w:autoSpaceDN w:val="0"/>
        <w:adjustRightInd w:val="0"/>
        <w:spacing w:line="360" w:lineRule="auto"/>
        <w:ind w:firstLine="420"/>
        <w:rPr>
          <w:rFonts w:ascii="宋体" w:hAnsi="宋体"/>
          <w:color w:val="auto"/>
          <w:szCs w:val="21"/>
          <w:highlight w:val="none"/>
          <w:lang w:val="zh-CN"/>
        </w:rPr>
      </w:pPr>
      <w:r>
        <w:rPr>
          <w:rFonts w:hint="eastAsia" w:ascii="宋体" w:hAnsi="宋体"/>
          <w:color w:val="auto"/>
          <w:szCs w:val="21"/>
          <w:highlight w:val="none"/>
          <w:lang w:val="zh-CN"/>
        </w:rPr>
        <w:t>银行账号：</w:t>
      </w:r>
    </w:p>
    <w:p w14:paraId="22367505">
      <w:pPr>
        <w:autoSpaceDE w:val="0"/>
        <w:autoSpaceDN w:val="0"/>
        <w:adjustRightInd w:val="0"/>
        <w:spacing w:line="360" w:lineRule="auto"/>
        <w:ind w:firstLine="420"/>
        <w:rPr>
          <w:rFonts w:ascii="宋体" w:hAnsi="宋体"/>
          <w:color w:val="auto"/>
          <w:szCs w:val="21"/>
          <w:highlight w:val="none"/>
          <w:u w:val="single"/>
          <w:lang w:val="zh-CN"/>
        </w:rPr>
      </w:pPr>
      <w:r>
        <w:rPr>
          <w:rFonts w:hint="eastAsia" w:ascii="宋体" w:hAnsi="宋体"/>
          <w:color w:val="auto"/>
          <w:szCs w:val="21"/>
          <w:highlight w:val="none"/>
          <w:lang w:val="zh-CN"/>
        </w:rPr>
        <w:t>投标人授权代表姓名（签字）：</w:t>
      </w:r>
    </w:p>
    <w:p w14:paraId="2E8B2875">
      <w:pPr>
        <w:autoSpaceDE w:val="0"/>
        <w:autoSpaceDN w:val="0"/>
        <w:adjustRightInd w:val="0"/>
        <w:spacing w:line="360" w:lineRule="auto"/>
        <w:ind w:firstLine="420"/>
        <w:rPr>
          <w:rFonts w:ascii="宋体" w:hAnsi="宋体"/>
          <w:color w:val="auto"/>
          <w:szCs w:val="21"/>
          <w:highlight w:val="none"/>
          <w:lang w:val="zh-CN"/>
        </w:rPr>
      </w:pPr>
      <w:r>
        <w:rPr>
          <w:rFonts w:hint="eastAsia" w:ascii="宋体" w:hAnsi="宋体"/>
          <w:color w:val="auto"/>
          <w:szCs w:val="21"/>
          <w:highlight w:val="none"/>
          <w:lang w:val="zh-CN"/>
        </w:rPr>
        <w:t>投标人名称（盖章）：</w:t>
      </w:r>
    </w:p>
    <w:p w14:paraId="3902CD90">
      <w:pPr>
        <w:autoSpaceDE w:val="0"/>
        <w:autoSpaceDN w:val="0"/>
        <w:adjustRightInd w:val="0"/>
        <w:spacing w:line="360" w:lineRule="auto"/>
        <w:ind w:firstLine="420"/>
        <w:rPr>
          <w:rFonts w:ascii="宋体" w:hAnsi="宋体" w:cs="宋体"/>
          <w:b/>
          <w:color w:val="auto"/>
          <w:szCs w:val="21"/>
          <w:highlight w:val="none"/>
          <w:lang w:val="zh-CN"/>
        </w:rPr>
      </w:pPr>
      <w:r>
        <w:rPr>
          <w:rFonts w:hint="eastAsia" w:ascii="宋体" w:hAnsi="宋体"/>
          <w:color w:val="auto"/>
          <w:szCs w:val="21"/>
          <w:highlight w:val="none"/>
          <w:lang w:val="zh-CN"/>
        </w:rPr>
        <w:t>日期：</w:t>
      </w:r>
      <w:r>
        <w:rPr>
          <w:rFonts w:hint="eastAsia" w:ascii="宋体" w:hAnsi="宋体"/>
          <w:color w:val="auto"/>
          <w:szCs w:val="21"/>
          <w:highlight w:val="none"/>
        </w:rPr>
        <w:t xml:space="preserve">      </w:t>
      </w:r>
      <w:r>
        <w:rPr>
          <w:rFonts w:hint="eastAsia" w:ascii="宋体" w:hAnsi="宋体"/>
          <w:color w:val="auto"/>
          <w:szCs w:val="21"/>
          <w:highlight w:val="none"/>
          <w:lang w:val="zh-CN"/>
        </w:rPr>
        <w:t>年</w:t>
      </w:r>
      <w:r>
        <w:rPr>
          <w:rFonts w:hint="eastAsia" w:ascii="宋体" w:hAnsi="宋体"/>
          <w:color w:val="auto"/>
          <w:szCs w:val="21"/>
          <w:highlight w:val="none"/>
        </w:rPr>
        <w:t xml:space="preserve">    </w:t>
      </w:r>
      <w:r>
        <w:rPr>
          <w:rFonts w:hint="eastAsia" w:ascii="宋体" w:hAnsi="宋体"/>
          <w:color w:val="auto"/>
          <w:szCs w:val="21"/>
          <w:highlight w:val="none"/>
          <w:lang w:val="zh-CN"/>
        </w:rPr>
        <w:t>月</w:t>
      </w:r>
      <w:r>
        <w:rPr>
          <w:rFonts w:hint="eastAsia" w:ascii="宋体" w:hAnsi="宋体"/>
          <w:color w:val="auto"/>
          <w:szCs w:val="21"/>
          <w:highlight w:val="none"/>
        </w:rPr>
        <w:t xml:space="preserve">    </w:t>
      </w:r>
      <w:r>
        <w:rPr>
          <w:rFonts w:hint="eastAsia" w:ascii="宋体" w:hAnsi="宋体"/>
          <w:color w:val="auto"/>
          <w:szCs w:val="21"/>
          <w:highlight w:val="none"/>
          <w:lang w:val="zh-CN"/>
        </w:rPr>
        <w:t>日</w:t>
      </w:r>
    </w:p>
    <w:p w14:paraId="4BB2559B">
      <w:pPr>
        <w:jc w:val="left"/>
        <w:rPr>
          <w:rFonts w:ascii="宋体" w:hAnsi="宋体" w:cs="宋体"/>
          <w:b/>
          <w:color w:val="auto"/>
          <w:szCs w:val="21"/>
          <w:highlight w:val="none"/>
          <w:lang w:val="zh-CN"/>
        </w:rPr>
      </w:pPr>
      <w:r>
        <w:rPr>
          <w:rFonts w:hint="eastAsia" w:ascii="宋体" w:hAnsi="宋体" w:cs="宋体"/>
          <w:b/>
          <w:color w:val="auto"/>
          <w:szCs w:val="21"/>
          <w:highlight w:val="none"/>
          <w:lang w:val="zh-CN"/>
        </w:rPr>
        <w:br w:type="page"/>
      </w:r>
    </w:p>
    <w:p w14:paraId="347A8E92">
      <w:pPr>
        <w:adjustRightInd w:val="0"/>
        <w:spacing w:line="360" w:lineRule="auto"/>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目录二、法定代表人授权书格式</w:t>
      </w:r>
    </w:p>
    <w:p w14:paraId="4F5FF115">
      <w:pPr>
        <w:autoSpaceDE w:val="0"/>
        <w:autoSpaceDN w:val="0"/>
        <w:adjustRightInd w:val="0"/>
        <w:spacing w:line="360" w:lineRule="auto"/>
        <w:jc w:val="center"/>
        <w:rPr>
          <w:rFonts w:ascii="宋体" w:hAnsi="宋体"/>
          <w:color w:val="auto"/>
          <w:sz w:val="36"/>
          <w:szCs w:val="36"/>
          <w:highlight w:val="none"/>
          <w:lang w:val="zh-CN"/>
        </w:rPr>
      </w:pPr>
      <w:r>
        <w:rPr>
          <w:rFonts w:hint="eastAsia" w:ascii="宋体" w:hAnsi="宋体"/>
          <w:color w:val="auto"/>
          <w:sz w:val="36"/>
          <w:szCs w:val="36"/>
          <w:highlight w:val="none"/>
          <w:lang w:val="zh-CN"/>
        </w:rPr>
        <w:t>法定代表人授权委托书</w:t>
      </w:r>
    </w:p>
    <w:p w14:paraId="4AB6B986">
      <w:pPr>
        <w:adjustRightInd w:val="0"/>
        <w:spacing w:line="360" w:lineRule="auto"/>
        <w:jc w:val="left"/>
        <w:rPr>
          <w:rFonts w:ascii="宋体" w:hAnsi="宋体" w:cs="宋体"/>
          <w:color w:val="auto"/>
          <w:szCs w:val="21"/>
          <w:highlight w:val="none"/>
          <w:lang w:val="zh-CN"/>
        </w:rPr>
      </w:pPr>
      <w:r>
        <w:rPr>
          <w:rFonts w:hint="eastAsia" w:ascii="宋体" w:hAnsi="宋体"/>
          <w:color w:val="auto"/>
          <w:szCs w:val="21"/>
          <w:highlight w:val="none"/>
          <w:lang w:val="zh-CN"/>
        </w:rPr>
        <w:t>致：</w:t>
      </w:r>
      <w:r>
        <w:rPr>
          <w:rFonts w:hint="eastAsia" w:ascii="宋体" w:hAnsi="宋体"/>
          <w:color w:val="auto"/>
          <w:highlight w:val="none"/>
        </w:rPr>
        <w:t>（招标人）</w:t>
      </w:r>
    </w:p>
    <w:p w14:paraId="7382462C">
      <w:pPr>
        <w:adjustRightInd w:val="0"/>
        <w:spacing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本授权书声明：注册于（投标人住址）</w:t>
      </w:r>
      <w:r>
        <w:rPr>
          <w:rFonts w:hint="eastAsia" w:ascii="宋体" w:hAnsi="宋体"/>
          <w:b/>
          <w:color w:val="auto"/>
          <w:szCs w:val="21"/>
          <w:highlight w:val="none"/>
          <w:u w:val="single"/>
          <w:lang w:val="zh-CN"/>
        </w:rPr>
        <w:t xml:space="preserve">        </w:t>
      </w:r>
      <w:r>
        <w:rPr>
          <w:rFonts w:hint="eastAsia" w:ascii="宋体" w:hAnsi="宋体"/>
          <w:b/>
          <w:color w:val="auto"/>
          <w:szCs w:val="21"/>
          <w:highlight w:val="none"/>
          <w:lang w:val="zh-CN"/>
        </w:rPr>
        <w:t xml:space="preserve"> </w:t>
      </w:r>
      <w:r>
        <w:rPr>
          <w:rFonts w:hint="eastAsia" w:ascii="宋体" w:hAnsi="宋体" w:cs="宋体"/>
          <w:color w:val="auto"/>
          <w:szCs w:val="21"/>
          <w:highlight w:val="none"/>
          <w:lang w:val="zh-CN"/>
        </w:rPr>
        <w:t>的（投标人名称）</w:t>
      </w:r>
      <w:r>
        <w:rPr>
          <w:rFonts w:hint="eastAsia" w:ascii="宋体" w:hAnsi="宋体"/>
          <w:b/>
          <w:color w:val="auto"/>
          <w:szCs w:val="21"/>
          <w:highlight w:val="none"/>
          <w:u w:val="single"/>
          <w:lang w:val="zh-CN"/>
        </w:rPr>
        <w:t xml:space="preserve">        </w:t>
      </w:r>
      <w:r>
        <w:rPr>
          <w:rFonts w:hint="eastAsia" w:ascii="宋体" w:hAnsi="宋体"/>
          <w:b/>
          <w:color w:val="auto"/>
          <w:szCs w:val="21"/>
          <w:highlight w:val="none"/>
          <w:lang w:val="zh-CN"/>
        </w:rPr>
        <w:t xml:space="preserve"> </w:t>
      </w:r>
      <w:r>
        <w:rPr>
          <w:rFonts w:hint="eastAsia" w:ascii="宋体" w:hAnsi="宋体" w:cs="宋体"/>
          <w:color w:val="auto"/>
          <w:szCs w:val="21"/>
          <w:highlight w:val="none"/>
          <w:lang w:val="zh-CN"/>
        </w:rPr>
        <w:t>法定代表人（法定代表人姓名、职务）</w:t>
      </w:r>
      <w:r>
        <w:rPr>
          <w:rFonts w:hint="eastAsia" w:ascii="宋体" w:hAnsi="宋体"/>
          <w:b/>
          <w:color w:val="auto"/>
          <w:szCs w:val="21"/>
          <w:highlight w:val="none"/>
          <w:u w:val="single"/>
          <w:lang w:val="zh-CN"/>
        </w:rPr>
        <w:t xml:space="preserve">        </w:t>
      </w:r>
      <w:r>
        <w:rPr>
          <w:rFonts w:hint="eastAsia" w:ascii="宋体" w:hAnsi="宋体" w:cs="宋体"/>
          <w:color w:val="auto"/>
          <w:szCs w:val="21"/>
          <w:highlight w:val="none"/>
          <w:lang w:val="zh-CN"/>
        </w:rPr>
        <w:t>代表本公司授权在下面签字的（投标人代表姓名、职务）</w:t>
      </w:r>
      <w:r>
        <w:rPr>
          <w:rFonts w:hint="eastAsia" w:ascii="宋体" w:hAnsi="宋体"/>
          <w:b/>
          <w:color w:val="auto"/>
          <w:szCs w:val="21"/>
          <w:highlight w:val="none"/>
          <w:u w:val="single"/>
          <w:lang w:val="zh-CN"/>
        </w:rPr>
        <w:t xml:space="preserve">        </w:t>
      </w:r>
      <w:r>
        <w:rPr>
          <w:rFonts w:hint="eastAsia" w:ascii="宋体" w:hAnsi="宋体"/>
          <w:b/>
          <w:color w:val="auto"/>
          <w:szCs w:val="21"/>
          <w:highlight w:val="none"/>
          <w:lang w:val="zh-CN"/>
        </w:rPr>
        <w:t xml:space="preserve"> </w:t>
      </w:r>
      <w:r>
        <w:rPr>
          <w:rFonts w:hint="eastAsia" w:ascii="宋体" w:hAnsi="宋体" w:cs="宋体"/>
          <w:color w:val="auto"/>
          <w:szCs w:val="21"/>
          <w:highlight w:val="none"/>
          <w:lang w:val="zh-CN"/>
        </w:rPr>
        <w:t>为本公司的合法代理人，就贵方组织的</w:t>
      </w:r>
      <w:r>
        <w:rPr>
          <w:rFonts w:hint="eastAsia" w:ascii="宋体" w:hAnsi="宋体" w:cs="宋体"/>
          <w:color w:val="auto"/>
          <w:szCs w:val="21"/>
          <w:highlight w:val="none"/>
          <w:u w:val="single"/>
          <w:lang w:val="zh-CN"/>
        </w:rPr>
        <w:t>南京校区三楼教工食堂食材采购</w:t>
      </w:r>
      <w:r>
        <w:rPr>
          <w:rFonts w:hint="eastAsia" w:ascii="宋体" w:hAnsi="宋体" w:cs="宋体"/>
          <w:color w:val="auto"/>
          <w:szCs w:val="21"/>
          <w:highlight w:val="none"/>
          <w:lang w:val="zh-CN"/>
        </w:rPr>
        <w:t>，</w:t>
      </w:r>
      <w:r>
        <w:rPr>
          <w:rFonts w:hint="eastAsia" w:ascii="宋体" w:hAnsi="宋体"/>
          <w:b/>
          <w:color w:val="auto"/>
          <w:szCs w:val="21"/>
          <w:highlight w:val="none"/>
          <w:u w:val="single"/>
          <w:lang w:val="zh-CN"/>
        </w:rPr>
        <w:t xml:space="preserve">        </w:t>
      </w:r>
      <w:r>
        <w:rPr>
          <w:rFonts w:hint="eastAsia" w:ascii="宋体" w:hAnsi="宋体" w:cs="宋体"/>
          <w:color w:val="auto"/>
          <w:szCs w:val="21"/>
          <w:highlight w:val="none"/>
          <w:lang w:val="zh-CN"/>
        </w:rPr>
        <w:t>（项目编号）</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标段名称：</w:t>
      </w:r>
      <w:r>
        <w:rPr>
          <w:rFonts w:hint="eastAsia" w:ascii="宋体" w:hAnsi="宋体"/>
          <w:color w:val="auto"/>
          <w:szCs w:val="21"/>
          <w:highlight w:val="none"/>
          <w:u w:val="single"/>
        </w:rPr>
        <w:t xml:space="preserve">       </w:t>
      </w:r>
      <w:r>
        <w:rPr>
          <w:rFonts w:hint="eastAsia" w:ascii="宋体" w:hAnsi="宋体"/>
          <w:color w:val="auto"/>
          <w:szCs w:val="21"/>
          <w:highlight w:val="none"/>
          <w:lang w:val="en-US" w:eastAsia="zh-CN"/>
        </w:rPr>
        <w:t>标段编号：</w:t>
      </w:r>
      <w:r>
        <w:rPr>
          <w:rFonts w:hint="eastAsia" w:ascii="宋体" w:hAnsi="宋体"/>
          <w:color w:val="auto"/>
          <w:szCs w:val="21"/>
          <w:highlight w:val="none"/>
          <w:u w:val="single"/>
        </w:rPr>
        <w:t xml:space="preserve">       </w:t>
      </w:r>
      <w:r>
        <w:rPr>
          <w:rFonts w:hint="eastAsia" w:ascii="宋体" w:hAnsi="宋体"/>
          <w:color w:val="auto"/>
          <w:szCs w:val="21"/>
          <w:highlight w:val="none"/>
          <w:lang w:val="zh-CN"/>
        </w:rPr>
        <w:t>）</w:t>
      </w:r>
      <w:r>
        <w:rPr>
          <w:rFonts w:hint="eastAsia" w:ascii="宋体" w:hAnsi="宋体" w:cs="宋体"/>
          <w:color w:val="auto"/>
          <w:szCs w:val="21"/>
          <w:highlight w:val="none"/>
        </w:rPr>
        <w:t>进行</w:t>
      </w:r>
      <w:r>
        <w:rPr>
          <w:rFonts w:hint="eastAsia" w:ascii="宋体" w:hAnsi="宋体" w:cs="宋体"/>
          <w:color w:val="auto"/>
          <w:szCs w:val="21"/>
          <w:highlight w:val="none"/>
          <w:lang w:val="zh-CN"/>
        </w:rPr>
        <w:t>投标，以本公司名义处理一切与之有关的事务。</w:t>
      </w:r>
    </w:p>
    <w:p w14:paraId="3F21AB7E">
      <w:pPr>
        <w:adjustRightInd w:val="0"/>
        <w:spacing w:line="360" w:lineRule="auto"/>
        <w:ind w:firstLine="408"/>
        <w:jc w:val="left"/>
        <w:rPr>
          <w:rFonts w:ascii="宋体" w:hAnsi="宋体" w:cs="宋体"/>
          <w:color w:val="auto"/>
          <w:szCs w:val="21"/>
          <w:highlight w:val="none"/>
          <w:lang w:val="zh-CN"/>
        </w:rPr>
      </w:pPr>
      <w:r>
        <w:rPr>
          <w:rFonts w:hint="eastAsia" w:ascii="宋体" w:hAnsi="宋体" w:cs="宋体"/>
          <w:color w:val="auto"/>
          <w:szCs w:val="21"/>
          <w:highlight w:val="none"/>
          <w:lang w:val="zh-CN"/>
        </w:rPr>
        <w:t>本授权书于</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日</w:t>
      </w:r>
      <w:r>
        <w:rPr>
          <w:rFonts w:hint="eastAsia" w:ascii="宋体" w:hAnsi="宋体" w:cs="宋体"/>
          <w:color w:val="auto"/>
          <w:szCs w:val="21"/>
          <w:highlight w:val="none"/>
          <w:lang w:val="zh-CN"/>
        </w:rPr>
        <w:t>签字生效，特此声明。</w:t>
      </w:r>
    </w:p>
    <w:p w14:paraId="727448EA">
      <w:pPr>
        <w:adjustRightInd w:val="0"/>
        <w:spacing w:line="360" w:lineRule="auto"/>
        <w:ind w:firstLine="408"/>
        <w:jc w:val="left"/>
        <w:rPr>
          <w:rFonts w:ascii="宋体" w:hAnsi="宋体" w:cs="宋体"/>
          <w:color w:val="auto"/>
          <w:szCs w:val="21"/>
          <w:highlight w:val="none"/>
          <w:lang w:val="zh-CN"/>
        </w:rPr>
      </w:pPr>
    </w:p>
    <w:p w14:paraId="425DBF94">
      <w:pPr>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法定代表人</w:t>
      </w:r>
      <w:r>
        <w:rPr>
          <w:rFonts w:hint="eastAsia" w:ascii="宋体" w:hAnsi="宋体"/>
          <w:color w:val="auto"/>
          <w:szCs w:val="21"/>
          <w:highlight w:val="none"/>
          <w:lang w:val="zh-CN"/>
        </w:rPr>
        <w:t>（签字）</w:t>
      </w:r>
      <w:r>
        <w:rPr>
          <w:rFonts w:hint="eastAsia" w:ascii="宋体" w:hAnsi="宋体" w:cs="宋体"/>
          <w:color w:val="auto"/>
          <w:szCs w:val="21"/>
          <w:highlight w:val="none"/>
          <w:lang w:val="zh-CN"/>
        </w:rPr>
        <w:t>：</w:t>
      </w:r>
    </w:p>
    <w:p w14:paraId="02BEACBB">
      <w:pPr>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授权委托人</w:t>
      </w:r>
      <w:r>
        <w:rPr>
          <w:rFonts w:hint="eastAsia" w:ascii="宋体" w:hAnsi="宋体"/>
          <w:color w:val="auto"/>
          <w:szCs w:val="21"/>
          <w:highlight w:val="none"/>
          <w:lang w:val="zh-CN"/>
        </w:rPr>
        <w:t>（签字）</w:t>
      </w:r>
      <w:r>
        <w:rPr>
          <w:rFonts w:hint="eastAsia" w:ascii="宋体" w:hAnsi="宋体" w:cs="宋体"/>
          <w:color w:val="auto"/>
          <w:szCs w:val="21"/>
          <w:highlight w:val="none"/>
          <w:lang w:val="zh-CN"/>
        </w:rPr>
        <w:t>：</w:t>
      </w:r>
    </w:p>
    <w:p w14:paraId="6FDEF38C">
      <w:pPr>
        <w:tabs>
          <w:tab w:val="left" w:pos="1440"/>
        </w:tabs>
        <w:adjustRightInd w:val="0"/>
        <w:spacing w:line="360" w:lineRule="auto"/>
        <w:ind w:firstLine="420"/>
        <w:jc w:val="left"/>
        <w:rPr>
          <w:rFonts w:hint="eastAsia" w:ascii="宋体" w:hAnsi="宋体"/>
          <w:color w:val="auto"/>
          <w:szCs w:val="21"/>
          <w:highlight w:val="none"/>
          <w:lang w:val="zh-CN"/>
        </w:rPr>
      </w:pPr>
      <w:r>
        <w:rPr>
          <w:rFonts w:hint="eastAsia" w:ascii="宋体" w:hAnsi="宋体" w:cs="宋体"/>
          <w:color w:val="auto"/>
          <w:szCs w:val="21"/>
          <w:highlight w:val="none"/>
          <w:lang w:val="zh-CN"/>
        </w:rPr>
        <w:t>日期：</w:t>
      </w:r>
      <w:r>
        <w:rPr>
          <w:rFonts w:hint="eastAsia" w:ascii="宋体" w:hAnsi="宋体"/>
          <w:color w:val="auto"/>
          <w:szCs w:val="21"/>
          <w:highlight w:val="none"/>
        </w:rPr>
        <w:t xml:space="preserve">      </w:t>
      </w:r>
      <w:r>
        <w:rPr>
          <w:rFonts w:hint="eastAsia" w:ascii="宋体" w:hAnsi="宋体"/>
          <w:color w:val="auto"/>
          <w:szCs w:val="21"/>
          <w:highlight w:val="none"/>
          <w:lang w:val="zh-CN"/>
        </w:rPr>
        <w:t>年</w:t>
      </w:r>
      <w:r>
        <w:rPr>
          <w:rFonts w:hint="eastAsia" w:ascii="宋体" w:hAnsi="宋体"/>
          <w:color w:val="auto"/>
          <w:szCs w:val="21"/>
          <w:highlight w:val="none"/>
        </w:rPr>
        <w:t xml:space="preserve">    </w:t>
      </w:r>
      <w:r>
        <w:rPr>
          <w:rFonts w:hint="eastAsia" w:ascii="宋体" w:hAnsi="宋体"/>
          <w:color w:val="auto"/>
          <w:szCs w:val="21"/>
          <w:highlight w:val="none"/>
          <w:lang w:val="zh-CN"/>
        </w:rPr>
        <w:t>月</w:t>
      </w:r>
      <w:r>
        <w:rPr>
          <w:rFonts w:hint="eastAsia" w:ascii="宋体" w:hAnsi="宋体"/>
          <w:color w:val="auto"/>
          <w:szCs w:val="21"/>
          <w:highlight w:val="none"/>
        </w:rPr>
        <w:t xml:space="preserve">    </w:t>
      </w:r>
      <w:r>
        <w:rPr>
          <w:rFonts w:hint="eastAsia" w:ascii="宋体" w:hAnsi="宋体"/>
          <w:color w:val="auto"/>
          <w:szCs w:val="21"/>
          <w:highlight w:val="none"/>
          <w:lang w:val="zh-CN"/>
        </w:rPr>
        <w:t>日</w:t>
      </w:r>
    </w:p>
    <w:p w14:paraId="0DE8279D">
      <w:pPr>
        <w:tabs>
          <w:tab w:val="left" w:pos="1440"/>
        </w:tabs>
        <w:adjustRightInd w:val="0"/>
        <w:spacing w:line="360" w:lineRule="auto"/>
        <w:ind w:firstLine="420"/>
        <w:jc w:val="left"/>
        <w:rPr>
          <w:rFonts w:hint="eastAsia" w:ascii="宋体" w:hAnsi="宋体"/>
          <w:color w:val="auto"/>
          <w:szCs w:val="21"/>
          <w:highlight w:val="none"/>
          <w:lang w:val="zh-CN"/>
        </w:rPr>
      </w:pPr>
    </w:p>
    <w:p w14:paraId="68EA4AD5">
      <w:pPr>
        <w:tabs>
          <w:tab w:val="left" w:pos="1440"/>
        </w:tabs>
        <w:adjustRightInd w:val="0"/>
        <w:spacing w:line="360" w:lineRule="auto"/>
        <w:ind w:firstLine="42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授权委托人身份证复印件（正反面）：</w:t>
      </w:r>
    </w:p>
    <w:p w14:paraId="71A0286C">
      <w:pPr>
        <w:tabs>
          <w:tab w:val="left" w:pos="1440"/>
        </w:tabs>
        <w:adjustRightInd w:val="0"/>
        <w:spacing w:line="360" w:lineRule="auto"/>
        <w:ind w:firstLine="420"/>
        <w:jc w:val="left"/>
        <w:rPr>
          <w:rFonts w:hint="eastAsia" w:ascii="宋体" w:hAnsi="宋体"/>
          <w:color w:val="auto"/>
          <w:szCs w:val="21"/>
          <w:highlight w:val="none"/>
          <w:lang w:val="en-US" w:eastAsia="zh-CN"/>
        </w:rPr>
      </w:pPr>
    </w:p>
    <w:p w14:paraId="689AAFF1">
      <w:pPr>
        <w:tabs>
          <w:tab w:val="left" w:pos="1440"/>
        </w:tabs>
        <w:adjustRightInd w:val="0"/>
        <w:spacing w:line="360" w:lineRule="auto"/>
        <w:ind w:firstLine="420"/>
        <w:jc w:val="left"/>
        <w:rPr>
          <w:rFonts w:hint="eastAsia" w:ascii="宋体" w:hAnsi="宋体"/>
          <w:color w:val="auto"/>
          <w:szCs w:val="21"/>
          <w:highlight w:val="none"/>
          <w:lang w:val="en-US" w:eastAsia="zh-CN"/>
        </w:rPr>
      </w:pPr>
    </w:p>
    <w:p w14:paraId="530F0E2C">
      <w:pPr>
        <w:tabs>
          <w:tab w:val="left" w:pos="1440"/>
        </w:tabs>
        <w:adjustRightInd w:val="0"/>
        <w:spacing w:line="360" w:lineRule="auto"/>
        <w:ind w:firstLine="420"/>
        <w:jc w:val="left"/>
        <w:rPr>
          <w:rFonts w:hint="default" w:ascii="宋体" w:hAnsi="宋体"/>
          <w:color w:val="auto"/>
          <w:szCs w:val="21"/>
          <w:highlight w:val="none"/>
          <w:lang w:val="en-US" w:eastAsia="zh-CN"/>
        </w:rPr>
      </w:pPr>
    </w:p>
    <w:p w14:paraId="6CE7FF71">
      <w:pPr>
        <w:tabs>
          <w:tab w:val="left" w:pos="1440"/>
        </w:tabs>
        <w:adjustRightInd w:val="0"/>
        <w:spacing w:line="360" w:lineRule="auto"/>
        <w:ind w:firstLine="420"/>
        <w:jc w:val="left"/>
        <w:rPr>
          <w:rFonts w:hint="eastAsia" w:ascii="宋体" w:hAnsi="宋体"/>
          <w:color w:val="auto"/>
          <w:szCs w:val="21"/>
          <w:highlight w:val="none"/>
          <w:lang w:val="zh-CN"/>
        </w:rPr>
      </w:pPr>
    </w:p>
    <w:p w14:paraId="4427C9CB">
      <w:pPr>
        <w:tabs>
          <w:tab w:val="left" w:pos="1440"/>
        </w:tabs>
        <w:adjustRightInd w:val="0"/>
        <w:spacing w:line="360" w:lineRule="auto"/>
        <w:ind w:firstLine="42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投标人近半年内任意一个月为授权委托人缴纳社保的证明：</w:t>
      </w:r>
    </w:p>
    <w:p w14:paraId="39623F32">
      <w:pPr>
        <w:tabs>
          <w:tab w:val="left" w:pos="1440"/>
        </w:tabs>
        <w:adjustRightInd w:val="0"/>
        <w:spacing w:line="360" w:lineRule="auto"/>
        <w:ind w:firstLine="420"/>
        <w:jc w:val="left"/>
        <w:rPr>
          <w:rFonts w:hint="eastAsia" w:ascii="宋体" w:hAnsi="宋体"/>
          <w:color w:val="auto"/>
          <w:szCs w:val="21"/>
          <w:highlight w:val="none"/>
          <w:lang w:val="en-US" w:eastAsia="zh-CN"/>
        </w:rPr>
      </w:pPr>
    </w:p>
    <w:p w14:paraId="48A85A56">
      <w:pPr>
        <w:tabs>
          <w:tab w:val="left" w:pos="1440"/>
        </w:tabs>
        <w:adjustRightInd w:val="0"/>
        <w:spacing w:line="360" w:lineRule="auto"/>
        <w:ind w:firstLine="420"/>
        <w:jc w:val="left"/>
        <w:rPr>
          <w:rFonts w:hint="eastAsia" w:ascii="宋体" w:hAnsi="宋体"/>
          <w:color w:val="auto"/>
          <w:szCs w:val="21"/>
          <w:highlight w:val="none"/>
          <w:lang w:val="en-US" w:eastAsia="zh-CN"/>
        </w:rPr>
      </w:pPr>
    </w:p>
    <w:p w14:paraId="5D41720D">
      <w:pPr>
        <w:tabs>
          <w:tab w:val="left" w:pos="1440"/>
        </w:tabs>
        <w:adjustRightInd w:val="0"/>
        <w:spacing w:line="360" w:lineRule="auto"/>
        <w:ind w:firstLine="420"/>
        <w:jc w:val="left"/>
        <w:rPr>
          <w:rFonts w:hint="default" w:ascii="宋体" w:hAnsi="宋体"/>
          <w:color w:val="auto"/>
          <w:szCs w:val="21"/>
          <w:highlight w:val="none"/>
          <w:lang w:val="en-US" w:eastAsia="zh-CN"/>
        </w:rPr>
      </w:pPr>
    </w:p>
    <w:p w14:paraId="2D92579F">
      <w:pPr>
        <w:tabs>
          <w:tab w:val="left" w:pos="1440"/>
        </w:tabs>
        <w:adjustRightInd w:val="0"/>
        <w:spacing w:line="360" w:lineRule="auto"/>
        <w:ind w:firstLine="420"/>
        <w:jc w:val="left"/>
        <w:rPr>
          <w:rFonts w:hint="default" w:ascii="宋体" w:hAnsi="宋体"/>
          <w:color w:val="auto"/>
          <w:szCs w:val="21"/>
          <w:highlight w:val="none"/>
          <w:lang w:val="en-US" w:eastAsia="zh-CN"/>
        </w:rPr>
      </w:pPr>
    </w:p>
    <w:p w14:paraId="108E7FF1">
      <w:pPr>
        <w:rPr>
          <w:rFonts w:ascii="宋体" w:hAnsi="宋体" w:cs="宋体"/>
          <w:b/>
          <w:color w:val="auto"/>
          <w:szCs w:val="21"/>
          <w:highlight w:val="none"/>
          <w:lang w:val="zh-CN"/>
        </w:rPr>
      </w:pPr>
      <w:r>
        <w:rPr>
          <w:rFonts w:hint="eastAsia" w:ascii="宋体" w:hAnsi="宋体" w:cs="宋体"/>
          <w:b/>
          <w:color w:val="auto"/>
          <w:szCs w:val="21"/>
          <w:highlight w:val="none"/>
          <w:lang w:val="zh-CN"/>
        </w:rPr>
        <w:br w:type="page"/>
      </w:r>
    </w:p>
    <w:p w14:paraId="2FF19484">
      <w:pPr>
        <w:adjustRightInd w:val="0"/>
        <w:spacing w:line="360" w:lineRule="auto"/>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目录三、开标一览表格式</w:t>
      </w:r>
    </w:p>
    <w:p w14:paraId="306B3D1A">
      <w:pPr>
        <w:autoSpaceDE w:val="0"/>
        <w:autoSpaceDN w:val="0"/>
        <w:adjustRightInd w:val="0"/>
        <w:spacing w:line="360" w:lineRule="auto"/>
        <w:jc w:val="center"/>
        <w:rPr>
          <w:rFonts w:ascii="宋体" w:hAnsi="宋体"/>
          <w:color w:val="auto"/>
          <w:sz w:val="36"/>
          <w:szCs w:val="36"/>
          <w:highlight w:val="none"/>
          <w:lang w:val="zh-CN"/>
        </w:rPr>
      </w:pPr>
      <w:r>
        <w:rPr>
          <w:rFonts w:hint="eastAsia" w:ascii="宋体" w:hAnsi="宋体"/>
          <w:color w:val="auto"/>
          <w:sz w:val="36"/>
          <w:szCs w:val="36"/>
          <w:highlight w:val="none"/>
          <w:lang w:val="zh-CN"/>
        </w:rPr>
        <w:t>开标一览表</w:t>
      </w:r>
    </w:p>
    <w:p w14:paraId="471BBE76">
      <w:pPr>
        <w:autoSpaceDE w:val="0"/>
        <w:autoSpaceDN w:val="0"/>
        <w:adjustRightInd w:val="0"/>
        <w:spacing w:line="360" w:lineRule="auto"/>
        <w:jc w:val="center"/>
        <w:rPr>
          <w:rFonts w:ascii="宋体" w:hAnsi="宋体"/>
          <w:color w:val="auto"/>
          <w:sz w:val="36"/>
          <w:szCs w:val="36"/>
          <w:highlight w:val="none"/>
          <w:lang w:val="zh-CN"/>
        </w:rPr>
      </w:pPr>
      <w:r>
        <w:rPr>
          <w:rFonts w:hint="eastAsia" w:ascii="宋体" w:hAnsi="宋体"/>
          <w:color w:val="auto"/>
          <w:sz w:val="36"/>
          <w:szCs w:val="36"/>
          <w:highlight w:val="none"/>
          <w:lang w:val="zh-CN"/>
        </w:rPr>
        <w:t>（请将开标一览表放置于投标文件首页）</w:t>
      </w:r>
    </w:p>
    <w:tbl>
      <w:tblPr>
        <w:tblStyle w:val="43"/>
        <w:tblW w:w="9385"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74"/>
        <w:gridCol w:w="4811"/>
      </w:tblGrid>
      <w:tr w14:paraId="6A515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4574" w:type="dxa"/>
            <w:tcBorders>
              <w:top w:val="single" w:color="auto" w:sz="4" w:space="0"/>
              <w:left w:val="single" w:color="auto" w:sz="4" w:space="0"/>
              <w:bottom w:val="single" w:color="auto" w:sz="4" w:space="0"/>
              <w:right w:val="single" w:color="auto" w:sz="4" w:space="0"/>
            </w:tcBorders>
            <w:vAlign w:val="center"/>
          </w:tcPr>
          <w:p w14:paraId="2E1B7C5C">
            <w:pPr>
              <w:jc w:val="left"/>
              <w:rPr>
                <w:rFonts w:ascii="宋体" w:hAnsi="宋体" w:cs="宋体"/>
                <w:b/>
                <w:bCs/>
                <w:color w:val="auto"/>
                <w:szCs w:val="21"/>
                <w:highlight w:val="none"/>
                <w:u w:val="single"/>
              </w:rPr>
            </w:pPr>
            <w:r>
              <w:rPr>
                <w:rFonts w:hint="eastAsia" w:ascii="宋体" w:hAnsi="宋体" w:cs="宋体"/>
                <w:color w:val="auto"/>
                <w:szCs w:val="21"/>
                <w:highlight w:val="none"/>
              </w:rPr>
              <w:t>项目名称：</w:t>
            </w:r>
          </w:p>
        </w:tc>
        <w:tc>
          <w:tcPr>
            <w:tcW w:w="4811" w:type="dxa"/>
            <w:tcBorders>
              <w:top w:val="single" w:color="auto" w:sz="4" w:space="0"/>
              <w:left w:val="single" w:color="auto" w:sz="4" w:space="0"/>
              <w:bottom w:val="single" w:color="auto" w:sz="4" w:space="0"/>
              <w:right w:val="single" w:color="auto" w:sz="4" w:space="0"/>
            </w:tcBorders>
            <w:vAlign w:val="center"/>
          </w:tcPr>
          <w:p w14:paraId="136A4FA2">
            <w:pPr>
              <w:widowControl/>
              <w:jc w:val="left"/>
              <w:rPr>
                <w:rFonts w:ascii="宋体" w:hAnsi="宋体" w:cs="宋体"/>
                <w:color w:val="auto"/>
                <w:szCs w:val="21"/>
                <w:highlight w:val="none"/>
              </w:rPr>
            </w:pPr>
            <w:r>
              <w:rPr>
                <w:rFonts w:hint="eastAsia" w:ascii="宋体" w:hAnsi="宋体" w:cs="宋体"/>
                <w:color w:val="auto"/>
                <w:szCs w:val="21"/>
                <w:highlight w:val="none"/>
              </w:rPr>
              <w:t>项目编号：</w:t>
            </w:r>
          </w:p>
        </w:tc>
      </w:tr>
      <w:tr w14:paraId="504F1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4574" w:type="dxa"/>
            <w:tcBorders>
              <w:top w:val="single" w:color="auto" w:sz="4" w:space="0"/>
              <w:left w:val="single" w:color="auto" w:sz="4" w:space="0"/>
              <w:bottom w:val="single" w:color="auto" w:sz="4" w:space="0"/>
              <w:right w:val="single" w:color="auto" w:sz="4" w:space="0"/>
            </w:tcBorders>
            <w:shd w:val="clear" w:color="auto" w:fill="auto"/>
            <w:vAlign w:val="center"/>
          </w:tcPr>
          <w:p w14:paraId="068F9DC8">
            <w:pPr>
              <w:jc w:val="left"/>
              <w:rPr>
                <w:rFonts w:hint="eastAsia" w:ascii="宋体" w:hAnsi="宋体" w:cs="宋体" w:eastAsiaTheme="minorEastAsia"/>
                <w:b/>
                <w:bCs/>
                <w:color w:val="auto"/>
                <w:sz w:val="21"/>
                <w:szCs w:val="21"/>
                <w:highlight w:val="none"/>
                <w:u w:val="single"/>
                <w:lang w:val="en-US" w:eastAsia="zh-CN" w:bidi="ar-SA"/>
              </w:rPr>
            </w:pPr>
            <w:r>
              <w:rPr>
                <w:rFonts w:hint="eastAsia" w:ascii="宋体" w:hAnsi="宋体" w:cs="宋体"/>
                <w:color w:val="auto"/>
                <w:szCs w:val="21"/>
                <w:highlight w:val="none"/>
                <w:lang w:val="en-US" w:eastAsia="zh-CN"/>
              </w:rPr>
              <w:t>标段</w:t>
            </w:r>
            <w:r>
              <w:rPr>
                <w:rFonts w:hint="eastAsia" w:ascii="宋体" w:hAnsi="宋体" w:cs="宋体"/>
                <w:color w:val="auto"/>
                <w:szCs w:val="21"/>
                <w:highlight w:val="none"/>
              </w:rPr>
              <w:t>名称：</w:t>
            </w:r>
          </w:p>
        </w:tc>
        <w:tc>
          <w:tcPr>
            <w:tcW w:w="4811" w:type="dxa"/>
            <w:tcBorders>
              <w:top w:val="single" w:color="auto" w:sz="4" w:space="0"/>
              <w:left w:val="single" w:color="auto" w:sz="4" w:space="0"/>
              <w:bottom w:val="single" w:color="auto" w:sz="4" w:space="0"/>
              <w:right w:val="single" w:color="auto" w:sz="4" w:space="0"/>
            </w:tcBorders>
            <w:shd w:val="clear" w:color="auto" w:fill="auto"/>
            <w:vAlign w:val="center"/>
          </w:tcPr>
          <w:p w14:paraId="748714F7">
            <w:pPr>
              <w:widowControl/>
              <w:jc w:val="left"/>
              <w:rPr>
                <w:rFonts w:hint="eastAsia" w:ascii="宋体" w:hAnsi="宋体" w:cs="宋体" w:eastAsiaTheme="minorEastAsia"/>
                <w:color w:val="auto"/>
                <w:sz w:val="21"/>
                <w:szCs w:val="21"/>
                <w:highlight w:val="none"/>
                <w:lang w:val="en-US" w:eastAsia="zh-CN" w:bidi="ar-SA"/>
              </w:rPr>
            </w:pPr>
            <w:r>
              <w:rPr>
                <w:rFonts w:hint="eastAsia" w:ascii="宋体" w:hAnsi="宋体" w:cs="宋体"/>
                <w:color w:val="auto"/>
                <w:szCs w:val="21"/>
                <w:highlight w:val="none"/>
                <w:lang w:val="en-US" w:eastAsia="zh-CN"/>
              </w:rPr>
              <w:t>标段</w:t>
            </w:r>
            <w:r>
              <w:rPr>
                <w:rFonts w:hint="eastAsia" w:ascii="宋体" w:hAnsi="宋体" w:cs="宋体"/>
                <w:color w:val="auto"/>
                <w:szCs w:val="21"/>
                <w:highlight w:val="none"/>
              </w:rPr>
              <w:t>编号：</w:t>
            </w:r>
          </w:p>
        </w:tc>
      </w:tr>
      <w:tr w14:paraId="61C35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4574" w:type="dxa"/>
            <w:tcBorders>
              <w:top w:val="single" w:color="auto" w:sz="4" w:space="0"/>
              <w:left w:val="single" w:color="auto" w:sz="4" w:space="0"/>
              <w:bottom w:val="single" w:color="auto" w:sz="4" w:space="0"/>
              <w:right w:val="single" w:color="auto" w:sz="4" w:space="0"/>
            </w:tcBorders>
            <w:vAlign w:val="center"/>
          </w:tcPr>
          <w:p w14:paraId="3237E10E">
            <w:pPr>
              <w:widowControl/>
              <w:jc w:val="left"/>
              <w:rPr>
                <w:rFonts w:hint="eastAsia" w:ascii="宋体" w:hAnsi="宋体" w:cs="宋体" w:eastAsiaTheme="minorEastAsia"/>
                <w:color w:val="auto"/>
                <w:szCs w:val="21"/>
                <w:highlight w:val="none"/>
                <w:lang w:val="zh-CN" w:eastAsia="zh-CN"/>
              </w:rPr>
            </w:pPr>
            <w:r>
              <w:rPr>
                <w:rFonts w:hint="eastAsia" w:ascii="宋体" w:hAnsi="宋体" w:cs="宋体"/>
                <w:color w:val="auto"/>
                <w:szCs w:val="21"/>
                <w:highlight w:val="none"/>
                <w:lang w:val="zh-CN"/>
              </w:rPr>
              <w:t>投标</w:t>
            </w:r>
            <w:r>
              <w:rPr>
                <w:rFonts w:hint="eastAsia" w:ascii="宋体" w:hAnsi="宋体" w:cs="宋体"/>
                <w:color w:val="auto"/>
                <w:szCs w:val="21"/>
                <w:highlight w:val="none"/>
                <w:lang w:val="en-US" w:eastAsia="zh-CN"/>
              </w:rPr>
              <w:t>折扣</w:t>
            </w:r>
          </w:p>
        </w:tc>
        <w:tc>
          <w:tcPr>
            <w:tcW w:w="4811" w:type="dxa"/>
            <w:tcBorders>
              <w:top w:val="single" w:color="auto" w:sz="4" w:space="0"/>
              <w:left w:val="single" w:color="auto" w:sz="4" w:space="0"/>
              <w:bottom w:val="single" w:color="auto" w:sz="4" w:space="0"/>
              <w:right w:val="single" w:color="auto" w:sz="4" w:space="0"/>
            </w:tcBorders>
            <w:vAlign w:val="center"/>
          </w:tcPr>
          <w:p w14:paraId="2A7032BF">
            <w:pPr>
              <w:pStyle w:val="12"/>
              <w:ind w:firstLine="0"/>
              <w:jc w:val="left"/>
              <w:rPr>
                <w:rFonts w:ascii="宋体" w:hAnsi="宋体" w:cs="宋体"/>
                <w:b/>
                <w:color w:val="auto"/>
                <w:szCs w:val="21"/>
                <w:highlight w:val="none"/>
              </w:rPr>
            </w:pPr>
          </w:p>
          <w:p w14:paraId="2A2382EB">
            <w:pPr>
              <w:pStyle w:val="12"/>
              <w:ind w:firstLine="0"/>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 xml:space="preserve">小写：                </w:t>
            </w:r>
            <w:r>
              <w:rPr>
                <w:rFonts w:hint="eastAsia" w:ascii="宋体" w:hAnsi="宋体" w:cs="宋体"/>
                <w:b/>
                <w:color w:val="auto"/>
                <w:szCs w:val="21"/>
                <w:highlight w:val="none"/>
                <w:lang w:val="en-US" w:eastAsia="zh-CN"/>
              </w:rPr>
              <w:t>%</w:t>
            </w:r>
          </w:p>
          <w:p w14:paraId="4DDC7918">
            <w:pPr>
              <w:pStyle w:val="12"/>
              <w:ind w:firstLine="0"/>
              <w:jc w:val="left"/>
              <w:rPr>
                <w:rFonts w:ascii="宋体" w:hAnsi="宋体" w:cs="宋体"/>
                <w:b/>
                <w:color w:val="auto"/>
                <w:szCs w:val="21"/>
                <w:highlight w:val="none"/>
              </w:rPr>
            </w:pPr>
          </w:p>
          <w:p w14:paraId="3848EBC9">
            <w:pPr>
              <w:pStyle w:val="12"/>
              <w:ind w:firstLine="0"/>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大写：</w:t>
            </w:r>
            <w:r>
              <w:rPr>
                <w:rFonts w:hint="eastAsia" w:ascii="宋体" w:hAnsi="宋体" w:cs="宋体"/>
                <w:b/>
                <w:color w:val="auto"/>
                <w:szCs w:val="21"/>
                <w:highlight w:val="none"/>
                <w:lang w:val="en-US" w:eastAsia="zh-CN"/>
              </w:rPr>
              <w:t>佰分之</w:t>
            </w:r>
          </w:p>
          <w:p w14:paraId="6FB50B0D">
            <w:pPr>
              <w:pStyle w:val="12"/>
              <w:ind w:firstLine="0"/>
              <w:jc w:val="left"/>
              <w:rPr>
                <w:rFonts w:ascii="宋体" w:hAnsi="宋体" w:cs="宋体"/>
                <w:b/>
                <w:color w:val="auto"/>
                <w:szCs w:val="21"/>
                <w:highlight w:val="none"/>
              </w:rPr>
            </w:pPr>
          </w:p>
        </w:tc>
      </w:tr>
    </w:tbl>
    <w:p w14:paraId="5F399886">
      <w:pPr>
        <w:widowControl/>
        <w:spacing w:line="360" w:lineRule="auto"/>
        <w:jc w:val="left"/>
        <w:rPr>
          <w:rFonts w:ascii="宋体" w:hAnsi="宋体" w:cs="宋体"/>
          <w:color w:val="auto"/>
          <w:szCs w:val="21"/>
          <w:highlight w:val="none"/>
          <w:lang w:val="zh-CN"/>
        </w:rPr>
      </w:pPr>
    </w:p>
    <w:p w14:paraId="3FF09315">
      <w:pPr>
        <w:widowControl/>
        <w:spacing w:line="360" w:lineRule="auto"/>
        <w:jc w:val="left"/>
        <w:rPr>
          <w:rFonts w:ascii="宋体" w:hAnsi="宋体" w:eastAsia="宋体" w:cs="宋体"/>
          <w:color w:val="auto"/>
          <w:sz w:val="24"/>
          <w:szCs w:val="28"/>
          <w:highlight w:val="none"/>
          <w:lang w:val="zh-CN"/>
        </w:rPr>
      </w:pPr>
      <w:r>
        <w:rPr>
          <w:rFonts w:hint="eastAsia" w:ascii="宋体" w:hAnsi="宋体" w:cs="宋体"/>
          <w:color w:val="auto"/>
          <w:sz w:val="24"/>
          <w:szCs w:val="24"/>
          <w:highlight w:val="none"/>
          <w:lang w:val="zh-CN"/>
        </w:rPr>
        <w:t>投标人名称：</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（盖章）</w:t>
      </w:r>
    </w:p>
    <w:p w14:paraId="7D518E6C">
      <w:pPr>
        <w:adjustRightInd w:val="0"/>
        <w:spacing w:line="360" w:lineRule="auto"/>
        <w:jc w:val="left"/>
        <w:rPr>
          <w:rFonts w:ascii="宋体" w:hAnsi="宋体" w:cs="宋体"/>
          <w:b/>
          <w:color w:val="auto"/>
          <w:szCs w:val="21"/>
          <w:highlight w:val="none"/>
          <w:lang w:val="zh-CN"/>
        </w:rPr>
      </w:pPr>
    </w:p>
    <w:p w14:paraId="2DCC5602">
      <w:pPr>
        <w:jc w:val="left"/>
        <w:rPr>
          <w:rFonts w:ascii="宋体" w:hAnsi="宋体" w:cs="宋体"/>
          <w:b/>
          <w:color w:val="auto"/>
          <w:szCs w:val="21"/>
          <w:highlight w:val="none"/>
          <w:lang w:val="zh-CN"/>
        </w:rPr>
      </w:pPr>
      <w:r>
        <w:rPr>
          <w:rFonts w:hint="eastAsia" w:ascii="宋体" w:hAnsi="宋体" w:cs="宋体"/>
          <w:b/>
          <w:color w:val="auto"/>
          <w:szCs w:val="21"/>
          <w:highlight w:val="none"/>
          <w:lang w:val="zh-CN"/>
        </w:rPr>
        <w:br w:type="page"/>
      </w:r>
    </w:p>
    <w:p w14:paraId="4246D137">
      <w:pPr>
        <w:adjustRightInd w:val="0"/>
        <w:spacing w:line="360" w:lineRule="auto"/>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目录四、资格证明文件</w:t>
      </w:r>
    </w:p>
    <w:p w14:paraId="42B0E540">
      <w:pPr>
        <w:autoSpaceDE w:val="0"/>
        <w:autoSpaceDN w:val="0"/>
        <w:adjustRightInd w:val="0"/>
        <w:spacing w:line="360" w:lineRule="auto"/>
        <w:jc w:val="center"/>
        <w:rPr>
          <w:rFonts w:ascii="宋体" w:hAnsi="宋体"/>
          <w:color w:val="auto"/>
          <w:sz w:val="36"/>
          <w:szCs w:val="36"/>
          <w:highlight w:val="none"/>
          <w:lang w:val="zh-CN"/>
        </w:rPr>
      </w:pPr>
      <w:bookmarkStart w:id="7" w:name="_Toc489655335"/>
      <w:r>
        <w:rPr>
          <w:rFonts w:hint="eastAsia" w:ascii="宋体" w:hAnsi="宋体"/>
          <w:color w:val="auto"/>
          <w:sz w:val="36"/>
          <w:szCs w:val="36"/>
          <w:highlight w:val="none"/>
          <w:lang w:val="zh-CN"/>
        </w:rPr>
        <w:t>资格证明文件</w:t>
      </w:r>
      <w:bookmarkEnd w:id="7"/>
    </w:p>
    <w:p w14:paraId="3A9B209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肉、禽类、水产品类：</w:t>
      </w:r>
    </w:p>
    <w:p w14:paraId="03ABFDF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1.具有独立承担民事责任的能力（提供法人或者其他组织的营业执照</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为自然人的，提供其身份证</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w:t>
      </w:r>
    </w:p>
    <w:p w14:paraId="1937F65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2.具有良好的商业信誉和健全的财务会计制度（提供2023年度</w:t>
      </w:r>
      <w:r>
        <w:rPr>
          <w:rFonts w:hint="eastAsia" w:asciiTheme="minorEastAsia" w:hAnsiTheme="minorEastAsia" w:cstheme="minorEastAsia"/>
          <w:color w:val="auto"/>
          <w:sz w:val="24"/>
          <w:szCs w:val="24"/>
          <w:highlight w:val="none"/>
          <w:lang w:val="en-US" w:eastAsia="zh-CN"/>
        </w:rPr>
        <w:t>或2024年度</w:t>
      </w:r>
      <w:r>
        <w:rPr>
          <w:rFonts w:hint="eastAsia" w:asciiTheme="minorEastAsia" w:hAnsiTheme="minorEastAsia" w:eastAsiaTheme="minorEastAsia" w:cstheme="minorEastAsia"/>
          <w:color w:val="auto"/>
          <w:sz w:val="24"/>
          <w:szCs w:val="24"/>
          <w:highlight w:val="none"/>
          <w:lang w:eastAsia="zh-CN"/>
        </w:rPr>
        <w:t>的财务状况报告（至少包括资产负债表和利润表）</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，或</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截止时间前六个月内银行出具的资信证明</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，成立不满一年的无须提供）；</w:t>
      </w:r>
    </w:p>
    <w:p w14:paraId="05503B4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3.具有履行合同所必需的设备和专业技术能力（根据项目需求提供履行合同所必需的设备和专业技术能力的证明材料或相关加盖公章的书面声明）；</w:t>
      </w:r>
    </w:p>
    <w:p w14:paraId="6595BCD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4.有依法缴纳税收和社会保障资金的良好记录（提供参加本次采购活动前半年内（至少一个月）依法缴纳税收（</w:t>
      </w:r>
      <w:r>
        <w:rPr>
          <w:rFonts w:hint="eastAsia" w:asciiTheme="minorEastAsia" w:hAnsiTheme="minorEastAsia" w:cstheme="minorEastAsia"/>
          <w:color w:val="auto"/>
          <w:sz w:val="24"/>
          <w:szCs w:val="24"/>
          <w:highlight w:val="none"/>
          <w:lang w:val="en-US" w:eastAsia="zh-CN"/>
        </w:rPr>
        <w:t>企业代缴的个人所得税除外</w:t>
      </w:r>
      <w:r>
        <w:rPr>
          <w:rFonts w:hint="eastAsia" w:asciiTheme="minorEastAsia" w:hAnsiTheme="minorEastAsia" w:eastAsiaTheme="minorEastAsia" w:cstheme="minorEastAsia"/>
          <w:color w:val="auto"/>
          <w:sz w:val="24"/>
          <w:szCs w:val="24"/>
          <w:highlight w:val="none"/>
          <w:lang w:eastAsia="zh-CN"/>
        </w:rPr>
        <w:t>）和社会保障资金的相关材料（提供相关主管部门证明或银行代扣证明的复印件，根据国家相关政策免缴或迟缴的需提供相关证明材料））；</w:t>
      </w:r>
    </w:p>
    <w:p w14:paraId="6C9EEDF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5.参加采购活动前三年内，在经营活动中没有重大违法记录（提供参加本次采购活动前3年内在经营活动中没有重大违法记录的书面声明。本条所称重大违法记录，是指</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因违法经营受到刑事处罚或者责令停产停业、吊销许可证或者执照、较大数额罚款等行政处罚。</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在参加采购活动前3年内因违法经营被禁止在一定期限内参加采购活动，期限届满的，可以参加采购活动）；</w:t>
      </w:r>
    </w:p>
    <w:p w14:paraId="5B198FE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6.法律、行政法规规定的其他条件：</w:t>
      </w:r>
    </w:p>
    <w:p w14:paraId="06DBDF8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6.1.单位负责人为同一人或者存在直接控股、管理关系的不同</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，不得参加同一合同项下的政府采购活动。</w:t>
      </w:r>
    </w:p>
    <w:p w14:paraId="3C716D3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6.2.为采购项目提供整体设计、规范编制或者项目管理、监理、检测等服务的</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，不得再参加该采购项目的其他采购活动。</w:t>
      </w:r>
    </w:p>
    <w:p w14:paraId="55FB9B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6.3.拒绝列入失信被执行人、重大税收违法失信主体、政府采购严重违法失信行为记录名单的</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参与政府采购活动。</w:t>
      </w:r>
      <w:r>
        <w:rPr>
          <w:rFonts w:hint="eastAsia" w:asciiTheme="minorEastAsia" w:hAnsi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lang w:eastAsia="zh-CN"/>
        </w:rPr>
        <w:t>将在</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文件提交截止时间后，通过“中国政府采购网”、“信用中国”网站等渠道查询</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信用记录并保存。</w:t>
      </w:r>
    </w:p>
    <w:p w14:paraId="32E2D25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投标人须具有有效的《食品生产许可证》或《食品经营许可证》。</w:t>
      </w:r>
      <w:r>
        <w:rPr>
          <w:rFonts w:hint="eastAsia" w:asciiTheme="minorEastAsia" w:hAnsiTheme="minorEastAsia" w:eastAsiaTheme="minorEastAsia" w:cstheme="minorEastAsia"/>
          <w:b w:val="0"/>
          <w:bCs w:val="0"/>
          <w:color w:val="auto"/>
          <w:sz w:val="24"/>
          <w:szCs w:val="24"/>
          <w:highlight w:val="none"/>
          <w:lang w:val="en-US" w:eastAsia="zh-CN"/>
        </w:rPr>
        <w:t>（提供有效期内的证明材料复印件并加盖公章）</w:t>
      </w:r>
    </w:p>
    <w:p w14:paraId="6112720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蔬菜、豆制品、水果类：</w:t>
      </w:r>
    </w:p>
    <w:p w14:paraId="42344C8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1.具有独立承担民事责任的能力（提供法人或者其他组织的营业执照</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为自然人的，提供其身份证</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w:t>
      </w:r>
    </w:p>
    <w:p w14:paraId="04F5F55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2.具有良好的商业信誉和健全的财务会计制度（提供2023年度</w:t>
      </w:r>
      <w:r>
        <w:rPr>
          <w:rFonts w:hint="eastAsia" w:asciiTheme="minorEastAsia" w:hAnsiTheme="minorEastAsia" w:cstheme="minorEastAsia"/>
          <w:color w:val="auto"/>
          <w:sz w:val="24"/>
          <w:szCs w:val="24"/>
          <w:highlight w:val="none"/>
          <w:lang w:val="en-US" w:eastAsia="zh-CN"/>
        </w:rPr>
        <w:t>或2024年度</w:t>
      </w:r>
      <w:r>
        <w:rPr>
          <w:rFonts w:hint="eastAsia" w:asciiTheme="minorEastAsia" w:hAnsiTheme="minorEastAsia" w:eastAsiaTheme="minorEastAsia" w:cstheme="minorEastAsia"/>
          <w:color w:val="auto"/>
          <w:sz w:val="24"/>
          <w:szCs w:val="24"/>
          <w:highlight w:val="none"/>
          <w:lang w:eastAsia="zh-CN"/>
        </w:rPr>
        <w:t>的财务状况报告（至少包括资产负债表和利润表）</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，或</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截止时间前六个月内银行出具的资信证明</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，成立不满一年的无须提供）；</w:t>
      </w:r>
    </w:p>
    <w:p w14:paraId="14B8AD6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3.具有履行合同所必需的设备和专业技术能力（根据项目需求提供履行合同所必需的设备和专业技术能力的证明材料或相关加盖公章的书面声明）；</w:t>
      </w:r>
    </w:p>
    <w:p w14:paraId="203CC56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4.有依法缴纳税收和社会保障资金的良好记录（提供参加本次采购活动前半年内（至少一个月）依法缴纳税收（</w:t>
      </w:r>
      <w:r>
        <w:rPr>
          <w:rFonts w:hint="eastAsia" w:asciiTheme="minorEastAsia" w:hAnsiTheme="minorEastAsia" w:cstheme="minorEastAsia"/>
          <w:color w:val="auto"/>
          <w:sz w:val="24"/>
          <w:szCs w:val="24"/>
          <w:highlight w:val="none"/>
          <w:lang w:val="en-US" w:eastAsia="zh-CN"/>
        </w:rPr>
        <w:t>企业代缴的个人所得税除外</w:t>
      </w:r>
      <w:r>
        <w:rPr>
          <w:rFonts w:hint="eastAsia" w:asciiTheme="minorEastAsia" w:hAnsiTheme="minorEastAsia" w:eastAsiaTheme="minorEastAsia" w:cstheme="minorEastAsia"/>
          <w:color w:val="auto"/>
          <w:sz w:val="24"/>
          <w:szCs w:val="24"/>
          <w:highlight w:val="none"/>
          <w:lang w:eastAsia="zh-CN"/>
        </w:rPr>
        <w:t>）和社会保障资金的相关材料（提供相关主管部门证明或银行代扣证明的复印件，根据国家相关政策免缴或迟缴的需提供相关证明材料））；</w:t>
      </w:r>
    </w:p>
    <w:p w14:paraId="426745D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5.参加采购活动前三年内，在经营活动中没有重大违法记录（提供参加本次采购活动前3年内在经营活动中没有重大违法记录的书面声明。本条所称重大违法记录，是指</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因违法经营受到刑事处罚或者责令停产停业、吊销许可证或者执照、较大数额罚款等行政处罚。</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在参加采购活动前3年内因违法经营被禁止在一定期限内参加采购活动，期限届满的，可以参加采购活动）；</w:t>
      </w:r>
    </w:p>
    <w:p w14:paraId="071F79B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6.法律、行政法规规定的其他条件：</w:t>
      </w:r>
    </w:p>
    <w:p w14:paraId="1DF1643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6.1.单位负责人为同一人或者存在直接控股、管理关系的不同</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，不得参加同一合同项下的政府采购活动。</w:t>
      </w:r>
    </w:p>
    <w:p w14:paraId="259ED23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6.2.为采购项目提供整体设计、规范编制或者项目管理、监理、检测等服务的</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，不得再参加该采购项目的其他采购活动。</w:t>
      </w:r>
    </w:p>
    <w:p w14:paraId="1B5809B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6.3.拒绝列入失信被执行人、重大税收违法失信主体、政府采购严重违法失信行为记录名单的</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参与政府采购活动。</w:t>
      </w:r>
      <w:r>
        <w:rPr>
          <w:rFonts w:hint="eastAsia" w:asciiTheme="minorEastAsia" w:hAnsi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lang w:eastAsia="zh-CN"/>
        </w:rPr>
        <w:t>将在</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文件提交截止时间后，通过“中国政府采购网”、“信用中国”网站等渠道查询</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信用记录并保存。</w:t>
      </w:r>
    </w:p>
    <w:p w14:paraId="241E3A5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投标人须具有有效的《食品生产许可证》或《食品经营许可证》。</w:t>
      </w:r>
      <w:r>
        <w:rPr>
          <w:rFonts w:hint="eastAsia" w:asciiTheme="minorEastAsia" w:hAnsiTheme="minorEastAsia" w:eastAsiaTheme="minorEastAsia" w:cstheme="minorEastAsia"/>
          <w:b w:val="0"/>
          <w:bCs w:val="0"/>
          <w:color w:val="auto"/>
          <w:sz w:val="24"/>
          <w:szCs w:val="24"/>
          <w:highlight w:val="none"/>
          <w:lang w:val="en-US" w:eastAsia="zh-CN"/>
        </w:rPr>
        <w:t>（提供有效期内的证明材料复印件并加盖公章）</w:t>
      </w:r>
    </w:p>
    <w:p w14:paraId="3663BB0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粮油、调味料、干货、牛奶饮料类：</w:t>
      </w:r>
    </w:p>
    <w:p w14:paraId="522F783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1.具有独立承担民事责任的能力（提供法人或者其他组织的营业执照</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为自然人的，提供其身份证</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w:t>
      </w:r>
    </w:p>
    <w:p w14:paraId="11AA423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2.具有良好的商业信誉和健全的财务会计制度（提供2023年度</w:t>
      </w:r>
      <w:r>
        <w:rPr>
          <w:rFonts w:hint="eastAsia" w:asciiTheme="minorEastAsia" w:hAnsiTheme="minorEastAsia" w:cstheme="minorEastAsia"/>
          <w:color w:val="auto"/>
          <w:sz w:val="24"/>
          <w:szCs w:val="24"/>
          <w:highlight w:val="none"/>
          <w:lang w:val="en-US" w:eastAsia="zh-CN"/>
        </w:rPr>
        <w:t>或2024年度</w:t>
      </w:r>
      <w:r>
        <w:rPr>
          <w:rFonts w:hint="eastAsia" w:asciiTheme="minorEastAsia" w:hAnsiTheme="minorEastAsia" w:eastAsiaTheme="minorEastAsia" w:cstheme="minorEastAsia"/>
          <w:color w:val="auto"/>
          <w:sz w:val="24"/>
          <w:szCs w:val="24"/>
          <w:highlight w:val="none"/>
          <w:lang w:eastAsia="zh-CN"/>
        </w:rPr>
        <w:t>的财务状况报告（至少包括资产负债表和利润表）</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，或</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截止时间前六个月内银行出具的资信证明</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，成立不满一年的无须提供）；</w:t>
      </w:r>
    </w:p>
    <w:p w14:paraId="2C6FFD5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3.具有履行合同所必需的设备和专业技术能力（根据项目需求提供履行合同所必需的设备和专业技术能力的证明材料或相关加盖公章的书面声明）；</w:t>
      </w:r>
    </w:p>
    <w:p w14:paraId="024C657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4.有依法缴纳税收和社会保障资金的良好记录（提供参加本次采购活动前半年内（至少一个月）依法缴纳税收（</w:t>
      </w:r>
      <w:r>
        <w:rPr>
          <w:rFonts w:hint="eastAsia" w:asciiTheme="minorEastAsia" w:hAnsiTheme="minorEastAsia" w:cstheme="minorEastAsia"/>
          <w:color w:val="auto"/>
          <w:sz w:val="24"/>
          <w:szCs w:val="24"/>
          <w:highlight w:val="none"/>
          <w:lang w:val="en-US" w:eastAsia="zh-CN"/>
        </w:rPr>
        <w:t>企业代缴的个人所得税除外</w:t>
      </w:r>
      <w:r>
        <w:rPr>
          <w:rFonts w:hint="eastAsia" w:asciiTheme="minorEastAsia" w:hAnsiTheme="minorEastAsia" w:eastAsiaTheme="minorEastAsia" w:cstheme="minorEastAsia"/>
          <w:color w:val="auto"/>
          <w:sz w:val="24"/>
          <w:szCs w:val="24"/>
          <w:highlight w:val="none"/>
          <w:lang w:eastAsia="zh-CN"/>
        </w:rPr>
        <w:t>）和社会保障资金的相关材料（提供相关主管部门证明或银行代扣证明的复印件，根据国家相关政策免缴或迟缴的需提供相关证明材料））；</w:t>
      </w:r>
    </w:p>
    <w:p w14:paraId="04D1B0D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5.参加采购活动前三年内，在经营活动中没有重大违法记录（提供参加本次采购活动前3年内在经营活动中没有重大违法记录的书面声明。本条所称重大违法记录，是指</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因违法经营受到刑事处罚或者责令停产停业、吊销许可证或者执照、较大数额罚款等行政处罚。</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在参加采购活动前3年内因违法经营被禁止在一定期限内参加采购活动，期限届满的，可以参加采购活动）；</w:t>
      </w:r>
    </w:p>
    <w:p w14:paraId="0536CFF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6.法律、行政法规规定的其他条件：</w:t>
      </w:r>
    </w:p>
    <w:p w14:paraId="761A469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6.1.单位负责人为同一人或者存在直接控股、管理关系的不同</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，不得参加同一合同项下的政府采购活动。</w:t>
      </w:r>
    </w:p>
    <w:p w14:paraId="6AAA7BA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6.2.为采购项目提供整体设计、规范编制或者项目管理、监理、检测等服务的</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，不得再参加该采购项目的其他采购活动。</w:t>
      </w:r>
    </w:p>
    <w:p w14:paraId="0D71DA1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6.3.拒绝列入失信被执行人、重大税收违法失信主体、政府采购严重违法失信行为记录名单的</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参与政府采购活动。</w:t>
      </w:r>
      <w:r>
        <w:rPr>
          <w:rFonts w:hint="eastAsia" w:asciiTheme="minorEastAsia" w:hAnsi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lang w:eastAsia="zh-CN"/>
        </w:rPr>
        <w:t>将在</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文件提交截止时间后，通过“中国政府采购网”、“信用中国”网站等渠道查询</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信用记录并保存。</w:t>
      </w:r>
    </w:p>
    <w:p w14:paraId="5ABA4E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投标人须具有有效的《食品生产许可证》或《食品经营许可证》。</w:t>
      </w:r>
      <w:r>
        <w:rPr>
          <w:rFonts w:hint="eastAsia" w:asciiTheme="minorEastAsia" w:hAnsiTheme="minorEastAsia" w:eastAsiaTheme="minorEastAsia" w:cstheme="minorEastAsia"/>
          <w:b w:val="0"/>
          <w:bCs w:val="0"/>
          <w:color w:val="auto"/>
          <w:sz w:val="24"/>
          <w:szCs w:val="24"/>
          <w:highlight w:val="none"/>
          <w:lang w:val="en-US" w:eastAsia="zh-CN"/>
        </w:rPr>
        <w:t>（提供有效期内的证明材料复印件并加盖公章）</w:t>
      </w:r>
    </w:p>
    <w:p w14:paraId="7AE8F69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冷冻制品类：</w:t>
      </w:r>
    </w:p>
    <w:p w14:paraId="2FC6732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1.具有独立承担民事责任的能力（提供法人或者其他组织的营业执照</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为自然人的，提供其身份证</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w:t>
      </w:r>
    </w:p>
    <w:p w14:paraId="070A3EE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2.具有良好的商业信誉和健全的财务会计制度（提供2023年度</w:t>
      </w:r>
      <w:r>
        <w:rPr>
          <w:rFonts w:hint="eastAsia" w:asciiTheme="minorEastAsia" w:hAnsiTheme="minorEastAsia" w:cstheme="minorEastAsia"/>
          <w:color w:val="auto"/>
          <w:sz w:val="24"/>
          <w:szCs w:val="24"/>
          <w:highlight w:val="none"/>
          <w:lang w:val="en-US" w:eastAsia="zh-CN"/>
        </w:rPr>
        <w:t>或2024年度</w:t>
      </w:r>
      <w:r>
        <w:rPr>
          <w:rFonts w:hint="eastAsia" w:asciiTheme="minorEastAsia" w:hAnsiTheme="minorEastAsia" w:eastAsiaTheme="minorEastAsia" w:cstheme="minorEastAsia"/>
          <w:color w:val="auto"/>
          <w:sz w:val="24"/>
          <w:szCs w:val="24"/>
          <w:highlight w:val="none"/>
          <w:lang w:eastAsia="zh-CN"/>
        </w:rPr>
        <w:t>的财务状况报告（至少包括资产负债表和利润表）</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，或</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截止时间前六个月内银行出具的资信证明</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eastAsia="zh-CN"/>
        </w:rPr>
        <w:t>，成立不满一年的无须提供）；</w:t>
      </w:r>
    </w:p>
    <w:p w14:paraId="67315BB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3.具有履行合同所必需的设备和专业技术能力（根据项目需求提供履行合同所必需的设备和专业技术能力的证明材料或相关加盖公章的书面声明）；</w:t>
      </w:r>
    </w:p>
    <w:p w14:paraId="23B5EA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4.有依法缴纳税收和社会保障资金的良好记录（提供参加本次采购活动前半年内（至少一个月）依法缴纳税收（</w:t>
      </w:r>
      <w:r>
        <w:rPr>
          <w:rFonts w:hint="eastAsia" w:asciiTheme="minorEastAsia" w:hAnsiTheme="minorEastAsia" w:cstheme="minorEastAsia"/>
          <w:color w:val="auto"/>
          <w:sz w:val="24"/>
          <w:szCs w:val="24"/>
          <w:highlight w:val="none"/>
          <w:lang w:val="en-US" w:eastAsia="zh-CN"/>
        </w:rPr>
        <w:t>企业代缴的个人所得税除外</w:t>
      </w:r>
      <w:r>
        <w:rPr>
          <w:rFonts w:hint="eastAsia" w:asciiTheme="minorEastAsia" w:hAnsiTheme="minorEastAsia" w:eastAsiaTheme="minorEastAsia" w:cstheme="minorEastAsia"/>
          <w:color w:val="auto"/>
          <w:sz w:val="24"/>
          <w:szCs w:val="24"/>
          <w:highlight w:val="none"/>
          <w:lang w:eastAsia="zh-CN"/>
        </w:rPr>
        <w:t>）和社会保障资金的相关材料（提供相关主管部门证明或银行代扣证明的复印件，根据国家相关政策免缴或迟缴的需提供相关证明材料））；</w:t>
      </w:r>
    </w:p>
    <w:p w14:paraId="5196EB4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5.参加采购活动前三年内，在经营活动中没有重大违法记录（提供参加本次采购活动前3年内在经营活动中没有重大违法记录的书面声明。本条所称重大违法记录，是指</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因违法经营受到刑事处罚或者责令停产停业、吊销许可证或者执照、较大数额罚款等行政处罚。</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在参加采购活动前3年内因违法经营被禁止在一定期限内参加采购活动，期限届满的，可以参加采购活动）；</w:t>
      </w:r>
    </w:p>
    <w:p w14:paraId="2CB860E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6.法律、行政法规规定的其他条件：</w:t>
      </w:r>
    </w:p>
    <w:p w14:paraId="5688495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6.1.单位负责人为同一人或者存在直接控股、管理关系的不同</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，不得参加同一合同项下的政府采购活动。</w:t>
      </w:r>
    </w:p>
    <w:p w14:paraId="225F9AB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6.2.为采购项目提供整体设计、规范编制或者项目管理、监理、检测等服务的</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，不得再参加该采购项目的其他采购活动。</w:t>
      </w:r>
    </w:p>
    <w:p w14:paraId="5D799DF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6.3.拒绝列入失信被执行人、重大税收违法失信主体、政府采购严重违法失信行为记录名单的</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参与政府采购活动。</w:t>
      </w:r>
      <w:r>
        <w:rPr>
          <w:rFonts w:hint="eastAsia" w:asciiTheme="minorEastAsia" w:hAnsi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lang w:eastAsia="zh-CN"/>
        </w:rPr>
        <w:t>将在</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文件提交截止时间后，通过“中国政府采购网”、“信用中国”网站等渠道查询</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信用记录并保存。</w:t>
      </w:r>
    </w:p>
    <w:p w14:paraId="1849864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投标人须具有有效的《食品生产许可证》或《食品经营许可证》。</w:t>
      </w:r>
      <w:r>
        <w:rPr>
          <w:rFonts w:hint="eastAsia" w:asciiTheme="minorEastAsia" w:hAnsiTheme="minorEastAsia" w:eastAsiaTheme="minorEastAsia" w:cstheme="minorEastAsia"/>
          <w:b w:val="0"/>
          <w:bCs w:val="0"/>
          <w:color w:val="auto"/>
          <w:sz w:val="24"/>
          <w:szCs w:val="24"/>
          <w:highlight w:val="none"/>
          <w:lang w:val="en-US" w:eastAsia="zh-CN"/>
        </w:rPr>
        <w:t>（提供有效期内的证明材料复印件并加盖公章）</w:t>
      </w:r>
    </w:p>
    <w:p w14:paraId="2C19D749">
      <w:pPr>
        <w:autoSpaceDE w:val="0"/>
        <w:autoSpaceDN w:val="0"/>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stheme="minorEastAsia"/>
          <w:color w:val="auto"/>
          <w:sz w:val="24"/>
          <w:szCs w:val="24"/>
          <w:highlight w:val="none"/>
        </w:rPr>
        <w:t>本项目 不允许 联合体投标。</w:t>
      </w:r>
    </w:p>
    <w:p w14:paraId="48306D09">
      <w:pPr>
        <w:rPr>
          <w:rFonts w:ascii="宋体" w:hAnsi="宋体" w:cs="宋体"/>
          <w:b/>
          <w:color w:val="auto"/>
          <w:szCs w:val="21"/>
          <w:highlight w:val="none"/>
          <w:lang w:val="zh-CN"/>
        </w:rPr>
      </w:pPr>
      <w:r>
        <w:rPr>
          <w:rFonts w:hint="eastAsia" w:ascii="宋体" w:hAnsi="宋体" w:cs="宋体"/>
          <w:b/>
          <w:color w:val="auto"/>
          <w:szCs w:val="21"/>
          <w:highlight w:val="none"/>
          <w:lang w:val="zh-CN"/>
        </w:rPr>
        <w:br w:type="page"/>
      </w:r>
    </w:p>
    <w:p w14:paraId="7DFCA5AB">
      <w:pPr>
        <w:adjustRightInd w:val="0"/>
        <w:spacing w:line="240" w:lineRule="atLeast"/>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目录五、分项报价表格式</w:t>
      </w:r>
    </w:p>
    <w:p w14:paraId="141C3793">
      <w:pPr>
        <w:autoSpaceDE w:val="0"/>
        <w:autoSpaceDN w:val="0"/>
        <w:adjustRightInd w:val="0"/>
        <w:spacing w:line="360" w:lineRule="auto"/>
        <w:jc w:val="center"/>
        <w:rPr>
          <w:rFonts w:ascii="宋体" w:hAnsi="宋体"/>
          <w:color w:val="auto"/>
          <w:sz w:val="36"/>
          <w:szCs w:val="36"/>
          <w:highlight w:val="none"/>
          <w:lang w:val="zh-CN"/>
        </w:rPr>
      </w:pPr>
      <w:r>
        <w:rPr>
          <w:rFonts w:hint="eastAsia" w:ascii="宋体" w:hAnsi="宋体"/>
          <w:color w:val="auto"/>
          <w:sz w:val="36"/>
          <w:szCs w:val="36"/>
          <w:highlight w:val="none"/>
          <w:lang w:val="zh-CN"/>
        </w:rPr>
        <w:t>分项报价表（</w:t>
      </w:r>
      <w:r>
        <w:rPr>
          <w:rFonts w:hint="eastAsia" w:ascii="宋体" w:hAnsi="宋体"/>
          <w:color w:val="auto"/>
          <w:sz w:val="36"/>
          <w:szCs w:val="36"/>
          <w:highlight w:val="none"/>
          <w:lang w:val="en-US" w:eastAsia="zh-CN"/>
        </w:rPr>
        <w:t>格式自拟</w:t>
      </w:r>
      <w:r>
        <w:rPr>
          <w:rFonts w:hint="eastAsia" w:ascii="宋体" w:hAnsi="宋体"/>
          <w:color w:val="auto"/>
          <w:sz w:val="36"/>
          <w:szCs w:val="36"/>
          <w:highlight w:val="none"/>
          <w:lang w:val="zh-CN"/>
        </w:rPr>
        <w:t>）</w:t>
      </w:r>
    </w:p>
    <w:tbl>
      <w:tblPr>
        <w:tblStyle w:val="43"/>
        <w:tblW w:w="9672" w:type="dxa"/>
        <w:jc w:val="center"/>
        <w:tblLayout w:type="fixed"/>
        <w:tblCellMar>
          <w:top w:w="0" w:type="dxa"/>
          <w:left w:w="0" w:type="dxa"/>
          <w:bottom w:w="0" w:type="dxa"/>
          <w:right w:w="0" w:type="dxa"/>
        </w:tblCellMar>
      </w:tblPr>
      <w:tblGrid>
        <w:gridCol w:w="6733"/>
        <w:gridCol w:w="2939"/>
      </w:tblGrid>
      <w:tr w14:paraId="65D4DED3">
        <w:tblPrEx>
          <w:tblCellMar>
            <w:top w:w="0" w:type="dxa"/>
            <w:left w:w="0" w:type="dxa"/>
            <w:bottom w:w="0" w:type="dxa"/>
            <w:right w:w="0" w:type="dxa"/>
          </w:tblCellMar>
        </w:tblPrEx>
        <w:trPr>
          <w:trHeight w:val="510" w:hRule="atLeast"/>
          <w:jc w:val="center"/>
        </w:trPr>
        <w:tc>
          <w:tcPr>
            <w:tcW w:w="6733" w:type="dxa"/>
            <w:tcBorders>
              <w:top w:val="nil"/>
              <w:left w:val="nil"/>
              <w:bottom w:val="nil"/>
              <w:right w:val="nil"/>
            </w:tcBorders>
            <w:vAlign w:val="center"/>
          </w:tcPr>
          <w:p w14:paraId="37BC2DAD">
            <w:pPr>
              <w:adjustRightInd w:val="0"/>
              <w:jc w:val="left"/>
              <w:rPr>
                <w:rFonts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项目名称：</w:t>
            </w:r>
          </w:p>
        </w:tc>
        <w:tc>
          <w:tcPr>
            <w:tcW w:w="2939" w:type="dxa"/>
            <w:tcBorders>
              <w:top w:val="nil"/>
              <w:left w:val="nil"/>
              <w:bottom w:val="nil"/>
              <w:right w:val="nil"/>
            </w:tcBorders>
            <w:vAlign w:val="center"/>
          </w:tcPr>
          <w:p w14:paraId="6EBCA982">
            <w:pPr>
              <w:adjustRightInd w:val="0"/>
              <w:jc w:val="left"/>
              <w:rPr>
                <w:rFonts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项目编号：</w:t>
            </w:r>
          </w:p>
        </w:tc>
      </w:tr>
      <w:tr w14:paraId="7A2F7308">
        <w:tblPrEx>
          <w:tblCellMar>
            <w:top w:w="0" w:type="dxa"/>
            <w:left w:w="0" w:type="dxa"/>
            <w:bottom w:w="0" w:type="dxa"/>
            <w:right w:w="0" w:type="dxa"/>
          </w:tblCellMar>
        </w:tblPrEx>
        <w:trPr>
          <w:trHeight w:val="510" w:hRule="atLeast"/>
          <w:jc w:val="center"/>
        </w:trPr>
        <w:tc>
          <w:tcPr>
            <w:tcW w:w="6733" w:type="dxa"/>
            <w:tcBorders>
              <w:top w:val="nil"/>
              <w:left w:val="nil"/>
              <w:bottom w:val="single" w:color="auto" w:sz="6" w:space="0"/>
              <w:right w:val="nil"/>
            </w:tcBorders>
            <w:vAlign w:val="center"/>
          </w:tcPr>
          <w:p w14:paraId="73AE8DD1">
            <w:pPr>
              <w:adjustRightInd w:val="0"/>
              <w:jc w:val="lef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标段名称：</w:t>
            </w:r>
          </w:p>
        </w:tc>
        <w:tc>
          <w:tcPr>
            <w:tcW w:w="2939" w:type="dxa"/>
            <w:tcBorders>
              <w:top w:val="nil"/>
              <w:left w:val="nil"/>
              <w:bottom w:val="single" w:color="auto" w:sz="6" w:space="0"/>
              <w:right w:val="nil"/>
            </w:tcBorders>
            <w:vAlign w:val="center"/>
          </w:tcPr>
          <w:p w14:paraId="44F61CC2">
            <w:pPr>
              <w:adjustRightInd w:val="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标段编号</w:t>
            </w:r>
          </w:p>
        </w:tc>
      </w:tr>
    </w:tbl>
    <w:p w14:paraId="4FFE7348">
      <w:pPr>
        <w:adjustRightInd w:val="0"/>
        <w:spacing w:line="360" w:lineRule="auto"/>
        <w:jc w:val="left"/>
        <w:rPr>
          <w:rFonts w:ascii="宋体" w:hAnsi="宋体" w:cs="宋体"/>
          <w:color w:val="auto"/>
          <w:szCs w:val="21"/>
          <w:highlight w:val="none"/>
          <w:lang w:val="zh-CN"/>
        </w:rPr>
      </w:pPr>
    </w:p>
    <w:p w14:paraId="5584FFB7">
      <w:pPr>
        <w:adjustRightInd w:val="0"/>
        <w:spacing w:line="360" w:lineRule="auto"/>
        <w:jc w:val="left"/>
        <w:rPr>
          <w:rFonts w:ascii="宋体" w:hAnsi="宋体" w:cs="宋体"/>
          <w:color w:val="auto"/>
          <w:szCs w:val="21"/>
          <w:highlight w:val="none"/>
          <w:lang w:val="zh-CN"/>
        </w:rPr>
      </w:pPr>
    </w:p>
    <w:p w14:paraId="5EE9A60D">
      <w:pPr>
        <w:adjustRightInd w:val="0"/>
        <w:spacing w:line="360" w:lineRule="auto"/>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投标人名称（盖章）：</w:t>
      </w:r>
    </w:p>
    <w:p w14:paraId="6F605293">
      <w:pPr>
        <w:adjustRightInd w:val="0"/>
        <w:spacing w:line="300" w:lineRule="auto"/>
        <w:jc w:val="left"/>
        <w:rPr>
          <w:rFonts w:ascii="宋体" w:hAnsi="宋体" w:cs="宋体"/>
          <w:color w:val="auto"/>
          <w:szCs w:val="21"/>
          <w:highlight w:val="none"/>
          <w:lang w:val="zh-CN"/>
        </w:rPr>
      </w:pPr>
    </w:p>
    <w:p w14:paraId="5A20D942">
      <w:pPr>
        <w:adjustRightInd w:val="0"/>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说明：</w:t>
      </w:r>
    </w:p>
    <w:p w14:paraId="52B8F97E">
      <w:pPr>
        <w:adjustRightInd w:val="0"/>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1、如果行数不够，请自行增加。</w:t>
      </w:r>
    </w:p>
    <w:p w14:paraId="24B206A8">
      <w:pPr>
        <w:rPr>
          <w:rFonts w:ascii="宋体" w:hAnsi="宋体" w:cs="宋体"/>
          <w:b/>
          <w:color w:val="auto"/>
          <w:szCs w:val="21"/>
          <w:highlight w:val="none"/>
          <w:lang w:val="zh-CN"/>
        </w:rPr>
      </w:pPr>
      <w:r>
        <w:rPr>
          <w:rFonts w:hint="eastAsia" w:ascii="宋体" w:hAnsi="宋体" w:cs="宋体"/>
          <w:b/>
          <w:color w:val="auto"/>
          <w:szCs w:val="21"/>
          <w:highlight w:val="none"/>
          <w:lang w:val="zh-CN"/>
        </w:rPr>
        <w:br w:type="page"/>
      </w:r>
    </w:p>
    <w:p w14:paraId="43B52316">
      <w:pPr>
        <w:snapToGrid w:val="0"/>
        <w:spacing w:line="360" w:lineRule="auto"/>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目录六、技术条款偏离表格式</w:t>
      </w:r>
    </w:p>
    <w:p w14:paraId="12033276">
      <w:pPr>
        <w:autoSpaceDE w:val="0"/>
        <w:autoSpaceDN w:val="0"/>
        <w:adjustRightInd w:val="0"/>
        <w:spacing w:line="360" w:lineRule="auto"/>
        <w:jc w:val="center"/>
        <w:rPr>
          <w:rFonts w:ascii="宋体" w:hAnsi="宋体"/>
          <w:color w:val="auto"/>
          <w:sz w:val="36"/>
          <w:szCs w:val="36"/>
          <w:highlight w:val="none"/>
          <w:lang w:val="zh-CN"/>
        </w:rPr>
      </w:pPr>
      <w:r>
        <w:rPr>
          <w:rFonts w:hint="eastAsia" w:ascii="宋体" w:hAnsi="宋体"/>
          <w:color w:val="auto"/>
          <w:sz w:val="36"/>
          <w:szCs w:val="36"/>
          <w:highlight w:val="none"/>
          <w:lang w:val="zh-CN"/>
        </w:rPr>
        <w:t>技术条款偏离表</w:t>
      </w:r>
    </w:p>
    <w:tbl>
      <w:tblPr>
        <w:tblStyle w:val="43"/>
        <w:tblW w:w="9672" w:type="dxa"/>
        <w:jc w:val="center"/>
        <w:tblLayout w:type="fixed"/>
        <w:tblCellMar>
          <w:top w:w="0" w:type="dxa"/>
          <w:left w:w="0" w:type="dxa"/>
          <w:bottom w:w="0" w:type="dxa"/>
          <w:right w:w="0" w:type="dxa"/>
        </w:tblCellMar>
      </w:tblPr>
      <w:tblGrid>
        <w:gridCol w:w="701"/>
        <w:gridCol w:w="1921"/>
        <w:gridCol w:w="2700"/>
        <w:gridCol w:w="1411"/>
        <w:gridCol w:w="1829"/>
        <w:gridCol w:w="1110"/>
      </w:tblGrid>
      <w:tr w14:paraId="4006120B">
        <w:tblPrEx>
          <w:tblCellMar>
            <w:top w:w="0" w:type="dxa"/>
            <w:left w:w="0" w:type="dxa"/>
            <w:bottom w:w="0" w:type="dxa"/>
            <w:right w:w="0" w:type="dxa"/>
          </w:tblCellMar>
        </w:tblPrEx>
        <w:trPr>
          <w:trHeight w:val="510" w:hRule="atLeast"/>
          <w:jc w:val="center"/>
        </w:trPr>
        <w:tc>
          <w:tcPr>
            <w:tcW w:w="6733" w:type="dxa"/>
            <w:gridSpan w:val="4"/>
            <w:tcBorders>
              <w:top w:val="nil"/>
              <w:left w:val="nil"/>
              <w:bottom w:val="nil"/>
              <w:right w:val="nil"/>
            </w:tcBorders>
            <w:vAlign w:val="center"/>
          </w:tcPr>
          <w:p w14:paraId="7485F58D">
            <w:pPr>
              <w:adjustRightInd w:val="0"/>
              <w:jc w:val="left"/>
              <w:rPr>
                <w:rFonts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项目名称：</w:t>
            </w:r>
          </w:p>
        </w:tc>
        <w:tc>
          <w:tcPr>
            <w:tcW w:w="2939" w:type="dxa"/>
            <w:gridSpan w:val="2"/>
            <w:tcBorders>
              <w:top w:val="nil"/>
              <w:left w:val="nil"/>
              <w:bottom w:val="nil"/>
              <w:right w:val="nil"/>
            </w:tcBorders>
            <w:vAlign w:val="center"/>
          </w:tcPr>
          <w:p w14:paraId="48816EE1">
            <w:pPr>
              <w:adjustRightInd w:val="0"/>
              <w:jc w:val="left"/>
              <w:rPr>
                <w:rFonts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项目编号：</w:t>
            </w:r>
          </w:p>
        </w:tc>
      </w:tr>
      <w:tr w14:paraId="36C15934">
        <w:tblPrEx>
          <w:tblCellMar>
            <w:top w:w="0" w:type="dxa"/>
            <w:left w:w="0" w:type="dxa"/>
            <w:bottom w:w="0" w:type="dxa"/>
            <w:right w:w="0" w:type="dxa"/>
          </w:tblCellMar>
        </w:tblPrEx>
        <w:trPr>
          <w:trHeight w:val="510" w:hRule="atLeast"/>
          <w:jc w:val="center"/>
        </w:trPr>
        <w:tc>
          <w:tcPr>
            <w:tcW w:w="6733" w:type="dxa"/>
            <w:gridSpan w:val="4"/>
            <w:tcBorders>
              <w:top w:val="nil"/>
              <w:left w:val="nil"/>
              <w:bottom w:val="single" w:color="auto" w:sz="6" w:space="0"/>
              <w:right w:val="nil"/>
            </w:tcBorders>
            <w:vAlign w:val="center"/>
          </w:tcPr>
          <w:p w14:paraId="402B4816">
            <w:pPr>
              <w:adjustRightInd w:val="0"/>
              <w:jc w:val="lef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标段名称：</w:t>
            </w:r>
          </w:p>
        </w:tc>
        <w:tc>
          <w:tcPr>
            <w:tcW w:w="2939" w:type="dxa"/>
            <w:gridSpan w:val="2"/>
            <w:tcBorders>
              <w:top w:val="nil"/>
              <w:left w:val="nil"/>
              <w:bottom w:val="single" w:color="auto" w:sz="6" w:space="0"/>
              <w:right w:val="nil"/>
            </w:tcBorders>
            <w:vAlign w:val="center"/>
          </w:tcPr>
          <w:p w14:paraId="246C11BF">
            <w:pPr>
              <w:adjustRightInd w:val="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标段编号</w:t>
            </w:r>
          </w:p>
        </w:tc>
      </w:tr>
      <w:tr w14:paraId="0C50F4E0">
        <w:tblPrEx>
          <w:tblCellMar>
            <w:top w:w="0" w:type="dxa"/>
            <w:left w:w="0" w:type="dxa"/>
            <w:bottom w:w="0" w:type="dxa"/>
            <w:right w:w="0" w:type="dxa"/>
          </w:tblCellMar>
        </w:tblPrEx>
        <w:trPr>
          <w:trHeight w:val="510"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7418D3C6">
            <w:pPr>
              <w:adjustRightInd w:val="0"/>
              <w:jc w:val="center"/>
              <w:rPr>
                <w:rFonts w:asciiTheme="minorEastAsia" w:hAnsiTheme="minorEastAsia" w:cstheme="minorEastAsia"/>
                <w:b/>
                <w:color w:val="auto"/>
                <w:szCs w:val="21"/>
                <w:highlight w:val="none"/>
                <w:lang w:val="zh-CN"/>
              </w:rPr>
            </w:pPr>
            <w:r>
              <w:rPr>
                <w:rFonts w:hint="eastAsia" w:asciiTheme="minorEastAsia" w:hAnsiTheme="minorEastAsia" w:cstheme="minorEastAsia"/>
                <w:b/>
                <w:color w:val="auto"/>
                <w:szCs w:val="21"/>
                <w:highlight w:val="none"/>
                <w:lang w:val="zh-CN"/>
              </w:rPr>
              <w:t>序号</w:t>
            </w:r>
          </w:p>
        </w:tc>
        <w:tc>
          <w:tcPr>
            <w:tcW w:w="1921" w:type="dxa"/>
            <w:tcBorders>
              <w:top w:val="single" w:color="auto" w:sz="6" w:space="0"/>
              <w:left w:val="single" w:color="auto" w:sz="6" w:space="0"/>
              <w:bottom w:val="single" w:color="auto" w:sz="6" w:space="0"/>
              <w:right w:val="single" w:color="auto" w:sz="6" w:space="0"/>
            </w:tcBorders>
            <w:vAlign w:val="center"/>
          </w:tcPr>
          <w:p w14:paraId="6CD91628">
            <w:pPr>
              <w:adjustRightInd w:val="0"/>
              <w:jc w:val="center"/>
              <w:rPr>
                <w:rFonts w:asciiTheme="minorEastAsia" w:hAnsiTheme="minorEastAsia" w:cstheme="minorEastAsia"/>
                <w:b/>
                <w:color w:val="auto"/>
                <w:szCs w:val="21"/>
                <w:highlight w:val="none"/>
                <w:lang w:val="zh-CN"/>
              </w:rPr>
            </w:pPr>
            <w:r>
              <w:rPr>
                <w:rFonts w:hint="eastAsia" w:asciiTheme="minorEastAsia" w:hAnsiTheme="minorEastAsia" w:cstheme="minorEastAsia"/>
                <w:b/>
                <w:color w:val="auto"/>
                <w:szCs w:val="21"/>
                <w:highlight w:val="none"/>
                <w:lang w:val="zh-CN"/>
              </w:rPr>
              <w:t>招标文件条目号</w:t>
            </w:r>
          </w:p>
        </w:tc>
        <w:tc>
          <w:tcPr>
            <w:tcW w:w="2700" w:type="dxa"/>
            <w:tcBorders>
              <w:top w:val="single" w:color="auto" w:sz="6" w:space="0"/>
              <w:left w:val="single" w:color="auto" w:sz="6" w:space="0"/>
              <w:bottom w:val="single" w:color="auto" w:sz="6" w:space="0"/>
              <w:right w:val="single" w:color="auto" w:sz="6" w:space="0"/>
            </w:tcBorders>
            <w:vAlign w:val="center"/>
          </w:tcPr>
          <w:p w14:paraId="38FC07B5">
            <w:pPr>
              <w:adjustRightInd w:val="0"/>
              <w:jc w:val="center"/>
              <w:rPr>
                <w:rFonts w:asciiTheme="minorEastAsia" w:hAnsiTheme="minorEastAsia" w:cstheme="minorEastAsia"/>
                <w:b/>
                <w:color w:val="auto"/>
                <w:szCs w:val="21"/>
                <w:highlight w:val="none"/>
                <w:lang w:val="zh-CN"/>
              </w:rPr>
            </w:pPr>
            <w:r>
              <w:rPr>
                <w:rFonts w:hint="eastAsia" w:ascii="宋体" w:hAnsi="宋体" w:cs="宋体"/>
                <w:b/>
                <w:color w:val="auto"/>
                <w:szCs w:val="21"/>
                <w:highlight w:val="none"/>
                <w:lang w:val="zh-CN"/>
              </w:rPr>
              <w:t>招标文件要求的</w:t>
            </w:r>
            <w:r>
              <w:rPr>
                <w:rFonts w:hint="eastAsia" w:asciiTheme="minorEastAsia" w:hAnsiTheme="minorEastAsia" w:cstheme="minorEastAsia"/>
                <w:b/>
                <w:color w:val="auto"/>
                <w:szCs w:val="21"/>
                <w:highlight w:val="none"/>
                <w:lang w:val="zh-CN"/>
              </w:rPr>
              <w:t>技术</w:t>
            </w:r>
            <w:r>
              <w:rPr>
                <w:rFonts w:hint="eastAsia" w:asciiTheme="minorEastAsia" w:hAnsiTheme="minorEastAsia" w:cstheme="minorEastAsia"/>
                <w:b/>
                <w:color w:val="auto"/>
                <w:szCs w:val="21"/>
                <w:highlight w:val="none"/>
              </w:rPr>
              <w:t>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5A09A55">
            <w:pPr>
              <w:adjustRightInd w:val="0"/>
              <w:jc w:val="center"/>
              <w:rPr>
                <w:rFonts w:asciiTheme="minorEastAsia" w:hAnsiTheme="minorEastAsia" w:cstheme="minorEastAsia"/>
                <w:b/>
                <w:color w:val="auto"/>
                <w:szCs w:val="21"/>
                <w:highlight w:val="none"/>
                <w:lang w:val="zh-CN"/>
              </w:rPr>
            </w:pPr>
            <w:r>
              <w:rPr>
                <w:rFonts w:hint="eastAsia" w:asciiTheme="minorEastAsia" w:hAnsiTheme="minorEastAsia" w:cstheme="minorEastAsia"/>
                <w:b/>
                <w:color w:val="auto"/>
                <w:szCs w:val="21"/>
                <w:highlight w:val="none"/>
                <w:lang w:val="zh-CN"/>
              </w:rPr>
              <w:t>投标响应</w:t>
            </w:r>
          </w:p>
        </w:tc>
        <w:tc>
          <w:tcPr>
            <w:tcW w:w="1110" w:type="dxa"/>
            <w:tcBorders>
              <w:top w:val="single" w:color="auto" w:sz="6" w:space="0"/>
              <w:left w:val="single" w:color="auto" w:sz="6" w:space="0"/>
              <w:bottom w:val="single" w:color="auto" w:sz="6" w:space="0"/>
              <w:right w:val="single" w:color="auto" w:sz="6" w:space="0"/>
            </w:tcBorders>
            <w:vAlign w:val="center"/>
          </w:tcPr>
          <w:p w14:paraId="6FBE2557">
            <w:pPr>
              <w:adjustRightInd w:val="0"/>
              <w:jc w:val="center"/>
              <w:rPr>
                <w:rFonts w:asciiTheme="minorEastAsia" w:hAnsiTheme="minorEastAsia" w:cstheme="minorEastAsia"/>
                <w:b/>
                <w:color w:val="auto"/>
                <w:szCs w:val="21"/>
                <w:highlight w:val="none"/>
                <w:lang w:val="zh-CN"/>
              </w:rPr>
            </w:pPr>
            <w:r>
              <w:rPr>
                <w:rFonts w:hint="eastAsia" w:asciiTheme="minorEastAsia" w:hAnsiTheme="minorEastAsia" w:cstheme="minorEastAsia"/>
                <w:b/>
                <w:color w:val="auto"/>
                <w:szCs w:val="21"/>
                <w:highlight w:val="none"/>
                <w:lang w:val="zh-CN"/>
              </w:rPr>
              <w:t>偏离</w:t>
            </w:r>
          </w:p>
        </w:tc>
      </w:tr>
      <w:tr w14:paraId="5C4634E5">
        <w:tblPrEx>
          <w:tblCellMar>
            <w:top w:w="0" w:type="dxa"/>
            <w:left w:w="0" w:type="dxa"/>
            <w:bottom w:w="0" w:type="dxa"/>
            <w:right w:w="0" w:type="dxa"/>
          </w:tblCellMar>
        </w:tblPrEx>
        <w:trPr>
          <w:trHeight w:val="510"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091331BA">
            <w:pPr>
              <w:adjustRightInd w:val="0"/>
              <w:jc w:val="center"/>
              <w:rPr>
                <w:rFonts w:asciiTheme="minorEastAsia" w:hAnsiTheme="minorEastAsia" w:cstheme="minorEastAsia"/>
                <w:color w:val="auto"/>
                <w:szCs w:val="21"/>
                <w:highlight w:val="none"/>
                <w:lang w:val="zh-CN"/>
              </w:rPr>
            </w:pPr>
          </w:p>
        </w:tc>
        <w:tc>
          <w:tcPr>
            <w:tcW w:w="1921" w:type="dxa"/>
            <w:tcBorders>
              <w:top w:val="single" w:color="auto" w:sz="6" w:space="0"/>
              <w:left w:val="single" w:color="auto" w:sz="6" w:space="0"/>
              <w:bottom w:val="single" w:color="auto" w:sz="6" w:space="0"/>
              <w:right w:val="single" w:color="auto" w:sz="6" w:space="0"/>
            </w:tcBorders>
            <w:vAlign w:val="center"/>
          </w:tcPr>
          <w:p w14:paraId="62523331">
            <w:pPr>
              <w:adjustRightInd w:val="0"/>
              <w:jc w:val="center"/>
              <w:rPr>
                <w:rFonts w:asciiTheme="minorEastAsia" w:hAnsiTheme="minorEastAsia" w:cstheme="minorEastAsia"/>
                <w:color w:val="auto"/>
                <w:szCs w:val="21"/>
                <w:highlight w:val="none"/>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214B858F">
            <w:pPr>
              <w:adjustRightInd w:val="0"/>
              <w:jc w:val="center"/>
              <w:rPr>
                <w:rFonts w:asciiTheme="minorEastAsia" w:hAnsiTheme="minorEastAsia" w:cstheme="minorEastAsia"/>
                <w:color w:val="auto"/>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4B220DB">
            <w:pPr>
              <w:adjustRightInd w:val="0"/>
              <w:jc w:val="center"/>
              <w:rPr>
                <w:rFonts w:asciiTheme="minorEastAsia" w:hAnsiTheme="minorEastAsia" w:cstheme="minorEastAsia"/>
                <w:color w:val="auto"/>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9313277">
            <w:pPr>
              <w:adjustRightInd w:val="0"/>
              <w:jc w:val="center"/>
              <w:rPr>
                <w:rFonts w:asciiTheme="minorEastAsia" w:hAnsiTheme="minorEastAsia" w:cstheme="minorEastAsia"/>
                <w:color w:val="auto"/>
                <w:szCs w:val="21"/>
                <w:highlight w:val="none"/>
                <w:lang w:val="zh-CN"/>
              </w:rPr>
            </w:pPr>
          </w:p>
        </w:tc>
      </w:tr>
      <w:tr w14:paraId="6CF5EB8D">
        <w:tblPrEx>
          <w:tblCellMar>
            <w:top w:w="0" w:type="dxa"/>
            <w:left w:w="0" w:type="dxa"/>
            <w:bottom w:w="0" w:type="dxa"/>
            <w:right w:w="0" w:type="dxa"/>
          </w:tblCellMar>
        </w:tblPrEx>
        <w:trPr>
          <w:trHeight w:val="510"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01869ED2">
            <w:pPr>
              <w:adjustRightInd w:val="0"/>
              <w:jc w:val="center"/>
              <w:rPr>
                <w:rFonts w:asciiTheme="minorEastAsia" w:hAnsiTheme="minorEastAsia" w:cstheme="minorEastAsia"/>
                <w:color w:val="auto"/>
                <w:szCs w:val="21"/>
                <w:highlight w:val="none"/>
                <w:lang w:val="zh-CN"/>
              </w:rPr>
            </w:pPr>
          </w:p>
        </w:tc>
        <w:tc>
          <w:tcPr>
            <w:tcW w:w="1921" w:type="dxa"/>
            <w:tcBorders>
              <w:top w:val="single" w:color="auto" w:sz="6" w:space="0"/>
              <w:left w:val="single" w:color="auto" w:sz="6" w:space="0"/>
              <w:bottom w:val="single" w:color="auto" w:sz="6" w:space="0"/>
              <w:right w:val="single" w:color="auto" w:sz="6" w:space="0"/>
            </w:tcBorders>
            <w:vAlign w:val="center"/>
          </w:tcPr>
          <w:p w14:paraId="3698469D">
            <w:pPr>
              <w:adjustRightInd w:val="0"/>
              <w:jc w:val="center"/>
              <w:rPr>
                <w:rFonts w:asciiTheme="minorEastAsia" w:hAnsiTheme="minorEastAsia" w:cstheme="minorEastAsia"/>
                <w:color w:val="auto"/>
                <w:szCs w:val="21"/>
                <w:highlight w:val="none"/>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54506BD0">
            <w:pPr>
              <w:adjustRightInd w:val="0"/>
              <w:jc w:val="center"/>
              <w:rPr>
                <w:rFonts w:asciiTheme="minorEastAsia" w:hAnsiTheme="minorEastAsia" w:cstheme="minorEastAsia"/>
                <w:color w:val="auto"/>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92DD878">
            <w:pPr>
              <w:adjustRightInd w:val="0"/>
              <w:jc w:val="center"/>
              <w:rPr>
                <w:rFonts w:asciiTheme="minorEastAsia" w:hAnsiTheme="minorEastAsia" w:cstheme="minorEastAsia"/>
                <w:color w:val="auto"/>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019453F9">
            <w:pPr>
              <w:adjustRightInd w:val="0"/>
              <w:jc w:val="center"/>
              <w:rPr>
                <w:rFonts w:asciiTheme="minorEastAsia" w:hAnsiTheme="minorEastAsia" w:cstheme="minorEastAsia"/>
                <w:color w:val="auto"/>
                <w:szCs w:val="21"/>
                <w:highlight w:val="none"/>
                <w:lang w:val="zh-CN"/>
              </w:rPr>
            </w:pPr>
          </w:p>
        </w:tc>
      </w:tr>
      <w:tr w14:paraId="664A4CF5">
        <w:tblPrEx>
          <w:tblCellMar>
            <w:top w:w="0" w:type="dxa"/>
            <w:left w:w="0" w:type="dxa"/>
            <w:bottom w:w="0" w:type="dxa"/>
            <w:right w:w="0" w:type="dxa"/>
          </w:tblCellMar>
        </w:tblPrEx>
        <w:trPr>
          <w:trHeight w:val="510"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675200BD">
            <w:pPr>
              <w:adjustRightInd w:val="0"/>
              <w:jc w:val="center"/>
              <w:rPr>
                <w:rFonts w:asciiTheme="minorEastAsia" w:hAnsiTheme="minorEastAsia" w:cstheme="minorEastAsia"/>
                <w:color w:val="auto"/>
                <w:szCs w:val="21"/>
                <w:highlight w:val="none"/>
                <w:lang w:val="zh-CN"/>
              </w:rPr>
            </w:pPr>
          </w:p>
        </w:tc>
        <w:tc>
          <w:tcPr>
            <w:tcW w:w="1921" w:type="dxa"/>
            <w:tcBorders>
              <w:top w:val="single" w:color="auto" w:sz="6" w:space="0"/>
              <w:left w:val="single" w:color="auto" w:sz="6" w:space="0"/>
              <w:bottom w:val="single" w:color="auto" w:sz="6" w:space="0"/>
              <w:right w:val="single" w:color="auto" w:sz="6" w:space="0"/>
            </w:tcBorders>
            <w:vAlign w:val="center"/>
          </w:tcPr>
          <w:p w14:paraId="09F51F7B">
            <w:pPr>
              <w:adjustRightInd w:val="0"/>
              <w:jc w:val="center"/>
              <w:rPr>
                <w:rFonts w:asciiTheme="minorEastAsia" w:hAnsiTheme="minorEastAsia" w:cstheme="minorEastAsia"/>
                <w:color w:val="auto"/>
                <w:szCs w:val="21"/>
                <w:highlight w:val="none"/>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26064201">
            <w:pPr>
              <w:adjustRightInd w:val="0"/>
              <w:jc w:val="center"/>
              <w:rPr>
                <w:rFonts w:asciiTheme="minorEastAsia" w:hAnsiTheme="minorEastAsia" w:cstheme="minorEastAsia"/>
                <w:color w:val="auto"/>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D6E84A0">
            <w:pPr>
              <w:adjustRightInd w:val="0"/>
              <w:jc w:val="center"/>
              <w:rPr>
                <w:rFonts w:asciiTheme="minorEastAsia" w:hAnsiTheme="minorEastAsia" w:cstheme="minorEastAsia"/>
                <w:color w:val="auto"/>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8367453">
            <w:pPr>
              <w:adjustRightInd w:val="0"/>
              <w:jc w:val="center"/>
              <w:rPr>
                <w:rFonts w:asciiTheme="minorEastAsia" w:hAnsiTheme="minorEastAsia" w:cstheme="minorEastAsia"/>
                <w:color w:val="auto"/>
                <w:szCs w:val="21"/>
                <w:highlight w:val="none"/>
                <w:lang w:val="zh-CN"/>
              </w:rPr>
            </w:pPr>
          </w:p>
        </w:tc>
      </w:tr>
      <w:tr w14:paraId="31AD8B95">
        <w:tblPrEx>
          <w:tblCellMar>
            <w:top w:w="0" w:type="dxa"/>
            <w:left w:w="0" w:type="dxa"/>
            <w:bottom w:w="0" w:type="dxa"/>
            <w:right w:w="0" w:type="dxa"/>
          </w:tblCellMar>
        </w:tblPrEx>
        <w:trPr>
          <w:trHeight w:val="510"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39B8FBFF">
            <w:pPr>
              <w:adjustRightInd w:val="0"/>
              <w:jc w:val="center"/>
              <w:rPr>
                <w:rFonts w:asciiTheme="minorEastAsia" w:hAnsiTheme="minorEastAsia" w:cstheme="minorEastAsia"/>
                <w:color w:val="auto"/>
                <w:szCs w:val="21"/>
                <w:highlight w:val="none"/>
                <w:lang w:val="zh-CN"/>
              </w:rPr>
            </w:pPr>
          </w:p>
        </w:tc>
        <w:tc>
          <w:tcPr>
            <w:tcW w:w="1921" w:type="dxa"/>
            <w:tcBorders>
              <w:top w:val="single" w:color="auto" w:sz="6" w:space="0"/>
              <w:left w:val="single" w:color="auto" w:sz="6" w:space="0"/>
              <w:bottom w:val="single" w:color="auto" w:sz="6" w:space="0"/>
              <w:right w:val="single" w:color="auto" w:sz="6" w:space="0"/>
            </w:tcBorders>
            <w:vAlign w:val="center"/>
          </w:tcPr>
          <w:p w14:paraId="3758C17B">
            <w:pPr>
              <w:adjustRightInd w:val="0"/>
              <w:jc w:val="center"/>
              <w:rPr>
                <w:rFonts w:asciiTheme="minorEastAsia" w:hAnsiTheme="minorEastAsia" w:cstheme="minorEastAsia"/>
                <w:color w:val="auto"/>
                <w:szCs w:val="21"/>
                <w:highlight w:val="none"/>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011EEC08">
            <w:pPr>
              <w:adjustRightInd w:val="0"/>
              <w:jc w:val="center"/>
              <w:rPr>
                <w:rFonts w:asciiTheme="minorEastAsia" w:hAnsiTheme="minorEastAsia" w:cstheme="minorEastAsia"/>
                <w:color w:val="auto"/>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552F90E">
            <w:pPr>
              <w:adjustRightInd w:val="0"/>
              <w:jc w:val="center"/>
              <w:rPr>
                <w:rFonts w:asciiTheme="minorEastAsia" w:hAnsiTheme="minorEastAsia" w:cstheme="minorEastAsia"/>
                <w:color w:val="auto"/>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C281E59">
            <w:pPr>
              <w:adjustRightInd w:val="0"/>
              <w:jc w:val="center"/>
              <w:rPr>
                <w:rFonts w:asciiTheme="minorEastAsia" w:hAnsiTheme="minorEastAsia" w:cstheme="minorEastAsia"/>
                <w:color w:val="auto"/>
                <w:szCs w:val="21"/>
                <w:highlight w:val="none"/>
                <w:lang w:val="zh-CN"/>
              </w:rPr>
            </w:pPr>
          </w:p>
        </w:tc>
      </w:tr>
      <w:tr w14:paraId="28E72EC5">
        <w:tblPrEx>
          <w:tblCellMar>
            <w:top w:w="0" w:type="dxa"/>
            <w:left w:w="0" w:type="dxa"/>
            <w:bottom w:w="0" w:type="dxa"/>
            <w:right w:w="0" w:type="dxa"/>
          </w:tblCellMar>
        </w:tblPrEx>
        <w:trPr>
          <w:trHeight w:val="510"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522FEC48">
            <w:pPr>
              <w:adjustRightInd w:val="0"/>
              <w:jc w:val="center"/>
              <w:rPr>
                <w:rFonts w:asciiTheme="minorEastAsia" w:hAnsiTheme="minorEastAsia" w:cstheme="minorEastAsia"/>
                <w:color w:val="auto"/>
                <w:szCs w:val="21"/>
                <w:highlight w:val="none"/>
                <w:lang w:val="zh-CN"/>
              </w:rPr>
            </w:pPr>
          </w:p>
        </w:tc>
        <w:tc>
          <w:tcPr>
            <w:tcW w:w="1921" w:type="dxa"/>
            <w:tcBorders>
              <w:top w:val="single" w:color="auto" w:sz="6" w:space="0"/>
              <w:left w:val="single" w:color="auto" w:sz="6" w:space="0"/>
              <w:bottom w:val="single" w:color="auto" w:sz="6" w:space="0"/>
              <w:right w:val="single" w:color="auto" w:sz="6" w:space="0"/>
            </w:tcBorders>
            <w:vAlign w:val="center"/>
          </w:tcPr>
          <w:p w14:paraId="106A2D19">
            <w:pPr>
              <w:adjustRightInd w:val="0"/>
              <w:jc w:val="center"/>
              <w:rPr>
                <w:rFonts w:asciiTheme="minorEastAsia" w:hAnsiTheme="minorEastAsia" w:cstheme="minorEastAsia"/>
                <w:color w:val="auto"/>
                <w:szCs w:val="21"/>
                <w:highlight w:val="none"/>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7901F8A">
            <w:pPr>
              <w:adjustRightInd w:val="0"/>
              <w:jc w:val="center"/>
              <w:rPr>
                <w:rFonts w:asciiTheme="minorEastAsia" w:hAnsiTheme="minorEastAsia" w:cstheme="minorEastAsia"/>
                <w:color w:val="auto"/>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C12FB12">
            <w:pPr>
              <w:adjustRightInd w:val="0"/>
              <w:jc w:val="center"/>
              <w:rPr>
                <w:rFonts w:asciiTheme="minorEastAsia" w:hAnsiTheme="minorEastAsia" w:cstheme="minorEastAsia"/>
                <w:color w:val="auto"/>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2FC87564">
            <w:pPr>
              <w:adjustRightInd w:val="0"/>
              <w:jc w:val="center"/>
              <w:rPr>
                <w:rFonts w:asciiTheme="minorEastAsia" w:hAnsiTheme="minorEastAsia" w:cstheme="minorEastAsia"/>
                <w:color w:val="auto"/>
                <w:szCs w:val="21"/>
                <w:highlight w:val="none"/>
                <w:lang w:val="zh-CN"/>
              </w:rPr>
            </w:pPr>
          </w:p>
        </w:tc>
      </w:tr>
      <w:tr w14:paraId="68DE4A70">
        <w:tblPrEx>
          <w:tblCellMar>
            <w:top w:w="0" w:type="dxa"/>
            <w:left w:w="0" w:type="dxa"/>
            <w:bottom w:w="0" w:type="dxa"/>
            <w:right w:w="0" w:type="dxa"/>
          </w:tblCellMar>
        </w:tblPrEx>
        <w:trPr>
          <w:trHeight w:val="510"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05F490D6">
            <w:pPr>
              <w:adjustRightInd w:val="0"/>
              <w:jc w:val="center"/>
              <w:rPr>
                <w:rFonts w:asciiTheme="minorEastAsia" w:hAnsiTheme="minorEastAsia" w:cstheme="minorEastAsia"/>
                <w:color w:val="auto"/>
                <w:szCs w:val="21"/>
                <w:highlight w:val="none"/>
                <w:lang w:val="zh-CN"/>
              </w:rPr>
            </w:pPr>
          </w:p>
        </w:tc>
        <w:tc>
          <w:tcPr>
            <w:tcW w:w="1921" w:type="dxa"/>
            <w:tcBorders>
              <w:top w:val="single" w:color="auto" w:sz="6" w:space="0"/>
              <w:left w:val="single" w:color="auto" w:sz="6" w:space="0"/>
              <w:bottom w:val="single" w:color="auto" w:sz="6" w:space="0"/>
              <w:right w:val="single" w:color="auto" w:sz="6" w:space="0"/>
            </w:tcBorders>
            <w:vAlign w:val="center"/>
          </w:tcPr>
          <w:p w14:paraId="01A3C4A2">
            <w:pPr>
              <w:adjustRightInd w:val="0"/>
              <w:jc w:val="center"/>
              <w:rPr>
                <w:rFonts w:asciiTheme="minorEastAsia" w:hAnsiTheme="minorEastAsia" w:cstheme="minorEastAsia"/>
                <w:color w:val="auto"/>
                <w:szCs w:val="21"/>
                <w:highlight w:val="none"/>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48E3E5E0">
            <w:pPr>
              <w:adjustRightInd w:val="0"/>
              <w:jc w:val="center"/>
              <w:rPr>
                <w:rFonts w:asciiTheme="minorEastAsia" w:hAnsiTheme="minorEastAsia" w:cstheme="minorEastAsia"/>
                <w:color w:val="auto"/>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734CE1B">
            <w:pPr>
              <w:adjustRightInd w:val="0"/>
              <w:jc w:val="center"/>
              <w:rPr>
                <w:rFonts w:asciiTheme="minorEastAsia" w:hAnsiTheme="minorEastAsia" w:cstheme="minorEastAsia"/>
                <w:color w:val="auto"/>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7111245E">
            <w:pPr>
              <w:adjustRightInd w:val="0"/>
              <w:jc w:val="center"/>
              <w:rPr>
                <w:rFonts w:asciiTheme="minorEastAsia" w:hAnsiTheme="minorEastAsia" w:cstheme="minorEastAsia"/>
                <w:color w:val="auto"/>
                <w:szCs w:val="21"/>
                <w:highlight w:val="none"/>
                <w:lang w:val="zh-CN"/>
              </w:rPr>
            </w:pPr>
          </w:p>
        </w:tc>
      </w:tr>
    </w:tbl>
    <w:p w14:paraId="2A67C315">
      <w:pPr>
        <w:adjustRightInd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投标人名称：（盖章）</w:t>
      </w:r>
    </w:p>
    <w:p w14:paraId="0A9A7020">
      <w:pPr>
        <w:widowControl/>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说明：</w:t>
      </w:r>
    </w:p>
    <w:p w14:paraId="541322AB">
      <w:pPr>
        <w:widowControl/>
        <w:spacing w:line="360" w:lineRule="auto"/>
        <w:ind w:firstLine="420" w:firstLineChars="200"/>
        <w:jc w:val="left"/>
        <w:rPr>
          <w:rFonts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rPr>
        <w:t>1</w:t>
      </w:r>
      <w:r>
        <w:rPr>
          <w:rFonts w:hint="eastAsia" w:asciiTheme="minorEastAsia" w:hAnsiTheme="minorEastAsia" w:cstheme="minorEastAsia"/>
          <w:color w:val="auto"/>
          <w:szCs w:val="21"/>
          <w:highlight w:val="none"/>
          <w:lang w:val="zh-CN"/>
        </w:rPr>
        <w:t>、如果行数不够，请自行增加；</w:t>
      </w:r>
    </w:p>
    <w:p w14:paraId="24F80398">
      <w:pPr>
        <w:widowControl/>
        <w:spacing w:line="360" w:lineRule="auto"/>
        <w:ind w:firstLine="420" w:firstLineChars="200"/>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2、无偏离指投标人的响应等于招标文件要求，正偏离指投标人的响应高于招标文件要求，负偏离指投标人的响应低于招标文件要求。</w:t>
      </w:r>
    </w:p>
    <w:p w14:paraId="5A8CA16A">
      <w:pPr>
        <w:widowControl/>
        <w:spacing w:line="360" w:lineRule="auto"/>
        <w:ind w:firstLine="420" w:firstLineChars="200"/>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3、投标响应作为投标文件重要的组成部分，不应通过简单拷贝或简单标注“符合”“满足”。</w:t>
      </w:r>
    </w:p>
    <w:p w14:paraId="12A0AB31">
      <w:pPr>
        <w:rPr>
          <w:rFonts w:ascii="宋体" w:hAnsi="宋体" w:cs="宋体"/>
          <w:b/>
          <w:color w:val="auto"/>
          <w:szCs w:val="21"/>
          <w:highlight w:val="none"/>
          <w:lang w:val="zh-CN"/>
        </w:rPr>
      </w:pPr>
      <w:r>
        <w:rPr>
          <w:rFonts w:hint="eastAsia" w:ascii="宋体" w:hAnsi="宋体" w:cs="宋体"/>
          <w:b/>
          <w:color w:val="auto"/>
          <w:szCs w:val="21"/>
          <w:highlight w:val="none"/>
          <w:lang w:val="zh-CN"/>
        </w:rPr>
        <w:br w:type="page"/>
      </w:r>
    </w:p>
    <w:p w14:paraId="018B9BF1">
      <w:pPr>
        <w:adjustRightInd w:val="0"/>
        <w:spacing w:line="360" w:lineRule="auto"/>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目录七、商务条款偏离表格式</w:t>
      </w:r>
    </w:p>
    <w:p w14:paraId="565C1CD0">
      <w:pPr>
        <w:autoSpaceDE w:val="0"/>
        <w:autoSpaceDN w:val="0"/>
        <w:adjustRightInd w:val="0"/>
        <w:spacing w:line="360" w:lineRule="auto"/>
        <w:jc w:val="center"/>
        <w:rPr>
          <w:rFonts w:ascii="宋体" w:hAnsi="宋体"/>
          <w:color w:val="auto"/>
          <w:sz w:val="36"/>
          <w:szCs w:val="36"/>
          <w:highlight w:val="none"/>
          <w:lang w:val="zh-CN"/>
        </w:rPr>
      </w:pPr>
      <w:r>
        <w:rPr>
          <w:rFonts w:hint="eastAsia" w:ascii="宋体" w:hAnsi="宋体"/>
          <w:color w:val="auto"/>
          <w:sz w:val="36"/>
          <w:szCs w:val="36"/>
          <w:highlight w:val="none"/>
          <w:lang w:val="zh-CN"/>
        </w:rPr>
        <w:t>商务条款偏离表</w:t>
      </w:r>
    </w:p>
    <w:tbl>
      <w:tblPr>
        <w:tblStyle w:val="43"/>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5"/>
        <w:gridCol w:w="1886"/>
        <w:gridCol w:w="2933"/>
        <w:gridCol w:w="1069"/>
        <w:gridCol w:w="1571"/>
        <w:gridCol w:w="1368"/>
        <w:gridCol w:w="4"/>
      </w:tblGrid>
      <w:tr w14:paraId="05F0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733" w:type="dxa"/>
            <w:gridSpan w:val="4"/>
            <w:tcBorders>
              <w:top w:val="nil"/>
              <w:left w:val="nil"/>
              <w:bottom w:val="nil"/>
              <w:right w:val="nil"/>
            </w:tcBorders>
            <w:vAlign w:val="center"/>
          </w:tcPr>
          <w:p w14:paraId="76CD52A2">
            <w:pPr>
              <w:adjustRightInd w:val="0"/>
              <w:jc w:val="left"/>
              <w:rPr>
                <w:rFonts w:ascii="宋体" w:hAnsi="宋体" w:cs="宋体"/>
                <w:color w:val="auto"/>
                <w:szCs w:val="21"/>
                <w:highlight w:val="none"/>
                <w:lang w:val="zh-CN"/>
              </w:rPr>
            </w:pPr>
            <w:r>
              <w:rPr>
                <w:rFonts w:hint="eastAsia" w:ascii="宋体" w:hAnsi="宋体" w:cs="宋体"/>
                <w:color w:val="auto"/>
                <w:szCs w:val="21"/>
                <w:highlight w:val="none"/>
                <w:lang w:val="zh-CN"/>
              </w:rPr>
              <w:t>项目名称：</w:t>
            </w:r>
          </w:p>
        </w:tc>
        <w:tc>
          <w:tcPr>
            <w:tcW w:w="2943" w:type="dxa"/>
            <w:gridSpan w:val="3"/>
            <w:tcBorders>
              <w:top w:val="nil"/>
              <w:left w:val="nil"/>
              <w:bottom w:val="nil"/>
              <w:right w:val="nil"/>
            </w:tcBorders>
            <w:vAlign w:val="center"/>
          </w:tcPr>
          <w:p w14:paraId="02F11C66">
            <w:pPr>
              <w:adjustRightInd w:val="0"/>
              <w:jc w:val="left"/>
              <w:rPr>
                <w:rFonts w:ascii="宋体" w:hAnsi="宋体" w:cs="宋体"/>
                <w:color w:val="auto"/>
                <w:szCs w:val="21"/>
                <w:highlight w:val="none"/>
                <w:lang w:val="zh-CN"/>
              </w:rPr>
            </w:pPr>
            <w:r>
              <w:rPr>
                <w:rFonts w:hint="eastAsia" w:ascii="宋体" w:hAnsi="宋体" w:cs="宋体"/>
                <w:color w:val="auto"/>
                <w:szCs w:val="21"/>
                <w:highlight w:val="none"/>
                <w:lang w:val="zh-CN"/>
              </w:rPr>
              <w:t>项目编号：</w:t>
            </w:r>
          </w:p>
        </w:tc>
      </w:tr>
      <w:tr w14:paraId="51D6BA0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4" w:type="dxa"/>
          <w:trHeight w:val="510" w:hRule="atLeast"/>
          <w:jc w:val="center"/>
        </w:trPr>
        <w:tc>
          <w:tcPr>
            <w:tcW w:w="6733" w:type="dxa"/>
            <w:gridSpan w:val="4"/>
            <w:tcBorders>
              <w:top w:val="nil"/>
              <w:left w:val="nil"/>
              <w:bottom w:val="single" w:color="auto" w:sz="6" w:space="0"/>
              <w:right w:val="nil"/>
            </w:tcBorders>
            <w:vAlign w:val="center"/>
          </w:tcPr>
          <w:p w14:paraId="569D3085">
            <w:pPr>
              <w:adjustRightInd w:val="0"/>
              <w:jc w:val="lef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标段名称：</w:t>
            </w:r>
          </w:p>
        </w:tc>
        <w:tc>
          <w:tcPr>
            <w:tcW w:w="2939" w:type="dxa"/>
            <w:gridSpan w:val="2"/>
            <w:tcBorders>
              <w:top w:val="nil"/>
              <w:left w:val="nil"/>
              <w:bottom w:val="single" w:color="auto" w:sz="6" w:space="0"/>
              <w:right w:val="nil"/>
            </w:tcBorders>
            <w:vAlign w:val="center"/>
          </w:tcPr>
          <w:p w14:paraId="3765C344">
            <w:pPr>
              <w:adjustRightInd w:val="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标段编号</w:t>
            </w:r>
          </w:p>
        </w:tc>
      </w:tr>
      <w:tr w14:paraId="7F2C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5" w:type="dxa"/>
            <w:vAlign w:val="center"/>
          </w:tcPr>
          <w:p w14:paraId="0D85DAA1">
            <w:pPr>
              <w:adjustRightInd w:val="0"/>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序号</w:t>
            </w:r>
          </w:p>
        </w:tc>
        <w:tc>
          <w:tcPr>
            <w:tcW w:w="1886" w:type="dxa"/>
            <w:vAlign w:val="center"/>
          </w:tcPr>
          <w:p w14:paraId="05693208">
            <w:pPr>
              <w:adjustRightInd w:val="0"/>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招标文件条目号</w:t>
            </w:r>
          </w:p>
        </w:tc>
        <w:tc>
          <w:tcPr>
            <w:tcW w:w="2933" w:type="dxa"/>
            <w:vAlign w:val="center"/>
          </w:tcPr>
          <w:p w14:paraId="2C29368C">
            <w:pPr>
              <w:adjustRightInd w:val="0"/>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招标文件要求的商务条款</w:t>
            </w:r>
          </w:p>
        </w:tc>
        <w:tc>
          <w:tcPr>
            <w:tcW w:w="2640" w:type="dxa"/>
            <w:gridSpan w:val="2"/>
            <w:vAlign w:val="center"/>
          </w:tcPr>
          <w:p w14:paraId="5B86EC6F">
            <w:pPr>
              <w:adjustRightInd w:val="0"/>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投标响应</w:t>
            </w:r>
          </w:p>
        </w:tc>
        <w:tc>
          <w:tcPr>
            <w:tcW w:w="1372" w:type="dxa"/>
            <w:gridSpan w:val="2"/>
            <w:vAlign w:val="center"/>
          </w:tcPr>
          <w:p w14:paraId="581C73E9">
            <w:pPr>
              <w:adjustRightInd w:val="0"/>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偏离</w:t>
            </w:r>
          </w:p>
        </w:tc>
      </w:tr>
      <w:tr w14:paraId="2CA0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5" w:type="dxa"/>
            <w:vAlign w:val="center"/>
          </w:tcPr>
          <w:p w14:paraId="776A258C">
            <w:pPr>
              <w:adjustRightInd w:val="0"/>
              <w:jc w:val="center"/>
              <w:rPr>
                <w:rFonts w:ascii="宋体" w:hAnsi="宋体" w:cs="宋体"/>
                <w:color w:val="auto"/>
                <w:szCs w:val="21"/>
                <w:highlight w:val="none"/>
                <w:lang w:val="zh-CN"/>
              </w:rPr>
            </w:pPr>
          </w:p>
        </w:tc>
        <w:tc>
          <w:tcPr>
            <w:tcW w:w="1886" w:type="dxa"/>
            <w:vAlign w:val="center"/>
          </w:tcPr>
          <w:p w14:paraId="399430FC">
            <w:pPr>
              <w:adjustRightInd w:val="0"/>
              <w:jc w:val="center"/>
              <w:rPr>
                <w:rFonts w:ascii="宋体" w:hAnsi="宋体" w:cs="宋体"/>
                <w:color w:val="auto"/>
                <w:szCs w:val="21"/>
                <w:highlight w:val="none"/>
                <w:lang w:val="zh-CN"/>
              </w:rPr>
            </w:pPr>
          </w:p>
        </w:tc>
        <w:tc>
          <w:tcPr>
            <w:tcW w:w="2933" w:type="dxa"/>
            <w:vAlign w:val="center"/>
          </w:tcPr>
          <w:p w14:paraId="2A4020A2">
            <w:pPr>
              <w:adjustRightInd w:val="0"/>
              <w:jc w:val="center"/>
              <w:rPr>
                <w:rFonts w:ascii="宋体" w:hAnsi="宋体" w:cs="宋体"/>
                <w:color w:val="auto"/>
                <w:szCs w:val="21"/>
                <w:highlight w:val="none"/>
                <w:lang w:val="zh-CN"/>
              </w:rPr>
            </w:pPr>
          </w:p>
        </w:tc>
        <w:tc>
          <w:tcPr>
            <w:tcW w:w="2640" w:type="dxa"/>
            <w:gridSpan w:val="2"/>
            <w:vAlign w:val="center"/>
          </w:tcPr>
          <w:p w14:paraId="41D61291">
            <w:pPr>
              <w:adjustRightInd w:val="0"/>
              <w:jc w:val="center"/>
              <w:rPr>
                <w:rFonts w:ascii="宋体" w:hAnsi="宋体" w:cs="宋体"/>
                <w:color w:val="auto"/>
                <w:szCs w:val="21"/>
                <w:highlight w:val="none"/>
                <w:lang w:val="zh-CN"/>
              </w:rPr>
            </w:pPr>
          </w:p>
        </w:tc>
        <w:tc>
          <w:tcPr>
            <w:tcW w:w="1372" w:type="dxa"/>
            <w:gridSpan w:val="2"/>
            <w:vAlign w:val="center"/>
          </w:tcPr>
          <w:p w14:paraId="66CA9304">
            <w:pPr>
              <w:adjustRightInd w:val="0"/>
              <w:jc w:val="center"/>
              <w:rPr>
                <w:rFonts w:ascii="宋体" w:hAnsi="宋体" w:cs="宋体"/>
                <w:color w:val="auto"/>
                <w:szCs w:val="21"/>
                <w:highlight w:val="none"/>
                <w:lang w:val="zh-CN"/>
              </w:rPr>
            </w:pPr>
          </w:p>
        </w:tc>
      </w:tr>
      <w:tr w14:paraId="78FC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5" w:type="dxa"/>
            <w:vAlign w:val="center"/>
          </w:tcPr>
          <w:p w14:paraId="0CD71EE9">
            <w:pPr>
              <w:adjustRightInd w:val="0"/>
              <w:jc w:val="center"/>
              <w:rPr>
                <w:rFonts w:ascii="宋体" w:hAnsi="宋体" w:cs="宋体"/>
                <w:color w:val="auto"/>
                <w:szCs w:val="21"/>
                <w:highlight w:val="none"/>
                <w:lang w:val="zh-CN"/>
              </w:rPr>
            </w:pPr>
          </w:p>
        </w:tc>
        <w:tc>
          <w:tcPr>
            <w:tcW w:w="1886" w:type="dxa"/>
            <w:vAlign w:val="center"/>
          </w:tcPr>
          <w:p w14:paraId="266AA1F2">
            <w:pPr>
              <w:adjustRightInd w:val="0"/>
              <w:jc w:val="center"/>
              <w:rPr>
                <w:rFonts w:ascii="宋体" w:hAnsi="宋体" w:cs="宋体"/>
                <w:color w:val="auto"/>
                <w:szCs w:val="21"/>
                <w:highlight w:val="none"/>
                <w:lang w:val="zh-CN"/>
              </w:rPr>
            </w:pPr>
          </w:p>
        </w:tc>
        <w:tc>
          <w:tcPr>
            <w:tcW w:w="2933" w:type="dxa"/>
            <w:vAlign w:val="center"/>
          </w:tcPr>
          <w:p w14:paraId="2DCB5C6D">
            <w:pPr>
              <w:adjustRightInd w:val="0"/>
              <w:jc w:val="center"/>
              <w:rPr>
                <w:rFonts w:ascii="宋体" w:hAnsi="宋体" w:cs="宋体"/>
                <w:color w:val="auto"/>
                <w:szCs w:val="21"/>
                <w:highlight w:val="none"/>
                <w:lang w:val="zh-CN"/>
              </w:rPr>
            </w:pPr>
          </w:p>
        </w:tc>
        <w:tc>
          <w:tcPr>
            <w:tcW w:w="2640" w:type="dxa"/>
            <w:gridSpan w:val="2"/>
            <w:vAlign w:val="center"/>
          </w:tcPr>
          <w:p w14:paraId="3AF238EB">
            <w:pPr>
              <w:adjustRightInd w:val="0"/>
              <w:jc w:val="center"/>
              <w:rPr>
                <w:rFonts w:ascii="宋体" w:hAnsi="宋体" w:cs="宋体"/>
                <w:color w:val="auto"/>
                <w:szCs w:val="21"/>
                <w:highlight w:val="none"/>
                <w:lang w:val="zh-CN"/>
              </w:rPr>
            </w:pPr>
          </w:p>
        </w:tc>
        <w:tc>
          <w:tcPr>
            <w:tcW w:w="1372" w:type="dxa"/>
            <w:gridSpan w:val="2"/>
            <w:vAlign w:val="center"/>
          </w:tcPr>
          <w:p w14:paraId="1ADCE4BE">
            <w:pPr>
              <w:adjustRightInd w:val="0"/>
              <w:jc w:val="center"/>
              <w:rPr>
                <w:rFonts w:ascii="宋体" w:hAnsi="宋体" w:cs="宋体"/>
                <w:color w:val="auto"/>
                <w:szCs w:val="21"/>
                <w:highlight w:val="none"/>
                <w:lang w:val="zh-CN"/>
              </w:rPr>
            </w:pPr>
          </w:p>
        </w:tc>
      </w:tr>
      <w:tr w14:paraId="2DDA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5" w:type="dxa"/>
            <w:vAlign w:val="center"/>
          </w:tcPr>
          <w:p w14:paraId="714198CF">
            <w:pPr>
              <w:adjustRightInd w:val="0"/>
              <w:jc w:val="center"/>
              <w:rPr>
                <w:rFonts w:ascii="宋体" w:hAnsi="宋体" w:cs="宋体"/>
                <w:color w:val="auto"/>
                <w:szCs w:val="21"/>
                <w:highlight w:val="none"/>
                <w:lang w:val="zh-CN"/>
              </w:rPr>
            </w:pPr>
          </w:p>
        </w:tc>
        <w:tc>
          <w:tcPr>
            <w:tcW w:w="1886" w:type="dxa"/>
            <w:vAlign w:val="center"/>
          </w:tcPr>
          <w:p w14:paraId="145B62B6">
            <w:pPr>
              <w:adjustRightInd w:val="0"/>
              <w:jc w:val="center"/>
              <w:rPr>
                <w:rFonts w:ascii="宋体" w:hAnsi="宋体" w:cs="宋体"/>
                <w:color w:val="auto"/>
                <w:szCs w:val="21"/>
                <w:highlight w:val="none"/>
                <w:lang w:val="zh-CN"/>
              </w:rPr>
            </w:pPr>
          </w:p>
        </w:tc>
        <w:tc>
          <w:tcPr>
            <w:tcW w:w="2933" w:type="dxa"/>
            <w:vAlign w:val="center"/>
          </w:tcPr>
          <w:p w14:paraId="5DEA0F31">
            <w:pPr>
              <w:adjustRightInd w:val="0"/>
              <w:jc w:val="center"/>
              <w:rPr>
                <w:rFonts w:ascii="宋体" w:hAnsi="宋体" w:cs="宋体"/>
                <w:color w:val="auto"/>
                <w:szCs w:val="21"/>
                <w:highlight w:val="none"/>
                <w:lang w:val="zh-CN"/>
              </w:rPr>
            </w:pPr>
          </w:p>
        </w:tc>
        <w:tc>
          <w:tcPr>
            <w:tcW w:w="2640" w:type="dxa"/>
            <w:gridSpan w:val="2"/>
            <w:vAlign w:val="center"/>
          </w:tcPr>
          <w:p w14:paraId="0AC39D86">
            <w:pPr>
              <w:adjustRightInd w:val="0"/>
              <w:jc w:val="center"/>
              <w:rPr>
                <w:rFonts w:ascii="宋体" w:hAnsi="宋体" w:cs="宋体"/>
                <w:color w:val="auto"/>
                <w:szCs w:val="21"/>
                <w:highlight w:val="none"/>
                <w:lang w:val="zh-CN"/>
              </w:rPr>
            </w:pPr>
          </w:p>
        </w:tc>
        <w:tc>
          <w:tcPr>
            <w:tcW w:w="1372" w:type="dxa"/>
            <w:gridSpan w:val="2"/>
            <w:vAlign w:val="center"/>
          </w:tcPr>
          <w:p w14:paraId="34B5459B">
            <w:pPr>
              <w:adjustRightInd w:val="0"/>
              <w:jc w:val="center"/>
              <w:rPr>
                <w:rFonts w:ascii="宋体" w:hAnsi="宋体" w:cs="宋体"/>
                <w:color w:val="auto"/>
                <w:szCs w:val="21"/>
                <w:highlight w:val="none"/>
                <w:lang w:val="zh-CN"/>
              </w:rPr>
            </w:pPr>
          </w:p>
        </w:tc>
      </w:tr>
      <w:tr w14:paraId="6B39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5" w:type="dxa"/>
            <w:vAlign w:val="center"/>
          </w:tcPr>
          <w:p w14:paraId="4803FD47">
            <w:pPr>
              <w:adjustRightInd w:val="0"/>
              <w:jc w:val="center"/>
              <w:rPr>
                <w:rFonts w:ascii="宋体" w:hAnsi="宋体" w:cs="宋体"/>
                <w:color w:val="auto"/>
                <w:szCs w:val="21"/>
                <w:highlight w:val="none"/>
                <w:lang w:val="zh-CN"/>
              </w:rPr>
            </w:pPr>
          </w:p>
        </w:tc>
        <w:tc>
          <w:tcPr>
            <w:tcW w:w="1886" w:type="dxa"/>
            <w:vAlign w:val="center"/>
          </w:tcPr>
          <w:p w14:paraId="1DB7C021">
            <w:pPr>
              <w:adjustRightInd w:val="0"/>
              <w:jc w:val="center"/>
              <w:rPr>
                <w:rFonts w:ascii="宋体" w:hAnsi="宋体" w:cs="宋体"/>
                <w:color w:val="auto"/>
                <w:szCs w:val="21"/>
                <w:highlight w:val="none"/>
                <w:lang w:val="zh-CN"/>
              </w:rPr>
            </w:pPr>
          </w:p>
        </w:tc>
        <w:tc>
          <w:tcPr>
            <w:tcW w:w="2933" w:type="dxa"/>
            <w:vAlign w:val="center"/>
          </w:tcPr>
          <w:p w14:paraId="474B6104">
            <w:pPr>
              <w:adjustRightInd w:val="0"/>
              <w:jc w:val="center"/>
              <w:rPr>
                <w:rFonts w:ascii="宋体" w:hAnsi="宋体" w:cs="宋体"/>
                <w:color w:val="auto"/>
                <w:szCs w:val="21"/>
                <w:highlight w:val="none"/>
                <w:lang w:val="zh-CN"/>
              </w:rPr>
            </w:pPr>
          </w:p>
        </w:tc>
        <w:tc>
          <w:tcPr>
            <w:tcW w:w="2640" w:type="dxa"/>
            <w:gridSpan w:val="2"/>
            <w:vAlign w:val="center"/>
          </w:tcPr>
          <w:p w14:paraId="60E1C58F">
            <w:pPr>
              <w:adjustRightInd w:val="0"/>
              <w:jc w:val="center"/>
              <w:rPr>
                <w:rFonts w:ascii="宋体" w:hAnsi="宋体" w:cs="宋体"/>
                <w:color w:val="auto"/>
                <w:szCs w:val="21"/>
                <w:highlight w:val="none"/>
                <w:lang w:val="zh-CN"/>
              </w:rPr>
            </w:pPr>
          </w:p>
        </w:tc>
        <w:tc>
          <w:tcPr>
            <w:tcW w:w="1372" w:type="dxa"/>
            <w:gridSpan w:val="2"/>
            <w:vAlign w:val="center"/>
          </w:tcPr>
          <w:p w14:paraId="0E6916B7">
            <w:pPr>
              <w:adjustRightInd w:val="0"/>
              <w:jc w:val="center"/>
              <w:rPr>
                <w:rFonts w:ascii="宋体" w:hAnsi="宋体" w:cs="宋体"/>
                <w:color w:val="auto"/>
                <w:szCs w:val="21"/>
                <w:highlight w:val="none"/>
                <w:lang w:val="zh-CN"/>
              </w:rPr>
            </w:pPr>
          </w:p>
        </w:tc>
      </w:tr>
      <w:tr w14:paraId="7E8B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5" w:type="dxa"/>
            <w:vAlign w:val="center"/>
          </w:tcPr>
          <w:p w14:paraId="2DD7BF6B">
            <w:pPr>
              <w:adjustRightInd w:val="0"/>
              <w:jc w:val="center"/>
              <w:rPr>
                <w:rFonts w:ascii="宋体" w:hAnsi="宋体" w:cs="宋体"/>
                <w:color w:val="auto"/>
                <w:szCs w:val="21"/>
                <w:highlight w:val="none"/>
                <w:lang w:val="zh-CN"/>
              </w:rPr>
            </w:pPr>
          </w:p>
        </w:tc>
        <w:tc>
          <w:tcPr>
            <w:tcW w:w="1886" w:type="dxa"/>
            <w:vAlign w:val="center"/>
          </w:tcPr>
          <w:p w14:paraId="722D8645">
            <w:pPr>
              <w:adjustRightInd w:val="0"/>
              <w:jc w:val="center"/>
              <w:rPr>
                <w:rFonts w:ascii="宋体" w:hAnsi="宋体" w:cs="宋体"/>
                <w:color w:val="auto"/>
                <w:szCs w:val="21"/>
                <w:highlight w:val="none"/>
                <w:lang w:val="zh-CN"/>
              </w:rPr>
            </w:pPr>
          </w:p>
        </w:tc>
        <w:tc>
          <w:tcPr>
            <w:tcW w:w="2933" w:type="dxa"/>
            <w:vAlign w:val="center"/>
          </w:tcPr>
          <w:p w14:paraId="0C13FCEE">
            <w:pPr>
              <w:adjustRightInd w:val="0"/>
              <w:jc w:val="center"/>
              <w:rPr>
                <w:rFonts w:ascii="宋体" w:hAnsi="宋体" w:cs="宋体"/>
                <w:color w:val="auto"/>
                <w:szCs w:val="21"/>
                <w:highlight w:val="none"/>
                <w:lang w:val="zh-CN"/>
              </w:rPr>
            </w:pPr>
          </w:p>
        </w:tc>
        <w:tc>
          <w:tcPr>
            <w:tcW w:w="2640" w:type="dxa"/>
            <w:gridSpan w:val="2"/>
            <w:vAlign w:val="center"/>
          </w:tcPr>
          <w:p w14:paraId="3BF1858D">
            <w:pPr>
              <w:adjustRightInd w:val="0"/>
              <w:jc w:val="center"/>
              <w:rPr>
                <w:rFonts w:ascii="宋体" w:hAnsi="宋体" w:cs="宋体"/>
                <w:color w:val="auto"/>
                <w:szCs w:val="21"/>
                <w:highlight w:val="none"/>
                <w:lang w:val="zh-CN"/>
              </w:rPr>
            </w:pPr>
          </w:p>
        </w:tc>
        <w:tc>
          <w:tcPr>
            <w:tcW w:w="1372" w:type="dxa"/>
            <w:gridSpan w:val="2"/>
            <w:vAlign w:val="center"/>
          </w:tcPr>
          <w:p w14:paraId="58472582">
            <w:pPr>
              <w:adjustRightInd w:val="0"/>
              <w:jc w:val="center"/>
              <w:rPr>
                <w:rFonts w:ascii="宋体" w:hAnsi="宋体" w:cs="宋体"/>
                <w:color w:val="auto"/>
                <w:szCs w:val="21"/>
                <w:highlight w:val="none"/>
                <w:lang w:val="zh-CN"/>
              </w:rPr>
            </w:pPr>
          </w:p>
        </w:tc>
      </w:tr>
      <w:tr w14:paraId="2623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5" w:type="dxa"/>
            <w:vAlign w:val="center"/>
          </w:tcPr>
          <w:p w14:paraId="0699F425">
            <w:pPr>
              <w:adjustRightInd w:val="0"/>
              <w:jc w:val="center"/>
              <w:rPr>
                <w:rFonts w:ascii="宋体" w:hAnsi="宋体" w:cs="宋体"/>
                <w:color w:val="auto"/>
                <w:szCs w:val="21"/>
                <w:highlight w:val="none"/>
                <w:lang w:val="zh-CN"/>
              </w:rPr>
            </w:pPr>
          </w:p>
        </w:tc>
        <w:tc>
          <w:tcPr>
            <w:tcW w:w="1886" w:type="dxa"/>
            <w:vAlign w:val="center"/>
          </w:tcPr>
          <w:p w14:paraId="01CE61B6">
            <w:pPr>
              <w:adjustRightInd w:val="0"/>
              <w:jc w:val="center"/>
              <w:rPr>
                <w:rFonts w:ascii="宋体" w:hAnsi="宋体" w:cs="宋体"/>
                <w:color w:val="auto"/>
                <w:szCs w:val="21"/>
                <w:highlight w:val="none"/>
                <w:lang w:val="zh-CN"/>
              </w:rPr>
            </w:pPr>
          </w:p>
        </w:tc>
        <w:tc>
          <w:tcPr>
            <w:tcW w:w="2933" w:type="dxa"/>
            <w:vAlign w:val="center"/>
          </w:tcPr>
          <w:p w14:paraId="0199E407">
            <w:pPr>
              <w:adjustRightInd w:val="0"/>
              <w:jc w:val="center"/>
              <w:rPr>
                <w:rFonts w:ascii="宋体" w:hAnsi="宋体" w:cs="宋体"/>
                <w:color w:val="auto"/>
                <w:szCs w:val="21"/>
                <w:highlight w:val="none"/>
                <w:lang w:val="zh-CN"/>
              </w:rPr>
            </w:pPr>
          </w:p>
        </w:tc>
        <w:tc>
          <w:tcPr>
            <w:tcW w:w="2640" w:type="dxa"/>
            <w:gridSpan w:val="2"/>
            <w:vAlign w:val="center"/>
          </w:tcPr>
          <w:p w14:paraId="6F589294">
            <w:pPr>
              <w:adjustRightInd w:val="0"/>
              <w:jc w:val="center"/>
              <w:rPr>
                <w:rFonts w:ascii="宋体" w:hAnsi="宋体" w:cs="宋体"/>
                <w:color w:val="auto"/>
                <w:szCs w:val="21"/>
                <w:highlight w:val="none"/>
                <w:lang w:val="zh-CN"/>
              </w:rPr>
            </w:pPr>
          </w:p>
        </w:tc>
        <w:tc>
          <w:tcPr>
            <w:tcW w:w="1372" w:type="dxa"/>
            <w:gridSpan w:val="2"/>
            <w:vAlign w:val="center"/>
          </w:tcPr>
          <w:p w14:paraId="7B44FBC8">
            <w:pPr>
              <w:adjustRightInd w:val="0"/>
              <w:jc w:val="center"/>
              <w:rPr>
                <w:rFonts w:ascii="宋体" w:hAnsi="宋体" w:cs="宋体"/>
                <w:color w:val="auto"/>
                <w:szCs w:val="21"/>
                <w:highlight w:val="none"/>
                <w:lang w:val="zh-CN"/>
              </w:rPr>
            </w:pPr>
          </w:p>
        </w:tc>
      </w:tr>
      <w:tr w14:paraId="62CA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5" w:type="dxa"/>
            <w:vAlign w:val="center"/>
          </w:tcPr>
          <w:p w14:paraId="422349E1">
            <w:pPr>
              <w:jc w:val="center"/>
              <w:rPr>
                <w:rFonts w:ascii="宋体" w:hAnsi="宋体" w:cs="Arial"/>
                <w:color w:val="auto"/>
                <w:szCs w:val="21"/>
                <w:highlight w:val="none"/>
              </w:rPr>
            </w:pPr>
          </w:p>
        </w:tc>
        <w:tc>
          <w:tcPr>
            <w:tcW w:w="1886" w:type="dxa"/>
            <w:vAlign w:val="center"/>
          </w:tcPr>
          <w:p w14:paraId="454B1117">
            <w:pPr>
              <w:jc w:val="center"/>
              <w:rPr>
                <w:rFonts w:ascii="宋体" w:hAnsi="宋体" w:cs="Arial"/>
                <w:color w:val="auto"/>
                <w:szCs w:val="21"/>
                <w:highlight w:val="none"/>
              </w:rPr>
            </w:pPr>
          </w:p>
        </w:tc>
        <w:tc>
          <w:tcPr>
            <w:tcW w:w="2933" w:type="dxa"/>
            <w:vAlign w:val="center"/>
          </w:tcPr>
          <w:p w14:paraId="14060ABA">
            <w:pPr>
              <w:jc w:val="center"/>
              <w:rPr>
                <w:rFonts w:ascii="宋体" w:hAnsi="宋体" w:cs="Arial"/>
                <w:color w:val="auto"/>
                <w:szCs w:val="21"/>
                <w:highlight w:val="none"/>
              </w:rPr>
            </w:pPr>
          </w:p>
        </w:tc>
        <w:tc>
          <w:tcPr>
            <w:tcW w:w="2640" w:type="dxa"/>
            <w:gridSpan w:val="2"/>
            <w:vAlign w:val="center"/>
          </w:tcPr>
          <w:p w14:paraId="4A1D982C">
            <w:pPr>
              <w:jc w:val="center"/>
              <w:rPr>
                <w:rFonts w:ascii="宋体" w:hAnsi="宋体" w:cs="Arial"/>
                <w:color w:val="auto"/>
                <w:szCs w:val="21"/>
                <w:highlight w:val="none"/>
              </w:rPr>
            </w:pPr>
          </w:p>
        </w:tc>
        <w:tc>
          <w:tcPr>
            <w:tcW w:w="1372" w:type="dxa"/>
            <w:gridSpan w:val="2"/>
            <w:vAlign w:val="center"/>
          </w:tcPr>
          <w:p w14:paraId="709A1B21">
            <w:pPr>
              <w:jc w:val="center"/>
              <w:rPr>
                <w:rFonts w:ascii="宋体" w:hAnsi="宋体" w:cs="Arial"/>
                <w:color w:val="auto"/>
                <w:szCs w:val="21"/>
                <w:highlight w:val="none"/>
              </w:rPr>
            </w:pPr>
          </w:p>
        </w:tc>
      </w:tr>
    </w:tbl>
    <w:p w14:paraId="4D058573">
      <w:pPr>
        <w:adjustRightInd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投标人名称：（盖章）</w:t>
      </w:r>
    </w:p>
    <w:p w14:paraId="149CBBE2">
      <w:pPr>
        <w:widowControl/>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说明：</w:t>
      </w:r>
    </w:p>
    <w:p w14:paraId="0F4B0A73">
      <w:pPr>
        <w:widowControl/>
        <w:spacing w:line="360" w:lineRule="auto"/>
        <w:ind w:firstLine="420" w:firstLineChars="200"/>
        <w:jc w:val="left"/>
        <w:rPr>
          <w:rFonts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rPr>
        <w:t>1</w:t>
      </w:r>
      <w:r>
        <w:rPr>
          <w:rFonts w:hint="eastAsia" w:asciiTheme="minorEastAsia" w:hAnsiTheme="minorEastAsia" w:cstheme="minorEastAsia"/>
          <w:color w:val="auto"/>
          <w:szCs w:val="21"/>
          <w:highlight w:val="none"/>
          <w:lang w:val="zh-CN"/>
        </w:rPr>
        <w:t>、如果行数不够，请自行增加；</w:t>
      </w:r>
    </w:p>
    <w:p w14:paraId="24540323">
      <w:pPr>
        <w:widowControl/>
        <w:spacing w:line="360" w:lineRule="auto"/>
        <w:ind w:firstLine="420" w:firstLineChars="200"/>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2、无偏离指投标人的响应等于招标文件要求，正偏离指投标人的响应高于招标文件要求，负偏离指投标人的响应低于招标文件要求。</w:t>
      </w:r>
    </w:p>
    <w:p w14:paraId="2FE5EF46">
      <w:pPr>
        <w:widowControl/>
        <w:spacing w:line="360" w:lineRule="auto"/>
        <w:ind w:firstLine="420" w:firstLineChars="200"/>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3、投标响应作为投标文件重要的组成部分，不应通过简单拷贝或简单标注“符合”“满足”。</w:t>
      </w:r>
    </w:p>
    <w:p w14:paraId="373829AA">
      <w:pPr>
        <w:rPr>
          <w:rFonts w:ascii="宋体" w:hAnsi="宋体"/>
          <w:b/>
          <w:color w:val="auto"/>
          <w:highlight w:val="none"/>
        </w:rPr>
      </w:pPr>
      <w:r>
        <w:rPr>
          <w:rFonts w:hint="eastAsia" w:ascii="宋体" w:hAnsi="宋体"/>
          <w:b/>
          <w:color w:val="auto"/>
          <w:highlight w:val="none"/>
        </w:rPr>
        <w:br w:type="page"/>
      </w:r>
    </w:p>
    <w:p w14:paraId="22DE7B00">
      <w:pPr>
        <w:spacing w:line="240" w:lineRule="atLeast"/>
        <w:rPr>
          <w:rFonts w:ascii="宋体" w:hAnsi="宋体"/>
          <w:b/>
          <w:color w:val="auto"/>
          <w:highlight w:val="none"/>
        </w:rPr>
      </w:pPr>
      <w:r>
        <w:rPr>
          <w:rFonts w:hint="eastAsia" w:ascii="宋体" w:hAnsi="宋体"/>
          <w:b/>
          <w:color w:val="auto"/>
          <w:highlight w:val="none"/>
        </w:rPr>
        <w:t>目录八、服务方案</w:t>
      </w:r>
    </w:p>
    <w:p w14:paraId="73E2EB67">
      <w:pPr>
        <w:spacing w:line="240" w:lineRule="atLeast"/>
        <w:rPr>
          <w:rFonts w:ascii="宋体" w:hAnsi="宋体"/>
          <w:b/>
          <w:color w:val="auto"/>
          <w:highlight w:val="none"/>
        </w:rPr>
      </w:pPr>
    </w:p>
    <w:p w14:paraId="694B6A39">
      <w:pPr>
        <w:autoSpaceDE w:val="0"/>
        <w:autoSpaceDN w:val="0"/>
        <w:adjustRightInd w:val="0"/>
        <w:spacing w:line="360" w:lineRule="auto"/>
        <w:jc w:val="center"/>
        <w:rPr>
          <w:rFonts w:ascii="宋体" w:hAnsi="宋体"/>
          <w:color w:val="auto"/>
          <w:sz w:val="36"/>
          <w:szCs w:val="36"/>
          <w:highlight w:val="none"/>
          <w:lang w:val="zh-CN"/>
        </w:rPr>
      </w:pPr>
      <w:r>
        <w:rPr>
          <w:rFonts w:hint="eastAsia" w:ascii="宋体" w:hAnsi="宋体"/>
          <w:color w:val="auto"/>
          <w:sz w:val="36"/>
          <w:szCs w:val="36"/>
          <w:highlight w:val="none"/>
          <w:lang w:val="zh-CN"/>
        </w:rPr>
        <w:t>服务方案</w:t>
      </w:r>
    </w:p>
    <w:p w14:paraId="4DF3F07E">
      <w:pPr>
        <w:spacing w:line="240" w:lineRule="atLeast"/>
        <w:rPr>
          <w:rFonts w:ascii="宋体" w:hAnsi="宋体" w:cs="宋体"/>
          <w:color w:val="auto"/>
          <w:sz w:val="36"/>
          <w:szCs w:val="36"/>
          <w:highlight w:val="none"/>
          <w:lang w:val="zh-CN"/>
        </w:rPr>
      </w:pPr>
    </w:p>
    <w:p w14:paraId="5370653D">
      <w:pPr>
        <w:spacing w:line="240" w:lineRule="atLeast"/>
        <w:rPr>
          <w:rFonts w:ascii="宋体" w:hAnsi="宋体" w:cs="宋体"/>
          <w:color w:val="auto"/>
          <w:sz w:val="36"/>
          <w:szCs w:val="36"/>
          <w:highlight w:val="none"/>
        </w:rPr>
      </w:pPr>
    </w:p>
    <w:p w14:paraId="344BCCFF">
      <w:pPr>
        <w:spacing w:line="240" w:lineRule="atLeast"/>
        <w:rPr>
          <w:rFonts w:ascii="宋体" w:hAnsi="宋体" w:cs="宋体"/>
          <w:color w:val="auto"/>
          <w:sz w:val="36"/>
          <w:szCs w:val="36"/>
          <w:highlight w:val="none"/>
        </w:rPr>
      </w:pPr>
    </w:p>
    <w:p w14:paraId="0B3347A0">
      <w:pPr>
        <w:pStyle w:val="42"/>
        <w:ind w:left="0" w:leftChars="0" w:firstLine="0" w:firstLineChars="0"/>
        <w:rPr>
          <w:rFonts w:cs="宋体"/>
          <w:color w:val="auto"/>
          <w:sz w:val="36"/>
          <w:szCs w:val="36"/>
          <w:highlight w:val="none"/>
        </w:rPr>
      </w:pPr>
    </w:p>
    <w:p w14:paraId="15AA6237">
      <w:pPr>
        <w:rPr>
          <w:color w:val="auto"/>
          <w:highlight w:val="none"/>
        </w:rPr>
      </w:pPr>
    </w:p>
    <w:p w14:paraId="2CC88FFB">
      <w:pPr>
        <w:spacing w:line="240" w:lineRule="atLeast"/>
        <w:rPr>
          <w:rFonts w:ascii="宋体" w:hAnsi="宋体" w:cs="宋体"/>
          <w:color w:val="auto"/>
          <w:sz w:val="36"/>
          <w:szCs w:val="36"/>
          <w:highlight w:val="none"/>
        </w:rPr>
      </w:pPr>
    </w:p>
    <w:p w14:paraId="0FA52B0F">
      <w:pPr>
        <w:spacing w:line="240" w:lineRule="atLeast"/>
        <w:rPr>
          <w:rFonts w:ascii="宋体" w:hAnsi="宋体"/>
          <w:b/>
          <w:color w:val="auto"/>
          <w:highlight w:val="none"/>
        </w:rPr>
      </w:pPr>
      <w:r>
        <w:rPr>
          <w:rFonts w:hint="eastAsia" w:ascii="宋体" w:hAnsi="宋体"/>
          <w:b/>
          <w:color w:val="auto"/>
          <w:highlight w:val="none"/>
        </w:rPr>
        <w:t>目录九、企业业绩</w:t>
      </w:r>
    </w:p>
    <w:p w14:paraId="08DDEB7B">
      <w:pPr>
        <w:spacing w:line="240" w:lineRule="atLeast"/>
        <w:rPr>
          <w:rFonts w:ascii="宋体" w:hAnsi="宋体"/>
          <w:b/>
          <w:color w:val="auto"/>
          <w:highlight w:val="none"/>
        </w:rPr>
      </w:pPr>
    </w:p>
    <w:p w14:paraId="23AE0C38">
      <w:pPr>
        <w:spacing w:line="240" w:lineRule="atLeast"/>
        <w:jc w:val="center"/>
        <w:rPr>
          <w:rFonts w:ascii="宋体" w:hAnsi="宋体" w:cs="宋体"/>
          <w:color w:val="auto"/>
          <w:sz w:val="36"/>
          <w:szCs w:val="36"/>
          <w:highlight w:val="none"/>
          <w:lang w:val="zh-CN"/>
        </w:rPr>
      </w:pPr>
      <w:r>
        <w:rPr>
          <w:rFonts w:hint="eastAsia" w:ascii="宋体" w:hAnsi="宋体"/>
          <w:color w:val="auto"/>
          <w:sz w:val="36"/>
          <w:szCs w:val="36"/>
          <w:highlight w:val="none"/>
        </w:rPr>
        <w:t>企业业绩</w:t>
      </w:r>
    </w:p>
    <w:tbl>
      <w:tblPr>
        <w:tblStyle w:val="43"/>
        <w:tblW w:w="915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415"/>
        <w:gridCol w:w="1469"/>
        <w:gridCol w:w="880"/>
        <w:gridCol w:w="2643"/>
      </w:tblGrid>
      <w:tr w14:paraId="30A0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43" w:type="dxa"/>
            <w:vAlign w:val="center"/>
          </w:tcPr>
          <w:p w14:paraId="6B511B3D">
            <w:pPr>
              <w:ind w:left="-20"/>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415" w:type="dxa"/>
            <w:vAlign w:val="center"/>
          </w:tcPr>
          <w:p w14:paraId="74568702">
            <w:pPr>
              <w:jc w:val="center"/>
              <w:rPr>
                <w:rFonts w:ascii="宋体" w:hAnsi="宋体"/>
                <w:color w:val="auto"/>
                <w:sz w:val="24"/>
                <w:szCs w:val="24"/>
                <w:highlight w:val="none"/>
              </w:rPr>
            </w:pPr>
            <w:r>
              <w:rPr>
                <w:rFonts w:hint="eastAsia" w:ascii="宋体" w:hAnsi="宋体"/>
                <w:color w:val="auto"/>
                <w:sz w:val="24"/>
                <w:szCs w:val="24"/>
                <w:highlight w:val="none"/>
              </w:rPr>
              <w:t>业绩名称</w:t>
            </w:r>
          </w:p>
        </w:tc>
        <w:tc>
          <w:tcPr>
            <w:tcW w:w="1469" w:type="dxa"/>
            <w:vAlign w:val="center"/>
          </w:tcPr>
          <w:p w14:paraId="2F6B9946">
            <w:pPr>
              <w:widowControl/>
              <w:jc w:val="center"/>
              <w:rPr>
                <w:rFonts w:ascii="宋体" w:hAnsi="宋体"/>
                <w:color w:val="auto"/>
                <w:sz w:val="24"/>
                <w:szCs w:val="24"/>
                <w:highlight w:val="none"/>
              </w:rPr>
            </w:pPr>
            <w:r>
              <w:rPr>
                <w:rFonts w:hint="eastAsia" w:ascii="宋体" w:hAnsi="宋体"/>
                <w:color w:val="auto"/>
                <w:sz w:val="24"/>
                <w:szCs w:val="24"/>
                <w:highlight w:val="none"/>
              </w:rPr>
              <w:t>服务单位</w:t>
            </w:r>
          </w:p>
        </w:tc>
        <w:tc>
          <w:tcPr>
            <w:tcW w:w="880" w:type="dxa"/>
            <w:vAlign w:val="center"/>
          </w:tcPr>
          <w:p w14:paraId="26CFF4B7">
            <w:pPr>
              <w:widowControl/>
              <w:jc w:val="center"/>
              <w:rPr>
                <w:rFonts w:ascii="宋体" w:hAnsi="宋体"/>
                <w:color w:val="auto"/>
                <w:sz w:val="24"/>
                <w:szCs w:val="24"/>
                <w:highlight w:val="none"/>
              </w:rPr>
            </w:pPr>
            <w:r>
              <w:rPr>
                <w:rFonts w:hint="eastAsia" w:ascii="宋体" w:hAnsi="宋体"/>
                <w:color w:val="auto"/>
                <w:sz w:val="24"/>
                <w:szCs w:val="24"/>
                <w:highlight w:val="none"/>
              </w:rPr>
              <w:t>时间</w:t>
            </w:r>
          </w:p>
        </w:tc>
        <w:tc>
          <w:tcPr>
            <w:tcW w:w="2643" w:type="dxa"/>
            <w:vAlign w:val="center"/>
          </w:tcPr>
          <w:p w14:paraId="74648FFE">
            <w:pPr>
              <w:widowControl/>
              <w:jc w:val="center"/>
              <w:rPr>
                <w:rFonts w:ascii="宋体" w:hAnsi="宋体"/>
                <w:color w:val="auto"/>
                <w:sz w:val="24"/>
                <w:szCs w:val="24"/>
                <w:highlight w:val="none"/>
              </w:rPr>
            </w:pPr>
            <w:r>
              <w:rPr>
                <w:rFonts w:hint="eastAsia" w:ascii="宋体" w:hAnsi="宋体"/>
                <w:color w:val="auto"/>
                <w:sz w:val="24"/>
                <w:szCs w:val="24"/>
                <w:highlight w:val="none"/>
              </w:rPr>
              <w:t>证明材料</w:t>
            </w:r>
          </w:p>
          <w:p w14:paraId="3CEC7F46">
            <w:pPr>
              <w:widowControl/>
              <w:jc w:val="center"/>
              <w:rPr>
                <w:rFonts w:ascii="宋体" w:hAnsi="宋体"/>
                <w:color w:val="auto"/>
                <w:sz w:val="24"/>
                <w:szCs w:val="24"/>
                <w:highlight w:val="none"/>
              </w:rPr>
            </w:pPr>
            <w:r>
              <w:rPr>
                <w:rFonts w:hint="eastAsia" w:ascii="宋体" w:hAnsi="宋体"/>
                <w:color w:val="auto"/>
                <w:sz w:val="24"/>
                <w:szCs w:val="24"/>
                <w:highlight w:val="none"/>
              </w:rPr>
              <w:t>（页码）</w:t>
            </w:r>
          </w:p>
        </w:tc>
      </w:tr>
      <w:tr w14:paraId="2F39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3" w:type="dxa"/>
            <w:vAlign w:val="center"/>
          </w:tcPr>
          <w:p w14:paraId="2532417F">
            <w:pPr>
              <w:ind w:left="-20"/>
              <w:jc w:val="center"/>
              <w:rPr>
                <w:rFonts w:ascii="宋体" w:hAnsi="宋体"/>
                <w:color w:val="auto"/>
                <w:sz w:val="24"/>
                <w:szCs w:val="24"/>
                <w:highlight w:val="none"/>
              </w:rPr>
            </w:pPr>
          </w:p>
        </w:tc>
        <w:tc>
          <w:tcPr>
            <w:tcW w:w="3415" w:type="dxa"/>
            <w:vAlign w:val="center"/>
          </w:tcPr>
          <w:p w14:paraId="601D88AE">
            <w:pPr>
              <w:jc w:val="center"/>
              <w:rPr>
                <w:rFonts w:ascii="宋体" w:hAnsi="宋体"/>
                <w:color w:val="auto"/>
                <w:sz w:val="24"/>
                <w:szCs w:val="24"/>
                <w:highlight w:val="none"/>
              </w:rPr>
            </w:pPr>
          </w:p>
        </w:tc>
        <w:tc>
          <w:tcPr>
            <w:tcW w:w="1469" w:type="dxa"/>
            <w:vAlign w:val="center"/>
          </w:tcPr>
          <w:p w14:paraId="6FFB61B7">
            <w:pPr>
              <w:jc w:val="center"/>
              <w:rPr>
                <w:rFonts w:ascii="宋体" w:hAnsi="宋体"/>
                <w:color w:val="auto"/>
                <w:sz w:val="24"/>
                <w:szCs w:val="24"/>
                <w:highlight w:val="none"/>
              </w:rPr>
            </w:pPr>
          </w:p>
        </w:tc>
        <w:tc>
          <w:tcPr>
            <w:tcW w:w="880" w:type="dxa"/>
          </w:tcPr>
          <w:p w14:paraId="348485ED">
            <w:pPr>
              <w:jc w:val="center"/>
              <w:rPr>
                <w:rFonts w:ascii="宋体" w:hAnsi="宋体"/>
                <w:color w:val="auto"/>
                <w:sz w:val="24"/>
                <w:szCs w:val="24"/>
                <w:highlight w:val="none"/>
              </w:rPr>
            </w:pPr>
          </w:p>
        </w:tc>
        <w:tc>
          <w:tcPr>
            <w:tcW w:w="2643" w:type="dxa"/>
            <w:vAlign w:val="center"/>
          </w:tcPr>
          <w:p w14:paraId="7FB2D77E">
            <w:pPr>
              <w:jc w:val="center"/>
              <w:rPr>
                <w:rFonts w:ascii="宋体" w:hAnsi="宋体"/>
                <w:color w:val="auto"/>
                <w:sz w:val="24"/>
                <w:szCs w:val="24"/>
                <w:highlight w:val="none"/>
              </w:rPr>
            </w:pPr>
          </w:p>
        </w:tc>
      </w:tr>
      <w:tr w14:paraId="2E7B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43" w:type="dxa"/>
            <w:vAlign w:val="center"/>
          </w:tcPr>
          <w:p w14:paraId="2D642746">
            <w:pPr>
              <w:ind w:left="-20"/>
              <w:jc w:val="center"/>
              <w:rPr>
                <w:rFonts w:ascii="宋体" w:hAnsi="宋体"/>
                <w:color w:val="auto"/>
                <w:sz w:val="24"/>
                <w:szCs w:val="24"/>
                <w:highlight w:val="none"/>
              </w:rPr>
            </w:pPr>
          </w:p>
        </w:tc>
        <w:tc>
          <w:tcPr>
            <w:tcW w:w="3415" w:type="dxa"/>
            <w:vAlign w:val="center"/>
          </w:tcPr>
          <w:p w14:paraId="70E2941A">
            <w:pPr>
              <w:jc w:val="center"/>
              <w:rPr>
                <w:rFonts w:ascii="宋体" w:hAnsi="宋体"/>
                <w:color w:val="auto"/>
                <w:sz w:val="24"/>
                <w:szCs w:val="24"/>
                <w:highlight w:val="none"/>
              </w:rPr>
            </w:pPr>
          </w:p>
        </w:tc>
        <w:tc>
          <w:tcPr>
            <w:tcW w:w="1469" w:type="dxa"/>
            <w:vAlign w:val="center"/>
          </w:tcPr>
          <w:p w14:paraId="2B7EA50B">
            <w:pPr>
              <w:jc w:val="center"/>
              <w:rPr>
                <w:rFonts w:ascii="宋体" w:hAnsi="宋体"/>
                <w:color w:val="auto"/>
                <w:sz w:val="24"/>
                <w:szCs w:val="24"/>
                <w:highlight w:val="none"/>
              </w:rPr>
            </w:pPr>
          </w:p>
        </w:tc>
        <w:tc>
          <w:tcPr>
            <w:tcW w:w="880" w:type="dxa"/>
          </w:tcPr>
          <w:p w14:paraId="6AC33B31">
            <w:pPr>
              <w:jc w:val="center"/>
              <w:rPr>
                <w:rFonts w:ascii="宋体" w:hAnsi="宋体"/>
                <w:color w:val="auto"/>
                <w:sz w:val="24"/>
                <w:szCs w:val="24"/>
                <w:highlight w:val="none"/>
              </w:rPr>
            </w:pPr>
          </w:p>
        </w:tc>
        <w:tc>
          <w:tcPr>
            <w:tcW w:w="2643" w:type="dxa"/>
            <w:vAlign w:val="center"/>
          </w:tcPr>
          <w:p w14:paraId="0E91AAB1">
            <w:pPr>
              <w:jc w:val="center"/>
              <w:rPr>
                <w:rFonts w:ascii="宋体" w:hAnsi="宋体"/>
                <w:color w:val="auto"/>
                <w:sz w:val="24"/>
                <w:szCs w:val="24"/>
                <w:highlight w:val="none"/>
              </w:rPr>
            </w:pPr>
          </w:p>
        </w:tc>
      </w:tr>
      <w:tr w14:paraId="1CD7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vAlign w:val="center"/>
          </w:tcPr>
          <w:p w14:paraId="647DC47E">
            <w:pPr>
              <w:ind w:left="-20"/>
              <w:jc w:val="center"/>
              <w:rPr>
                <w:rFonts w:ascii="宋体" w:hAnsi="宋体"/>
                <w:color w:val="auto"/>
                <w:sz w:val="24"/>
                <w:szCs w:val="24"/>
                <w:highlight w:val="none"/>
              </w:rPr>
            </w:pPr>
          </w:p>
        </w:tc>
        <w:tc>
          <w:tcPr>
            <w:tcW w:w="3415" w:type="dxa"/>
            <w:vAlign w:val="center"/>
          </w:tcPr>
          <w:p w14:paraId="0BEB23C2">
            <w:pPr>
              <w:ind w:left="-20"/>
              <w:jc w:val="center"/>
              <w:rPr>
                <w:rFonts w:ascii="宋体" w:hAnsi="宋体"/>
                <w:color w:val="auto"/>
                <w:sz w:val="24"/>
                <w:szCs w:val="24"/>
                <w:highlight w:val="none"/>
              </w:rPr>
            </w:pPr>
          </w:p>
        </w:tc>
        <w:tc>
          <w:tcPr>
            <w:tcW w:w="1469" w:type="dxa"/>
            <w:vAlign w:val="center"/>
          </w:tcPr>
          <w:p w14:paraId="21EE2969">
            <w:pPr>
              <w:ind w:left="-20"/>
              <w:jc w:val="center"/>
              <w:rPr>
                <w:rFonts w:ascii="宋体" w:hAnsi="宋体"/>
                <w:color w:val="auto"/>
                <w:sz w:val="24"/>
                <w:szCs w:val="24"/>
                <w:highlight w:val="none"/>
              </w:rPr>
            </w:pPr>
          </w:p>
        </w:tc>
        <w:tc>
          <w:tcPr>
            <w:tcW w:w="880" w:type="dxa"/>
          </w:tcPr>
          <w:p w14:paraId="5DF8FFCF">
            <w:pPr>
              <w:ind w:left="-20"/>
              <w:jc w:val="center"/>
              <w:rPr>
                <w:rFonts w:ascii="宋体" w:hAnsi="宋体"/>
                <w:color w:val="auto"/>
                <w:sz w:val="24"/>
                <w:szCs w:val="24"/>
                <w:highlight w:val="none"/>
              </w:rPr>
            </w:pPr>
          </w:p>
        </w:tc>
        <w:tc>
          <w:tcPr>
            <w:tcW w:w="2643" w:type="dxa"/>
            <w:vAlign w:val="center"/>
          </w:tcPr>
          <w:p w14:paraId="556004EA">
            <w:pPr>
              <w:ind w:left="-20"/>
              <w:jc w:val="center"/>
              <w:rPr>
                <w:rFonts w:ascii="宋体" w:hAnsi="宋体"/>
                <w:color w:val="auto"/>
                <w:sz w:val="24"/>
                <w:szCs w:val="24"/>
                <w:highlight w:val="none"/>
              </w:rPr>
            </w:pPr>
          </w:p>
        </w:tc>
      </w:tr>
      <w:tr w14:paraId="6583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vAlign w:val="center"/>
          </w:tcPr>
          <w:p w14:paraId="2519EAEC">
            <w:pPr>
              <w:ind w:left="-20"/>
              <w:jc w:val="center"/>
              <w:rPr>
                <w:rFonts w:ascii="宋体" w:hAnsi="宋体"/>
                <w:color w:val="auto"/>
                <w:sz w:val="24"/>
                <w:szCs w:val="24"/>
                <w:highlight w:val="none"/>
              </w:rPr>
            </w:pPr>
          </w:p>
        </w:tc>
        <w:tc>
          <w:tcPr>
            <w:tcW w:w="3415" w:type="dxa"/>
            <w:vAlign w:val="center"/>
          </w:tcPr>
          <w:p w14:paraId="0A6CE16A">
            <w:pPr>
              <w:ind w:left="-20"/>
              <w:jc w:val="center"/>
              <w:rPr>
                <w:rFonts w:ascii="宋体" w:hAnsi="宋体"/>
                <w:color w:val="auto"/>
                <w:sz w:val="24"/>
                <w:szCs w:val="24"/>
                <w:highlight w:val="none"/>
              </w:rPr>
            </w:pPr>
          </w:p>
        </w:tc>
        <w:tc>
          <w:tcPr>
            <w:tcW w:w="1469" w:type="dxa"/>
            <w:vAlign w:val="center"/>
          </w:tcPr>
          <w:p w14:paraId="17046463">
            <w:pPr>
              <w:ind w:left="-20"/>
              <w:jc w:val="center"/>
              <w:rPr>
                <w:rFonts w:ascii="宋体" w:hAnsi="宋体"/>
                <w:color w:val="auto"/>
                <w:sz w:val="24"/>
                <w:szCs w:val="24"/>
                <w:highlight w:val="none"/>
              </w:rPr>
            </w:pPr>
          </w:p>
        </w:tc>
        <w:tc>
          <w:tcPr>
            <w:tcW w:w="880" w:type="dxa"/>
          </w:tcPr>
          <w:p w14:paraId="28C16785">
            <w:pPr>
              <w:ind w:left="-20"/>
              <w:jc w:val="center"/>
              <w:rPr>
                <w:rFonts w:ascii="宋体" w:hAnsi="宋体"/>
                <w:color w:val="auto"/>
                <w:sz w:val="24"/>
                <w:szCs w:val="24"/>
                <w:highlight w:val="none"/>
              </w:rPr>
            </w:pPr>
          </w:p>
        </w:tc>
        <w:tc>
          <w:tcPr>
            <w:tcW w:w="2643" w:type="dxa"/>
            <w:vAlign w:val="center"/>
          </w:tcPr>
          <w:p w14:paraId="48289491">
            <w:pPr>
              <w:ind w:left="-20"/>
              <w:jc w:val="center"/>
              <w:rPr>
                <w:rFonts w:ascii="宋体" w:hAnsi="宋体"/>
                <w:color w:val="auto"/>
                <w:sz w:val="24"/>
                <w:szCs w:val="24"/>
                <w:highlight w:val="none"/>
              </w:rPr>
            </w:pPr>
          </w:p>
        </w:tc>
      </w:tr>
    </w:tbl>
    <w:p w14:paraId="5D119696">
      <w:pPr>
        <w:rPr>
          <w:rFonts w:ascii="宋体" w:hAnsi="宋体"/>
          <w:color w:val="auto"/>
          <w:sz w:val="22"/>
          <w:highlight w:val="none"/>
        </w:rPr>
      </w:pPr>
    </w:p>
    <w:p w14:paraId="401FDA53">
      <w:pPr>
        <w:widowControl/>
        <w:spacing w:before="4"/>
        <w:rPr>
          <w:rFonts w:ascii="宋体" w:hAnsi="宋体"/>
          <w:color w:val="auto"/>
          <w:sz w:val="22"/>
          <w:highlight w:val="none"/>
        </w:rPr>
      </w:pPr>
      <w:r>
        <w:rPr>
          <w:rFonts w:hint="eastAsia" w:ascii="宋体" w:hAnsi="宋体"/>
          <w:color w:val="auto"/>
          <w:sz w:val="22"/>
          <w:highlight w:val="none"/>
        </w:rPr>
        <w:t>注：</w:t>
      </w:r>
      <w:r>
        <w:rPr>
          <w:rFonts w:ascii="宋体" w:hAnsi="宋体"/>
          <w:color w:val="auto"/>
          <w:sz w:val="22"/>
          <w:highlight w:val="none"/>
        </w:rPr>
        <w:t>1、此表为表样，</w:t>
      </w:r>
      <w:r>
        <w:rPr>
          <w:rFonts w:hint="eastAsia" w:ascii="宋体" w:hAnsi="宋体"/>
          <w:color w:val="auto"/>
          <w:sz w:val="22"/>
          <w:highlight w:val="none"/>
        </w:rPr>
        <w:t>须填写完整，</w:t>
      </w:r>
      <w:r>
        <w:rPr>
          <w:rFonts w:ascii="宋体" w:hAnsi="宋体"/>
          <w:color w:val="auto"/>
          <w:sz w:val="22"/>
          <w:highlight w:val="none"/>
        </w:rPr>
        <w:t>行数可自行添加</w:t>
      </w:r>
      <w:r>
        <w:rPr>
          <w:rFonts w:hint="eastAsia" w:ascii="宋体" w:hAnsi="宋体"/>
          <w:color w:val="auto"/>
          <w:sz w:val="22"/>
          <w:highlight w:val="none"/>
        </w:rPr>
        <w:t>。</w:t>
      </w:r>
    </w:p>
    <w:p w14:paraId="1951FC48">
      <w:pPr>
        <w:widowControl/>
        <w:spacing w:before="4"/>
        <w:ind w:firstLine="405"/>
        <w:rPr>
          <w:rFonts w:ascii="宋体" w:hAnsi="宋体"/>
          <w:b/>
          <w:color w:val="auto"/>
          <w:sz w:val="22"/>
          <w:highlight w:val="none"/>
        </w:rPr>
      </w:pPr>
      <w:r>
        <w:rPr>
          <w:rFonts w:ascii="宋体" w:hAnsi="宋体"/>
          <w:color w:val="auto"/>
          <w:sz w:val="22"/>
          <w:highlight w:val="none"/>
        </w:rPr>
        <w:t>2、</w:t>
      </w:r>
      <w:r>
        <w:rPr>
          <w:rFonts w:hint="eastAsia" w:ascii="宋体" w:hAnsi="宋体"/>
          <w:b/>
          <w:color w:val="auto"/>
          <w:sz w:val="22"/>
          <w:highlight w:val="none"/>
        </w:rPr>
        <w:t>按评审方法要求提供相关证明材料附后。</w:t>
      </w:r>
    </w:p>
    <w:p w14:paraId="431733A2">
      <w:pPr>
        <w:spacing w:line="240" w:lineRule="atLeast"/>
        <w:rPr>
          <w:rFonts w:ascii="宋体" w:hAnsi="宋体" w:cs="宋体"/>
          <w:color w:val="auto"/>
          <w:sz w:val="36"/>
          <w:szCs w:val="36"/>
          <w:highlight w:val="none"/>
          <w:lang w:val="zh-CN"/>
        </w:rPr>
      </w:pPr>
    </w:p>
    <w:p w14:paraId="513A8B8F">
      <w:pPr>
        <w:spacing w:line="240" w:lineRule="atLeast"/>
        <w:rPr>
          <w:rFonts w:ascii="宋体" w:hAnsi="宋体" w:cs="宋体"/>
          <w:color w:val="auto"/>
          <w:sz w:val="36"/>
          <w:szCs w:val="36"/>
          <w:highlight w:val="none"/>
          <w:lang w:val="zh-CN"/>
        </w:rPr>
      </w:pPr>
    </w:p>
    <w:p w14:paraId="10022709">
      <w:pPr>
        <w:spacing w:line="240" w:lineRule="atLeast"/>
        <w:rPr>
          <w:rFonts w:ascii="宋体" w:hAnsi="宋体" w:cs="宋体"/>
          <w:color w:val="auto"/>
          <w:sz w:val="36"/>
          <w:szCs w:val="36"/>
          <w:highlight w:val="none"/>
          <w:lang w:val="zh-CN"/>
        </w:rPr>
      </w:pPr>
    </w:p>
    <w:p w14:paraId="4068690F">
      <w:pPr>
        <w:spacing w:line="240" w:lineRule="atLeast"/>
        <w:rPr>
          <w:rFonts w:ascii="宋体" w:hAnsi="宋体" w:cs="宋体"/>
          <w:color w:val="auto"/>
          <w:sz w:val="36"/>
          <w:szCs w:val="36"/>
          <w:highlight w:val="none"/>
          <w:lang w:val="zh-CN"/>
        </w:rPr>
      </w:pPr>
    </w:p>
    <w:p w14:paraId="661EF5D4">
      <w:pPr>
        <w:spacing w:line="240" w:lineRule="atLeast"/>
        <w:rPr>
          <w:rFonts w:ascii="宋体" w:hAnsi="宋体" w:cs="宋体"/>
          <w:color w:val="auto"/>
          <w:sz w:val="36"/>
          <w:szCs w:val="36"/>
          <w:highlight w:val="none"/>
          <w:lang w:val="zh-CN"/>
        </w:rPr>
      </w:pPr>
    </w:p>
    <w:p w14:paraId="29D17100">
      <w:pPr>
        <w:spacing w:line="240" w:lineRule="atLeast"/>
        <w:rPr>
          <w:rFonts w:ascii="宋体" w:hAnsi="宋体" w:cs="宋体"/>
          <w:color w:val="auto"/>
          <w:sz w:val="36"/>
          <w:szCs w:val="36"/>
          <w:highlight w:val="none"/>
          <w:lang w:val="zh-CN"/>
        </w:rPr>
      </w:pPr>
    </w:p>
    <w:p w14:paraId="1522597B">
      <w:pPr>
        <w:spacing w:line="240" w:lineRule="atLeast"/>
        <w:rPr>
          <w:rFonts w:ascii="宋体" w:hAnsi="宋体" w:cs="宋体"/>
          <w:color w:val="auto"/>
          <w:sz w:val="36"/>
          <w:szCs w:val="36"/>
          <w:highlight w:val="none"/>
          <w:lang w:val="zh-CN"/>
        </w:rPr>
      </w:pPr>
    </w:p>
    <w:p w14:paraId="384D89CC">
      <w:pPr>
        <w:spacing w:line="240" w:lineRule="atLeast"/>
        <w:rPr>
          <w:rFonts w:ascii="宋体" w:hAnsi="宋体"/>
          <w:b/>
          <w:color w:val="auto"/>
          <w:highlight w:val="none"/>
        </w:rPr>
      </w:pPr>
      <w:r>
        <w:rPr>
          <w:rFonts w:hint="eastAsia" w:ascii="宋体" w:hAnsi="宋体"/>
          <w:b/>
          <w:color w:val="auto"/>
          <w:highlight w:val="none"/>
        </w:rPr>
        <w:t>目录十、投标需要的其他证明文件及材料</w:t>
      </w:r>
    </w:p>
    <w:p w14:paraId="38A6ED1C">
      <w:pPr>
        <w:spacing w:line="240" w:lineRule="atLeast"/>
        <w:rPr>
          <w:rFonts w:ascii="宋体" w:hAnsi="宋体"/>
          <w:b/>
          <w:color w:val="auto"/>
          <w:highlight w:val="none"/>
        </w:rPr>
      </w:pPr>
    </w:p>
    <w:p w14:paraId="69DC05E5">
      <w:pPr>
        <w:spacing w:line="240" w:lineRule="atLeast"/>
        <w:rPr>
          <w:rFonts w:ascii="宋体" w:hAnsi="宋体"/>
          <w:b/>
          <w:color w:val="auto"/>
          <w:highlight w:val="none"/>
        </w:rPr>
      </w:pPr>
    </w:p>
    <w:p w14:paraId="08C86BA8">
      <w:pPr>
        <w:autoSpaceDE w:val="0"/>
        <w:autoSpaceDN w:val="0"/>
        <w:adjustRightInd w:val="0"/>
        <w:spacing w:line="360" w:lineRule="auto"/>
        <w:jc w:val="center"/>
        <w:rPr>
          <w:rFonts w:ascii="宋体" w:hAnsi="宋体"/>
          <w:color w:val="auto"/>
          <w:sz w:val="36"/>
          <w:szCs w:val="36"/>
          <w:highlight w:val="none"/>
          <w:lang w:val="zh-CN"/>
        </w:rPr>
      </w:pPr>
      <w:r>
        <w:rPr>
          <w:rFonts w:hint="eastAsia" w:ascii="宋体" w:hAnsi="宋体"/>
          <w:color w:val="auto"/>
          <w:sz w:val="36"/>
          <w:szCs w:val="36"/>
          <w:highlight w:val="none"/>
          <w:lang w:val="zh-CN"/>
        </w:rPr>
        <w:t>投标需要的其他证明文件及材料（若有）</w:t>
      </w:r>
    </w:p>
    <w:p w14:paraId="29D277DB">
      <w:pPr>
        <w:rPr>
          <w:rFonts w:ascii="宋体" w:hAnsi="宋体"/>
          <w:b/>
          <w:color w:val="auto"/>
          <w:highlight w:val="none"/>
        </w:rPr>
      </w:pPr>
      <w:r>
        <w:rPr>
          <w:rFonts w:hint="eastAsia" w:ascii="宋体" w:hAnsi="宋体"/>
          <w:b/>
          <w:color w:val="auto"/>
          <w:highlight w:val="none"/>
        </w:rPr>
        <w:br w:type="page"/>
      </w:r>
    </w:p>
    <w:p w14:paraId="4BC01D9A">
      <w:pPr>
        <w:adjustRightInd w:val="0"/>
        <w:spacing w:line="240" w:lineRule="atLeast"/>
        <w:rPr>
          <w:rFonts w:ascii="宋体" w:hAnsi="宋体"/>
          <w:b/>
          <w:color w:val="auto"/>
          <w:highlight w:val="none"/>
        </w:rPr>
      </w:pPr>
      <w:r>
        <w:rPr>
          <w:rFonts w:hint="eastAsia" w:ascii="宋体" w:hAnsi="宋体"/>
          <w:b/>
          <w:color w:val="auto"/>
          <w:highlight w:val="none"/>
        </w:rPr>
        <w:t>附件一、无重大违法记录声明格式</w:t>
      </w:r>
    </w:p>
    <w:p w14:paraId="1985C1E7">
      <w:pPr>
        <w:adjustRightInd w:val="0"/>
        <w:spacing w:line="240" w:lineRule="atLeast"/>
        <w:rPr>
          <w:rFonts w:ascii="宋体" w:hAnsi="宋体"/>
          <w:b/>
          <w:color w:val="auto"/>
          <w:highlight w:val="none"/>
        </w:rPr>
      </w:pPr>
    </w:p>
    <w:p w14:paraId="2834BCCA">
      <w:pPr>
        <w:jc w:val="center"/>
        <w:rPr>
          <w:rFonts w:ascii="宋体" w:hAnsi="宋体"/>
          <w:color w:val="auto"/>
          <w:sz w:val="36"/>
          <w:szCs w:val="36"/>
          <w:highlight w:val="none"/>
        </w:rPr>
      </w:pPr>
      <w:r>
        <w:rPr>
          <w:rFonts w:hint="eastAsia" w:ascii="宋体" w:hAnsi="宋体"/>
          <w:color w:val="auto"/>
          <w:sz w:val="36"/>
          <w:szCs w:val="36"/>
          <w:highlight w:val="none"/>
        </w:rPr>
        <w:t>无重大违法记录声明</w:t>
      </w:r>
    </w:p>
    <w:p w14:paraId="77484866">
      <w:pPr>
        <w:spacing w:line="360" w:lineRule="auto"/>
        <w:rPr>
          <w:rFonts w:ascii="宋体" w:hAnsi="宋体"/>
          <w:color w:val="auto"/>
          <w:highlight w:val="none"/>
        </w:rPr>
      </w:pPr>
    </w:p>
    <w:p w14:paraId="7C3D5707">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zh-CN"/>
        </w:rPr>
        <w:t>致：</w:t>
      </w:r>
      <w:r>
        <w:rPr>
          <w:rFonts w:hint="eastAsia" w:asciiTheme="minorEastAsia" w:hAnsiTheme="minorEastAsia" w:cstheme="minorEastAsia"/>
          <w:color w:val="auto"/>
          <w:sz w:val="24"/>
          <w:szCs w:val="24"/>
          <w:highlight w:val="none"/>
        </w:rPr>
        <w:t>（招标人）</w:t>
      </w:r>
    </w:p>
    <w:p w14:paraId="129FE21E">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我单位（投标人名称）郑重声明：</w:t>
      </w:r>
    </w:p>
    <w:p w14:paraId="1F3964C2">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参加本次采购活动前3年内在经营活动中</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rPr>
        <w:t>（在下划线上如实填写：有或没有）重大违法记录。</w:t>
      </w:r>
    </w:p>
    <w:p w14:paraId="71894C5D">
      <w:pPr>
        <w:spacing w:line="360" w:lineRule="auto"/>
        <w:rPr>
          <w:rFonts w:asciiTheme="minorEastAsia" w:hAnsiTheme="minorEastAsia" w:cstheme="minorEastAsia"/>
          <w:color w:val="auto"/>
          <w:sz w:val="24"/>
          <w:szCs w:val="24"/>
          <w:highlight w:val="none"/>
        </w:rPr>
      </w:pPr>
    </w:p>
    <w:p w14:paraId="371D70AB">
      <w:pPr>
        <w:spacing w:line="360" w:lineRule="auto"/>
        <w:rPr>
          <w:rFonts w:asciiTheme="minorEastAsia" w:hAnsiTheme="minorEastAsia" w:cstheme="minorEastAsia"/>
          <w:color w:val="auto"/>
          <w:sz w:val="24"/>
          <w:szCs w:val="24"/>
          <w:highlight w:val="none"/>
        </w:rPr>
      </w:pPr>
    </w:p>
    <w:p w14:paraId="5CD53809">
      <w:pPr>
        <w:spacing w:line="360" w:lineRule="auto"/>
        <w:ind w:firstLine="6000" w:firstLineChars="25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声明人（公章）：</w:t>
      </w:r>
    </w:p>
    <w:p w14:paraId="358C1179">
      <w:pPr>
        <w:spacing w:line="360" w:lineRule="auto"/>
        <w:ind w:firstLine="6000" w:firstLineChars="25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日期：年月日</w:t>
      </w:r>
    </w:p>
    <w:p w14:paraId="5369FDF0">
      <w:pPr>
        <w:pStyle w:val="42"/>
        <w:ind w:left="0" w:leftChars="0" w:firstLine="0" w:firstLineChars="0"/>
        <w:rPr>
          <w:color w:val="auto"/>
          <w:highlight w:val="none"/>
        </w:rPr>
      </w:pPr>
    </w:p>
    <w:p w14:paraId="435D5165">
      <w:pPr>
        <w:rPr>
          <w:color w:val="auto"/>
          <w:highlight w:val="none"/>
        </w:rPr>
      </w:pPr>
    </w:p>
    <w:p w14:paraId="3E6A16F5">
      <w:pPr>
        <w:spacing w:line="360" w:lineRule="auto"/>
        <w:rPr>
          <w:rFonts w:ascii="宋体" w:hAnsi="宋体"/>
          <w:b/>
          <w:color w:val="auto"/>
          <w:highlight w:val="none"/>
        </w:rPr>
      </w:pPr>
    </w:p>
    <w:p w14:paraId="477754C0">
      <w:pPr>
        <w:spacing w:line="360" w:lineRule="auto"/>
        <w:rPr>
          <w:rFonts w:ascii="宋体" w:hAnsi="宋体"/>
          <w:b/>
          <w:color w:val="auto"/>
          <w:highlight w:val="none"/>
        </w:rPr>
      </w:pPr>
      <w:r>
        <w:rPr>
          <w:rFonts w:hint="eastAsia" w:ascii="宋体" w:hAnsi="宋体"/>
          <w:b/>
          <w:color w:val="auto"/>
          <w:highlight w:val="none"/>
        </w:rPr>
        <w:t>附件二、具备履行合同所必需的设备和专业技术能力的声明格式及证明材料</w:t>
      </w:r>
    </w:p>
    <w:p w14:paraId="09C2E07D">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具备履行合同所必需的设备和专业技术能力的声明格式</w:t>
      </w:r>
    </w:p>
    <w:p w14:paraId="3D67F102">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lang w:val="zh-CN"/>
        </w:rPr>
        <w:t>致：</w:t>
      </w:r>
      <w:r>
        <w:rPr>
          <w:rFonts w:hint="eastAsia" w:asciiTheme="minorEastAsia" w:hAnsiTheme="minorEastAsia" w:cstheme="minorEastAsia"/>
          <w:color w:val="auto"/>
          <w:sz w:val="24"/>
          <w:highlight w:val="none"/>
        </w:rPr>
        <w:t>（招标人）</w:t>
      </w:r>
    </w:p>
    <w:p w14:paraId="7CD49DA2">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我单位（投标人名称）郑重声明：我公司具备履行本项采购合同所必需的设备和专业技术能力，为履行本项采购合同我单位具备如下主要设备和主要专业技术能力：</w:t>
      </w:r>
    </w:p>
    <w:p w14:paraId="1135198A">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主要设备有：</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。（若有）</w:t>
      </w:r>
    </w:p>
    <w:p w14:paraId="12E40E93">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主要专业技术能力有：</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。（若有）</w:t>
      </w:r>
    </w:p>
    <w:p w14:paraId="2C8CF6D7">
      <w:pPr>
        <w:spacing w:line="360" w:lineRule="auto"/>
        <w:rPr>
          <w:rFonts w:asciiTheme="minorEastAsia" w:hAnsiTheme="minorEastAsia" w:cstheme="minorEastAsia"/>
          <w:color w:val="auto"/>
          <w:sz w:val="24"/>
          <w:highlight w:val="none"/>
        </w:rPr>
      </w:pPr>
    </w:p>
    <w:p w14:paraId="32BB52EC">
      <w:pPr>
        <w:spacing w:line="360" w:lineRule="auto"/>
        <w:rPr>
          <w:rFonts w:asciiTheme="minorEastAsia" w:hAnsiTheme="minorEastAsia" w:cstheme="minorEastAsia"/>
          <w:color w:val="auto"/>
          <w:sz w:val="24"/>
          <w:highlight w:val="none"/>
        </w:rPr>
      </w:pPr>
    </w:p>
    <w:p w14:paraId="79EC1121">
      <w:pPr>
        <w:spacing w:line="360" w:lineRule="auto"/>
        <w:ind w:firstLine="6000" w:firstLineChars="25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声明人（公章）：</w:t>
      </w:r>
    </w:p>
    <w:p w14:paraId="0CE401A8">
      <w:pPr>
        <w:spacing w:line="360" w:lineRule="auto"/>
        <w:ind w:firstLine="6000" w:firstLineChars="2500"/>
        <w:rPr>
          <w:rFonts w:hint="default"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日期：     年    月    日</w:t>
      </w:r>
    </w:p>
    <w:sectPr>
      <w:headerReference r:id="rId3" w:type="default"/>
      <w:footerReference r:id="rId4" w:type="default"/>
      <w:pgSz w:w="11906" w:h="16838"/>
      <w:pgMar w:top="1134" w:right="1134" w:bottom="1134" w:left="1304" w:header="567" w:footer="907" w:gutter="0"/>
      <w:pgBorders>
        <w:top w:val="none" w:sz="0" w:space="0"/>
        <w:left w:val="none" w:sz="0" w:space="0"/>
        <w:bottom w:val="none" w:sz="0" w:space="0"/>
        <w:right w:val="none" w:sz="0" w:space="0"/>
      </w:pgBorders>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C5DE6">
    <w:pPr>
      <w:pStyle w:val="26"/>
    </w:pPr>
    <w:r>
      <mc:AlternateContent>
        <mc:Choice Requires="wps">
          <w:drawing>
            <wp:anchor distT="0" distB="0" distL="114300" distR="114300" simplePos="0" relativeHeight="251659264" behindDoc="0" locked="0" layoutInCell="1" allowOverlap="1">
              <wp:simplePos x="0" y="0"/>
              <wp:positionH relativeFrom="margin">
                <wp:posOffset>2621280</wp:posOffset>
              </wp:positionH>
              <wp:positionV relativeFrom="paragraph">
                <wp:posOffset>0</wp:posOffset>
              </wp:positionV>
              <wp:extent cx="890905" cy="172085"/>
              <wp:effectExtent l="0" t="0" r="0" b="0"/>
              <wp:wrapNone/>
              <wp:docPr id="2" name="文本框 1026"/>
              <wp:cNvGraphicFramePr/>
              <a:graphic xmlns:a="http://schemas.openxmlformats.org/drawingml/2006/main">
                <a:graphicData uri="http://schemas.microsoft.com/office/word/2010/wordprocessingShape">
                  <wps:wsp>
                    <wps:cNvSpPr txBox="1"/>
                    <wps:spPr bwMode="auto">
                      <a:xfrm>
                        <a:off x="0" y="0"/>
                        <a:ext cx="890905" cy="172085"/>
                      </a:xfrm>
                      <a:prstGeom prst="rect">
                        <a:avLst/>
                      </a:prstGeom>
                      <a:noFill/>
                      <a:ln w="9525">
                        <a:noFill/>
                      </a:ln>
                      <a:effectLst/>
                    </wps:spPr>
                    <wps:txbx>
                      <w:txbxContent>
                        <w:p w14:paraId="02ED7BE0">
                          <w:pPr>
                            <w:pStyle w:val="26"/>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wrap="square" lIns="0" tIns="0" rIns="0" bIns="0">
                      <a:noAutofit/>
                    </wps:bodyPr>
                  </wps:wsp>
                </a:graphicData>
              </a:graphic>
            </wp:anchor>
          </w:drawing>
        </mc:Choice>
        <mc:Fallback>
          <w:pict>
            <v:shape id="文本框 1026" o:spid="_x0000_s1026" o:spt="202" type="#_x0000_t202" style="position:absolute;left:0pt;margin-left:206.4pt;margin-top:0pt;height:13.55pt;width:70.15pt;mso-position-horizontal-relative:margin;z-index:251659264;mso-width-relative:page;mso-height-relative:page;" filled="f" stroked="f" coordsize="21600,21600" o:gfxdata="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25UjPXAAAABwEA&#10;AA8AAAAAAAAAAQAgAAAAIgAAAGRycy9kb3ducmV2LnhtbFBLAQIUABQAAAAIAIdO4kBT0gt34gEA&#10;ALUDAAAOAAAAAAAAAAEAIAAAACYBAABkcnMvZTJvRG9jLnhtbFBLBQYAAAAABgAGAFkBAAB6BQAA&#10;AAA=&#10;">
              <v:fill on="f" focussize="0,0"/>
              <v:stroke on="f"/>
              <v:imagedata o:title=""/>
              <o:lock v:ext="edit" aspectratio="f"/>
              <v:textbox inset="0mm,0mm,0mm,0mm">
                <w:txbxContent>
                  <w:p w14:paraId="02ED7BE0">
                    <w:pPr>
                      <w:pStyle w:val="26"/>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5EE49">
    <w:pPr>
      <w:pStyle w:val="28"/>
      <w:jc w:val="left"/>
    </w:pPr>
    <w:r>
      <w:drawing>
        <wp:inline distT="0" distB="0" distL="0" distR="0">
          <wp:extent cx="1381125" cy="285750"/>
          <wp:effectExtent l="19050" t="0" r="9525" b="0"/>
          <wp:docPr id="4" name="图片 8" descr="c826bae80687e3a7b3b8bc24373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c826bae80687e3a7b3b8bc243736336"/>
                  <pic:cNvPicPr>
                    <a:picLocks noChangeAspect="1"/>
                  </pic:cNvPicPr>
                </pic:nvPicPr>
                <pic:blipFill>
                  <a:blip r:embed="rId1"/>
                  <a:stretch>
                    <a:fillRect/>
                  </a:stretch>
                </pic:blipFill>
                <pic:spPr>
                  <a:xfrm>
                    <a:off x="0" y="0"/>
                    <a:ext cx="1381125" cy="285750"/>
                  </a:xfrm>
                  <a:prstGeom prst="rect">
                    <a:avLst/>
                  </a:prstGeom>
                  <a:noFill/>
                  <a:ln w="9525">
                    <a:noFill/>
                    <a:miter lim="800000"/>
                    <a:headEnd/>
                    <a:tailEnd/>
                  </a:ln>
                </pic:spPr>
              </pic:pic>
            </a:graphicData>
          </a:graphic>
        </wp:inline>
      </w:drawing>
    </w:r>
    <w:r>
      <w:rPr>
        <w:rFonts w:hint="eastAsia"/>
      </w:rPr>
      <w:t xml:space="preserve">                                                                                                                    </w:t>
    </w:r>
    <w:r>
      <w:rPr>
        <w:rFonts w:hint="eastAsia" w:ascii="微软雅黑" w:hAnsi="微软雅黑" w:eastAsia="微软雅黑" w:cs="微软雅黑"/>
        <w:b/>
        <w:bCs/>
        <w:sz w:val="21"/>
        <w:szCs w:val="21"/>
      </w:rPr>
      <w:t>认真 高效 廉洁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E1A74B8"/>
    <w:multiLevelType w:val="multilevel"/>
    <w:tmpl w:val="4E1A74B8"/>
    <w:lvl w:ilvl="0" w:tentative="0">
      <w:start w:val="1"/>
      <w:numFmt w:val="decimalEnclosedCircle"/>
      <w:lvlText w:val="%1"/>
      <w:lvlJc w:val="left"/>
      <w:pPr>
        <w:ind w:left="990" w:hanging="360"/>
      </w:pPr>
      <w:rPr>
        <w:rFonts w:ascii="Times New Roman" w:hAnsi="Times New Roman" w:eastAsia="宋体" w:cs="Times New Roman"/>
      </w:rPr>
    </w:lvl>
    <w:lvl w:ilvl="1" w:tentative="0">
      <w:start w:val="1"/>
      <w:numFmt w:val="decimalEnclosedCircle"/>
      <w:pStyle w:val="203"/>
      <w:lvlText w:val="%2"/>
      <w:lvlJc w:val="left"/>
      <w:pPr>
        <w:ind w:left="840" w:hanging="420"/>
      </w:pPr>
      <w:rPr>
        <w:rFonts w:ascii="Times New Roman" w:hAnsi="Times New Roman" w:eastAsia="宋体" w:cs="Times New Roman"/>
      </w:rPr>
    </w:lvl>
    <w:lvl w:ilvl="2" w:tentative="0">
      <w:start w:val="2"/>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YjA1OWEwNjIwZWY4NjQ3YzJiOGZiMjU1MWM3NzEifQ=="/>
    <w:docVar w:name="KSO_WPS_MARK_KEY" w:val="ef9fe400-f47f-4ebd-bf0f-4af4f24c4f78"/>
  </w:docVars>
  <w:rsids>
    <w:rsidRoot w:val="001607E5"/>
    <w:rsid w:val="0000222B"/>
    <w:rsid w:val="00032AFC"/>
    <w:rsid w:val="0008664D"/>
    <w:rsid w:val="000A48BA"/>
    <w:rsid w:val="000F5611"/>
    <w:rsid w:val="001018FB"/>
    <w:rsid w:val="00102B49"/>
    <w:rsid w:val="00102DAF"/>
    <w:rsid w:val="001607E5"/>
    <w:rsid w:val="001D0631"/>
    <w:rsid w:val="001D1C93"/>
    <w:rsid w:val="00257BCC"/>
    <w:rsid w:val="00275501"/>
    <w:rsid w:val="002938A3"/>
    <w:rsid w:val="002B3C43"/>
    <w:rsid w:val="002B7CFD"/>
    <w:rsid w:val="0031178B"/>
    <w:rsid w:val="00324C95"/>
    <w:rsid w:val="00346C5A"/>
    <w:rsid w:val="00381FFA"/>
    <w:rsid w:val="0038555A"/>
    <w:rsid w:val="003953DE"/>
    <w:rsid w:val="003A6906"/>
    <w:rsid w:val="003D2AA3"/>
    <w:rsid w:val="003D4133"/>
    <w:rsid w:val="0042324D"/>
    <w:rsid w:val="00423B77"/>
    <w:rsid w:val="00444FC9"/>
    <w:rsid w:val="00461ECE"/>
    <w:rsid w:val="004626E8"/>
    <w:rsid w:val="00483573"/>
    <w:rsid w:val="004D5D6A"/>
    <w:rsid w:val="00506117"/>
    <w:rsid w:val="00513964"/>
    <w:rsid w:val="005259C0"/>
    <w:rsid w:val="005277EE"/>
    <w:rsid w:val="00555045"/>
    <w:rsid w:val="006345D4"/>
    <w:rsid w:val="00665DDD"/>
    <w:rsid w:val="00710EF7"/>
    <w:rsid w:val="007221C2"/>
    <w:rsid w:val="00734F4B"/>
    <w:rsid w:val="00750C48"/>
    <w:rsid w:val="00751351"/>
    <w:rsid w:val="00763DC9"/>
    <w:rsid w:val="007A153E"/>
    <w:rsid w:val="008149AE"/>
    <w:rsid w:val="00814A92"/>
    <w:rsid w:val="008422A6"/>
    <w:rsid w:val="00844222"/>
    <w:rsid w:val="008537FF"/>
    <w:rsid w:val="00860AAB"/>
    <w:rsid w:val="00867FFD"/>
    <w:rsid w:val="008750CF"/>
    <w:rsid w:val="00886A05"/>
    <w:rsid w:val="008A4D99"/>
    <w:rsid w:val="008D3245"/>
    <w:rsid w:val="008D7AB4"/>
    <w:rsid w:val="00903A81"/>
    <w:rsid w:val="00921C73"/>
    <w:rsid w:val="00931F61"/>
    <w:rsid w:val="0095304C"/>
    <w:rsid w:val="00965C05"/>
    <w:rsid w:val="00994F1F"/>
    <w:rsid w:val="009976B6"/>
    <w:rsid w:val="009B6DE8"/>
    <w:rsid w:val="00A45CAE"/>
    <w:rsid w:val="00B37DED"/>
    <w:rsid w:val="00BA6126"/>
    <w:rsid w:val="00BC7FBA"/>
    <w:rsid w:val="00BD0009"/>
    <w:rsid w:val="00BD5FFA"/>
    <w:rsid w:val="00C5165D"/>
    <w:rsid w:val="00C54ADA"/>
    <w:rsid w:val="00C71F96"/>
    <w:rsid w:val="00D01447"/>
    <w:rsid w:val="00D05C41"/>
    <w:rsid w:val="00D223FB"/>
    <w:rsid w:val="00D46CB5"/>
    <w:rsid w:val="00D70A30"/>
    <w:rsid w:val="00D82857"/>
    <w:rsid w:val="00DC3F88"/>
    <w:rsid w:val="00DD41A2"/>
    <w:rsid w:val="00DE2EE9"/>
    <w:rsid w:val="00E34F09"/>
    <w:rsid w:val="00E57E3D"/>
    <w:rsid w:val="00EA1981"/>
    <w:rsid w:val="00EB6002"/>
    <w:rsid w:val="00ED4B15"/>
    <w:rsid w:val="00F17DC1"/>
    <w:rsid w:val="00F31F12"/>
    <w:rsid w:val="00F456D7"/>
    <w:rsid w:val="00F9111F"/>
    <w:rsid w:val="00F9347C"/>
    <w:rsid w:val="00FA066C"/>
    <w:rsid w:val="00FA08FD"/>
    <w:rsid w:val="00FD1479"/>
    <w:rsid w:val="00FF70FB"/>
    <w:rsid w:val="012B64AF"/>
    <w:rsid w:val="01C963F3"/>
    <w:rsid w:val="01F53D45"/>
    <w:rsid w:val="045046FF"/>
    <w:rsid w:val="05742F65"/>
    <w:rsid w:val="05CB3586"/>
    <w:rsid w:val="05EA5007"/>
    <w:rsid w:val="066C72D7"/>
    <w:rsid w:val="07D72725"/>
    <w:rsid w:val="07EF7321"/>
    <w:rsid w:val="07FC1230"/>
    <w:rsid w:val="084E649F"/>
    <w:rsid w:val="08BF311E"/>
    <w:rsid w:val="08C61283"/>
    <w:rsid w:val="08D3272D"/>
    <w:rsid w:val="094419D8"/>
    <w:rsid w:val="096B4234"/>
    <w:rsid w:val="0A1318AA"/>
    <w:rsid w:val="0B64718D"/>
    <w:rsid w:val="0BAA1044"/>
    <w:rsid w:val="0D737F1F"/>
    <w:rsid w:val="0DB777AD"/>
    <w:rsid w:val="0E4A7F12"/>
    <w:rsid w:val="0E5626EA"/>
    <w:rsid w:val="0E8E615F"/>
    <w:rsid w:val="0F015A03"/>
    <w:rsid w:val="0FE50224"/>
    <w:rsid w:val="1101240C"/>
    <w:rsid w:val="115F39D5"/>
    <w:rsid w:val="118712CE"/>
    <w:rsid w:val="124A36D5"/>
    <w:rsid w:val="12A83E03"/>
    <w:rsid w:val="158A6497"/>
    <w:rsid w:val="15B33C35"/>
    <w:rsid w:val="16152317"/>
    <w:rsid w:val="168B2B0E"/>
    <w:rsid w:val="16981F3E"/>
    <w:rsid w:val="170B44AF"/>
    <w:rsid w:val="174F1BF6"/>
    <w:rsid w:val="18CA0CDF"/>
    <w:rsid w:val="18E611E1"/>
    <w:rsid w:val="19063631"/>
    <w:rsid w:val="1951749F"/>
    <w:rsid w:val="1959610D"/>
    <w:rsid w:val="19F85670"/>
    <w:rsid w:val="1A0836F9"/>
    <w:rsid w:val="1A2E53E4"/>
    <w:rsid w:val="1A4456D0"/>
    <w:rsid w:val="1A6C60CD"/>
    <w:rsid w:val="1A980C31"/>
    <w:rsid w:val="1B1875CE"/>
    <w:rsid w:val="1B835B95"/>
    <w:rsid w:val="1B96113D"/>
    <w:rsid w:val="1BCD48DA"/>
    <w:rsid w:val="1BE433C9"/>
    <w:rsid w:val="1C164F14"/>
    <w:rsid w:val="1C7D402D"/>
    <w:rsid w:val="1D7F5DED"/>
    <w:rsid w:val="1DA869C4"/>
    <w:rsid w:val="1E761259"/>
    <w:rsid w:val="1EF63F47"/>
    <w:rsid w:val="200636BC"/>
    <w:rsid w:val="209D7852"/>
    <w:rsid w:val="20AC2015"/>
    <w:rsid w:val="21043BD6"/>
    <w:rsid w:val="21395A05"/>
    <w:rsid w:val="214870D5"/>
    <w:rsid w:val="215853D6"/>
    <w:rsid w:val="225073FC"/>
    <w:rsid w:val="23506789"/>
    <w:rsid w:val="235E3DED"/>
    <w:rsid w:val="23C4333D"/>
    <w:rsid w:val="247D6DFF"/>
    <w:rsid w:val="25643BBA"/>
    <w:rsid w:val="25F371A4"/>
    <w:rsid w:val="25F5014E"/>
    <w:rsid w:val="25FE6C33"/>
    <w:rsid w:val="26B03760"/>
    <w:rsid w:val="27E9484A"/>
    <w:rsid w:val="285B6B7F"/>
    <w:rsid w:val="291B6C85"/>
    <w:rsid w:val="293B10D5"/>
    <w:rsid w:val="2A216386"/>
    <w:rsid w:val="2B1E2A5D"/>
    <w:rsid w:val="2B44327B"/>
    <w:rsid w:val="2B7217DC"/>
    <w:rsid w:val="2B867186"/>
    <w:rsid w:val="2BDB00FF"/>
    <w:rsid w:val="2BDB3C20"/>
    <w:rsid w:val="2BFF27DA"/>
    <w:rsid w:val="2C3C6E9F"/>
    <w:rsid w:val="2C574ADD"/>
    <w:rsid w:val="2CE5762D"/>
    <w:rsid w:val="2D900EBE"/>
    <w:rsid w:val="2DE31D62"/>
    <w:rsid w:val="2DFD7DAC"/>
    <w:rsid w:val="2E026666"/>
    <w:rsid w:val="2E165C6D"/>
    <w:rsid w:val="2E552D91"/>
    <w:rsid w:val="2EEC39D8"/>
    <w:rsid w:val="2F3321FA"/>
    <w:rsid w:val="2F544C9F"/>
    <w:rsid w:val="2FFB046F"/>
    <w:rsid w:val="305A25CD"/>
    <w:rsid w:val="30E651B5"/>
    <w:rsid w:val="31B00187"/>
    <w:rsid w:val="31FC517A"/>
    <w:rsid w:val="337816A3"/>
    <w:rsid w:val="338F44F8"/>
    <w:rsid w:val="339C4E66"/>
    <w:rsid w:val="33B201E6"/>
    <w:rsid w:val="347F162D"/>
    <w:rsid w:val="34922A3C"/>
    <w:rsid w:val="35D65462"/>
    <w:rsid w:val="35ED3757"/>
    <w:rsid w:val="361C67CD"/>
    <w:rsid w:val="363D7C10"/>
    <w:rsid w:val="367A15B2"/>
    <w:rsid w:val="368A71F8"/>
    <w:rsid w:val="369D7429"/>
    <w:rsid w:val="36B24E78"/>
    <w:rsid w:val="36F01751"/>
    <w:rsid w:val="37315AF4"/>
    <w:rsid w:val="37DE4270"/>
    <w:rsid w:val="37FA7A6D"/>
    <w:rsid w:val="38244AA7"/>
    <w:rsid w:val="383710A3"/>
    <w:rsid w:val="38496D6C"/>
    <w:rsid w:val="388D1222"/>
    <w:rsid w:val="38C904AC"/>
    <w:rsid w:val="39910DD9"/>
    <w:rsid w:val="3A690FC4"/>
    <w:rsid w:val="3A744447"/>
    <w:rsid w:val="3AFB3576"/>
    <w:rsid w:val="3BAE657D"/>
    <w:rsid w:val="3BC57AD0"/>
    <w:rsid w:val="3BD74CEB"/>
    <w:rsid w:val="3CE0363F"/>
    <w:rsid w:val="3D6C4254"/>
    <w:rsid w:val="3E9A2A32"/>
    <w:rsid w:val="3FB83028"/>
    <w:rsid w:val="3FE770D2"/>
    <w:rsid w:val="3FEB6F5A"/>
    <w:rsid w:val="409265EE"/>
    <w:rsid w:val="40B91592"/>
    <w:rsid w:val="40F57F6B"/>
    <w:rsid w:val="410D2765"/>
    <w:rsid w:val="41AF64D2"/>
    <w:rsid w:val="41C21BE4"/>
    <w:rsid w:val="420155EB"/>
    <w:rsid w:val="425132C0"/>
    <w:rsid w:val="430A40E0"/>
    <w:rsid w:val="444B5534"/>
    <w:rsid w:val="4484797D"/>
    <w:rsid w:val="45852564"/>
    <w:rsid w:val="467A2DE5"/>
    <w:rsid w:val="47931F23"/>
    <w:rsid w:val="47C0479F"/>
    <w:rsid w:val="48616533"/>
    <w:rsid w:val="486C49B0"/>
    <w:rsid w:val="48773972"/>
    <w:rsid w:val="48E73DE4"/>
    <w:rsid w:val="49033A5C"/>
    <w:rsid w:val="496F29A9"/>
    <w:rsid w:val="49A454A8"/>
    <w:rsid w:val="49C66341"/>
    <w:rsid w:val="4BA95F1B"/>
    <w:rsid w:val="4BEE72A2"/>
    <w:rsid w:val="4BF54CBC"/>
    <w:rsid w:val="4C4C4730"/>
    <w:rsid w:val="4D371A30"/>
    <w:rsid w:val="4D8602C2"/>
    <w:rsid w:val="4DA30E74"/>
    <w:rsid w:val="4E1B2511"/>
    <w:rsid w:val="4E922C96"/>
    <w:rsid w:val="4EA053B3"/>
    <w:rsid w:val="4EFF2952"/>
    <w:rsid w:val="4F180B32"/>
    <w:rsid w:val="4FA94B75"/>
    <w:rsid w:val="50AF3052"/>
    <w:rsid w:val="512E27E4"/>
    <w:rsid w:val="51DD13C6"/>
    <w:rsid w:val="52273978"/>
    <w:rsid w:val="5314255F"/>
    <w:rsid w:val="53C15FC4"/>
    <w:rsid w:val="54091A28"/>
    <w:rsid w:val="543842E0"/>
    <w:rsid w:val="54530666"/>
    <w:rsid w:val="54A67309"/>
    <w:rsid w:val="55E63384"/>
    <w:rsid w:val="563228AA"/>
    <w:rsid w:val="57A46D66"/>
    <w:rsid w:val="57E427B4"/>
    <w:rsid w:val="58070251"/>
    <w:rsid w:val="584C2108"/>
    <w:rsid w:val="58C620A8"/>
    <w:rsid w:val="58F5454D"/>
    <w:rsid w:val="593928F1"/>
    <w:rsid w:val="59B36D38"/>
    <w:rsid w:val="5A253D2B"/>
    <w:rsid w:val="5A7B154E"/>
    <w:rsid w:val="5B774CDD"/>
    <w:rsid w:val="5BDE1EE0"/>
    <w:rsid w:val="5C6F779B"/>
    <w:rsid w:val="5C8E0F41"/>
    <w:rsid w:val="5CD2438D"/>
    <w:rsid w:val="5CFF31EA"/>
    <w:rsid w:val="5D24191A"/>
    <w:rsid w:val="5DC559D7"/>
    <w:rsid w:val="5DFE73A7"/>
    <w:rsid w:val="5E394EDC"/>
    <w:rsid w:val="5E4F64AE"/>
    <w:rsid w:val="5E6466ED"/>
    <w:rsid w:val="5EB84053"/>
    <w:rsid w:val="5F4C3A48"/>
    <w:rsid w:val="5FD03F86"/>
    <w:rsid w:val="5FE06EEA"/>
    <w:rsid w:val="602045A6"/>
    <w:rsid w:val="61614E76"/>
    <w:rsid w:val="61B256D1"/>
    <w:rsid w:val="61CC0880"/>
    <w:rsid w:val="62000BD9"/>
    <w:rsid w:val="62451DF4"/>
    <w:rsid w:val="62A019CE"/>
    <w:rsid w:val="635976C3"/>
    <w:rsid w:val="63F024E1"/>
    <w:rsid w:val="64D03589"/>
    <w:rsid w:val="64EC0698"/>
    <w:rsid w:val="65420B1A"/>
    <w:rsid w:val="664E167B"/>
    <w:rsid w:val="66FB5425"/>
    <w:rsid w:val="686F7E78"/>
    <w:rsid w:val="69913E1E"/>
    <w:rsid w:val="6A040A94"/>
    <w:rsid w:val="6A243EF7"/>
    <w:rsid w:val="6A31115D"/>
    <w:rsid w:val="6A88226F"/>
    <w:rsid w:val="6B603B25"/>
    <w:rsid w:val="6B7457A6"/>
    <w:rsid w:val="6BD19E79"/>
    <w:rsid w:val="6C863145"/>
    <w:rsid w:val="6CA130E2"/>
    <w:rsid w:val="6E620BF2"/>
    <w:rsid w:val="6EF62B48"/>
    <w:rsid w:val="6FB70357"/>
    <w:rsid w:val="6FDC61FC"/>
    <w:rsid w:val="7009478C"/>
    <w:rsid w:val="71DE0262"/>
    <w:rsid w:val="728C28C5"/>
    <w:rsid w:val="735E58C1"/>
    <w:rsid w:val="73FA4F7C"/>
    <w:rsid w:val="74CF1C9F"/>
    <w:rsid w:val="75EF25F8"/>
    <w:rsid w:val="75F2239C"/>
    <w:rsid w:val="76373B19"/>
    <w:rsid w:val="76BD44A5"/>
    <w:rsid w:val="76FF15C8"/>
    <w:rsid w:val="77456248"/>
    <w:rsid w:val="78010F38"/>
    <w:rsid w:val="78283BA0"/>
    <w:rsid w:val="78415F31"/>
    <w:rsid w:val="79BF22E2"/>
    <w:rsid w:val="79C2291A"/>
    <w:rsid w:val="7AB224AB"/>
    <w:rsid w:val="7AF81F4F"/>
    <w:rsid w:val="7B0004F2"/>
    <w:rsid w:val="7B1C3E77"/>
    <w:rsid w:val="7B5D7ABB"/>
    <w:rsid w:val="7C9FA40D"/>
    <w:rsid w:val="7CEA3B1A"/>
    <w:rsid w:val="7D1961AD"/>
    <w:rsid w:val="7D3927A9"/>
    <w:rsid w:val="7DA67B57"/>
    <w:rsid w:val="7DEE8F18"/>
    <w:rsid w:val="7E0D1B42"/>
    <w:rsid w:val="7EDE320A"/>
    <w:rsid w:val="7F13473F"/>
    <w:rsid w:val="7F264BB1"/>
    <w:rsid w:val="B7A5C65F"/>
    <w:rsid w:val="CFFFF255"/>
    <w:rsid w:val="F3BF8722"/>
    <w:rsid w:val="F3F9D26D"/>
    <w:rsid w:val="F9EF430F"/>
    <w:rsid w:val="F9FEC9F4"/>
    <w:rsid w:val="FDBFBD9A"/>
    <w:rsid w:val="FDFC7244"/>
    <w:rsid w:val="FF5D5E95"/>
    <w:rsid w:val="FF7F07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qFormat="1"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link w:val="56"/>
    <w:qFormat/>
    <w:uiPriority w:val="9"/>
    <w:pPr>
      <w:widowControl/>
      <w:spacing w:before="120" w:after="240"/>
      <w:ind w:right="240"/>
      <w:jc w:val="left"/>
      <w:outlineLvl w:val="0"/>
    </w:pPr>
    <w:rPr>
      <w:rFonts w:ascii="宋体" w:hAnsi="宋体" w:eastAsia="宋体" w:cs="Times New Roman"/>
      <w:b/>
      <w:bCs/>
      <w:sz w:val="14"/>
      <w:szCs w:val="14"/>
    </w:rPr>
  </w:style>
  <w:style w:type="paragraph" w:styleId="3">
    <w:name w:val="heading 2"/>
    <w:basedOn w:val="1"/>
    <w:next w:val="1"/>
    <w:link w:val="212"/>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215"/>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2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1"/>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62"/>
    <w:unhideWhenUsed/>
    <w:qFormat/>
    <w:uiPriority w:val="9"/>
    <w:pPr>
      <w:keepNext/>
      <w:keepLines/>
      <w:spacing w:before="320" w:after="200"/>
      <w:outlineLvl w:val="5"/>
    </w:pPr>
    <w:rPr>
      <w:rFonts w:ascii="Arial" w:hAnsi="Arial" w:eastAsia="Arial" w:cs="Arial"/>
      <w:b/>
      <w:bCs/>
      <w:sz w:val="22"/>
    </w:rPr>
  </w:style>
  <w:style w:type="paragraph" w:styleId="8">
    <w:name w:val="heading 7"/>
    <w:basedOn w:val="1"/>
    <w:next w:val="1"/>
    <w:link w:val="63"/>
    <w:unhideWhenUsed/>
    <w:qFormat/>
    <w:uiPriority w:val="9"/>
    <w:pPr>
      <w:keepNext/>
      <w:keepLines/>
      <w:spacing w:before="320" w:after="200"/>
      <w:outlineLvl w:val="6"/>
    </w:pPr>
    <w:rPr>
      <w:rFonts w:ascii="Arial" w:hAnsi="Arial" w:eastAsia="Arial" w:cs="Arial"/>
      <w:b/>
      <w:bCs/>
      <w:i/>
      <w:iCs/>
      <w:sz w:val="22"/>
    </w:rPr>
  </w:style>
  <w:style w:type="paragraph" w:styleId="9">
    <w:name w:val="heading 8"/>
    <w:basedOn w:val="1"/>
    <w:next w:val="1"/>
    <w:link w:val="64"/>
    <w:unhideWhenUsed/>
    <w:qFormat/>
    <w:uiPriority w:val="9"/>
    <w:pPr>
      <w:keepNext/>
      <w:keepLines/>
      <w:spacing w:before="320" w:after="200"/>
      <w:outlineLvl w:val="7"/>
    </w:pPr>
    <w:rPr>
      <w:rFonts w:ascii="Arial" w:hAnsi="Arial" w:eastAsia="Arial" w:cs="Arial"/>
      <w:i/>
      <w:iCs/>
      <w:sz w:val="22"/>
    </w:rPr>
  </w:style>
  <w:style w:type="paragraph" w:styleId="10">
    <w:name w:val="heading 9"/>
    <w:basedOn w:val="1"/>
    <w:next w:val="1"/>
    <w:link w:val="65"/>
    <w:unhideWhenUsed/>
    <w:qFormat/>
    <w:uiPriority w:val="9"/>
    <w:pPr>
      <w:keepNext/>
      <w:keepLines/>
      <w:spacing w:before="320" w:after="200"/>
      <w:outlineLvl w:val="8"/>
    </w:pPr>
    <w:rPr>
      <w:rFonts w:ascii="Arial" w:hAnsi="Arial" w:eastAsia="Arial" w:cs="Arial"/>
      <w:i/>
      <w:iCs/>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Normal Indent"/>
    <w:basedOn w:val="1"/>
    <w:qFormat/>
    <w:uiPriority w:val="99"/>
    <w:pPr>
      <w:ind w:firstLine="420"/>
    </w:pPr>
    <w:rPr>
      <w:rFonts w:ascii="Times New Roman" w:hAnsi="Times New Roman" w:eastAsia="宋体" w:cs="Times New Roman"/>
      <w:szCs w:val="24"/>
    </w:rPr>
  </w:style>
  <w:style w:type="paragraph" w:styleId="13">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toa heading"/>
    <w:basedOn w:val="1"/>
    <w:next w:val="1"/>
    <w:unhideWhenUsed/>
    <w:qFormat/>
    <w:uiPriority w:val="99"/>
    <w:pPr>
      <w:spacing w:before="120"/>
    </w:pPr>
    <w:rPr>
      <w:rFonts w:ascii="Arial" w:hAnsi="Arial"/>
      <w:sz w:val="24"/>
    </w:rPr>
  </w:style>
  <w:style w:type="paragraph" w:styleId="15">
    <w:name w:val="annotation text"/>
    <w:basedOn w:val="1"/>
    <w:link w:val="231"/>
    <w:unhideWhenUsed/>
    <w:qFormat/>
    <w:uiPriority w:val="0"/>
    <w:pPr>
      <w:jc w:val="left"/>
    </w:pPr>
  </w:style>
  <w:style w:type="paragraph" w:styleId="16">
    <w:name w:val="Body Text"/>
    <w:basedOn w:val="1"/>
    <w:next w:val="1"/>
    <w:link w:val="205"/>
    <w:qFormat/>
    <w:uiPriority w:val="99"/>
    <w:pPr>
      <w:spacing w:after="120"/>
    </w:pPr>
    <w:rPr>
      <w:rFonts w:ascii="Times New Roman" w:hAnsi="Times New Roman" w:eastAsia="宋体" w:cs="Times New Roman"/>
      <w:sz w:val="24"/>
      <w:szCs w:val="24"/>
    </w:rPr>
  </w:style>
  <w:style w:type="paragraph" w:styleId="17">
    <w:name w:val="Body Text Indent"/>
    <w:basedOn w:val="1"/>
    <w:qFormat/>
    <w:uiPriority w:val="0"/>
    <w:pPr>
      <w:spacing w:line="480" w:lineRule="exact"/>
      <w:ind w:firstLine="480" w:firstLineChars="200"/>
    </w:pPr>
    <w:rPr>
      <w:rFonts w:ascii="宋体" w:hAnsi="宋体"/>
      <w:sz w:val="24"/>
    </w:rPr>
  </w:style>
  <w:style w:type="paragraph" w:styleId="18">
    <w:name w:val="toc 5"/>
    <w:basedOn w:val="1"/>
    <w:next w:val="1"/>
    <w:unhideWhenUsed/>
    <w:qFormat/>
    <w:uiPriority w:val="39"/>
    <w:pPr>
      <w:spacing w:after="57"/>
      <w:ind w:left="1134"/>
    </w:pPr>
  </w:style>
  <w:style w:type="paragraph" w:styleId="19">
    <w:name w:val="toc 3"/>
    <w:basedOn w:val="1"/>
    <w:next w:val="1"/>
    <w:qFormat/>
    <w:uiPriority w:val="39"/>
    <w:pPr>
      <w:ind w:left="840"/>
    </w:pPr>
    <w:rPr>
      <w:rFonts w:ascii="Calibri" w:hAnsi="Calibri" w:eastAsia="宋体" w:cs="Times New Roman"/>
    </w:rPr>
  </w:style>
  <w:style w:type="paragraph" w:styleId="20">
    <w:name w:val="Plain Text"/>
    <w:basedOn w:val="1"/>
    <w:link w:val="213"/>
    <w:qFormat/>
    <w:uiPriority w:val="0"/>
    <w:rPr>
      <w:rFonts w:ascii="宋体" w:hAnsi="Courier New"/>
    </w:rPr>
  </w:style>
  <w:style w:type="paragraph" w:styleId="21">
    <w:name w:val="toc 8"/>
    <w:basedOn w:val="1"/>
    <w:next w:val="1"/>
    <w:unhideWhenUsed/>
    <w:qFormat/>
    <w:uiPriority w:val="39"/>
    <w:pPr>
      <w:spacing w:after="57"/>
      <w:ind w:left="1984"/>
    </w:pPr>
  </w:style>
  <w:style w:type="paragraph" w:styleId="22">
    <w:name w:val="Date"/>
    <w:basedOn w:val="1"/>
    <w:next w:val="1"/>
    <w:link w:val="221"/>
    <w:qFormat/>
    <w:uiPriority w:val="0"/>
    <w:pPr>
      <w:ind w:left="100"/>
    </w:pPr>
    <w:rPr>
      <w:rFonts w:ascii="Times New Roman" w:hAnsi="Times New Roman" w:eastAsia="宋体" w:cs="Times New Roman"/>
      <w:szCs w:val="24"/>
    </w:rPr>
  </w:style>
  <w:style w:type="paragraph" w:styleId="23">
    <w:name w:val="Body Text Indent 2"/>
    <w:basedOn w:val="1"/>
    <w:qFormat/>
    <w:uiPriority w:val="99"/>
    <w:pPr>
      <w:spacing w:line="400" w:lineRule="exact"/>
      <w:ind w:firstLine="480"/>
    </w:pPr>
    <w:rPr>
      <w:rFonts w:ascii="宋体" w:hAnsi="宋体"/>
      <w:sz w:val="24"/>
      <w:szCs w:val="20"/>
    </w:rPr>
  </w:style>
  <w:style w:type="paragraph" w:styleId="24">
    <w:name w:val="endnote text"/>
    <w:basedOn w:val="1"/>
    <w:link w:val="201"/>
    <w:semiHidden/>
    <w:unhideWhenUsed/>
    <w:qFormat/>
    <w:uiPriority w:val="99"/>
    <w:rPr>
      <w:sz w:val="20"/>
    </w:rPr>
  </w:style>
  <w:style w:type="paragraph" w:styleId="25">
    <w:name w:val="Balloon Text"/>
    <w:basedOn w:val="1"/>
    <w:link w:val="204"/>
    <w:semiHidden/>
    <w:unhideWhenUsed/>
    <w:qFormat/>
    <w:uiPriority w:val="99"/>
    <w:rPr>
      <w:sz w:val="18"/>
      <w:szCs w:val="18"/>
    </w:rPr>
  </w:style>
  <w:style w:type="paragraph" w:styleId="26">
    <w:name w:val="footer"/>
    <w:basedOn w:val="1"/>
    <w:link w:val="208"/>
    <w:unhideWhenUsed/>
    <w:qFormat/>
    <w:uiPriority w:val="99"/>
    <w:pPr>
      <w:tabs>
        <w:tab w:val="center" w:pos="4153"/>
        <w:tab w:val="right" w:pos="8306"/>
      </w:tabs>
      <w:jc w:val="left"/>
    </w:pPr>
    <w:rPr>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link w:val="207"/>
    <w:unhideWhenUsed/>
    <w:qFormat/>
    <w:uiPriority w:val="99"/>
    <w:pPr>
      <w:pBdr>
        <w:bottom w:val="single" w:color="auto" w:sz="6" w:space="1"/>
      </w:pBdr>
      <w:tabs>
        <w:tab w:val="center" w:pos="4153"/>
        <w:tab w:val="right" w:pos="8306"/>
      </w:tabs>
      <w:jc w:val="center"/>
    </w:pPr>
    <w:rPr>
      <w:sz w:val="18"/>
      <w:szCs w:val="18"/>
    </w:rPr>
  </w:style>
  <w:style w:type="paragraph" w:styleId="29">
    <w:name w:val="toc 1"/>
    <w:basedOn w:val="1"/>
    <w:next w:val="1"/>
    <w:qFormat/>
    <w:uiPriority w:val="39"/>
    <w:rPr>
      <w:rFonts w:ascii="Calibri" w:hAnsi="Calibri" w:eastAsia="宋体" w:cs="Times New Roman"/>
    </w:rPr>
  </w:style>
  <w:style w:type="paragraph" w:styleId="30">
    <w:name w:val="toc 4"/>
    <w:basedOn w:val="1"/>
    <w:next w:val="1"/>
    <w:unhideWhenUsed/>
    <w:qFormat/>
    <w:uiPriority w:val="39"/>
    <w:pPr>
      <w:spacing w:after="57"/>
      <w:ind w:left="850"/>
    </w:pPr>
  </w:style>
  <w:style w:type="paragraph" w:styleId="31">
    <w:name w:val="Subtitle"/>
    <w:basedOn w:val="1"/>
    <w:next w:val="1"/>
    <w:link w:val="67"/>
    <w:qFormat/>
    <w:uiPriority w:val="11"/>
    <w:pPr>
      <w:spacing w:before="200" w:after="200"/>
    </w:pPr>
    <w:rPr>
      <w:sz w:val="24"/>
      <w:szCs w:val="24"/>
    </w:rPr>
  </w:style>
  <w:style w:type="paragraph" w:styleId="32">
    <w:name w:val="footnote text"/>
    <w:basedOn w:val="1"/>
    <w:link w:val="200"/>
    <w:semiHidden/>
    <w:unhideWhenUsed/>
    <w:qFormat/>
    <w:uiPriority w:val="99"/>
    <w:pPr>
      <w:spacing w:after="40"/>
    </w:pPr>
    <w:rPr>
      <w:sz w:val="18"/>
    </w:rPr>
  </w:style>
  <w:style w:type="paragraph" w:styleId="33">
    <w:name w:val="toc 6"/>
    <w:basedOn w:val="1"/>
    <w:next w:val="1"/>
    <w:unhideWhenUsed/>
    <w:qFormat/>
    <w:uiPriority w:val="39"/>
    <w:pPr>
      <w:spacing w:after="57"/>
      <w:ind w:left="1417"/>
    </w:pPr>
  </w:style>
  <w:style w:type="paragraph" w:styleId="34">
    <w:name w:val="table of figures"/>
    <w:basedOn w:val="1"/>
    <w:next w:val="1"/>
    <w:unhideWhenUsed/>
    <w:qFormat/>
    <w:uiPriority w:val="99"/>
  </w:style>
  <w:style w:type="paragraph" w:styleId="35">
    <w:name w:val="toc 2"/>
    <w:basedOn w:val="1"/>
    <w:next w:val="1"/>
    <w:qFormat/>
    <w:uiPriority w:val="39"/>
    <w:pPr>
      <w:ind w:left="420"/>
    </w:pPr>
    <w:rPr>
      <w:rFonts w:ascii="Calibri" w:hAnsi="Calibri" w:eastAsia="宋体" w:cs="Times New Roman"/>
    </w:rPr>
  </w:style>
  <w:style w:type="paragraph" w:styleId="36">
    <w:name w:val="toc 9"/>
    <w:basedOn w:val="1"/>
    <w:next w:val="1"/>
    <w:unhideWhenUsed/>
    <w:qFormat/>
    <w:uiPriority w:val="39"/>
    <w:pPr>
      <w:spacing w:after="57"/>
      <w:ind w:left="2268"/>
    </w:pPr>
  </w:style>
  <w:style w:type="paragraph" w:styleId="37">
    <w:name w:val="Body Text 2"/>
    <w:basedOn w:val="1"/>
    <w:qFormat/>
    <w:uiPriority w:val="99"/>
    <w:pPr>
      <w:jc w:val="center"/>
    </w:pPr>
    <w:rPr>
      <w:sz w:val="20"/>
    </w:rPr>
  </w:style>
  <w:style w:type="paragraph" w:styleId="38">
    <w:name w:val="HTML Preformatted"/>
    <w:basedOn w:val="1"/>
    <w:link w:val="2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eastAsia="宋体" w:cs="Times New Roman"/>
      <w:sz w:val="11"/>
      <w:szCs w:val="11"/>
    </w:rPr>
  </w:style>
  <w:style w:type="paragraph" w:styleId="39">
    <w:name w:val="Normal (Web)"/>
    <w:basedOn w:val="1"/>
    <w:unhideWhenUsed/>
    <w:qFormat/>
    <w:uiPriority w:val="0"/>
    <w:pPr>
      <w:widowControl/>
      <w:spacing w:before="100" w:beforeAutospacing="1" w:after="100" w:afterAutospacing="1"/>
      <w:jc w:val="left"/>
    </w:pPr>
    <w:rPr>
      <w:rFonts w:ascii="宋体" w:hAnsi="宋体" w:eastAsia="宋体" w:cs="宋体"/>
      <w:sz w:val="24"/>
      <w:szCs w:val="24"/>
    </w:rPr>
  </w:style>
  <w:style w:type="paragraph" w:styleId="40">
    <w:name w:val="Title"/>
    <w:basedOn w:val="1"/>
    <w:next w:val="1"/>
    <w:link w:val="222"/>
    <w:qFormat/>
    <w:uiPriority w:val="0"/>
    <w:pPr>
      <w:spacing w:before="240" w:after="60"/>
      <w:jc w:val="center"/>
      <w:outlineLvl w:val="0"/>
    </w:pPr>
    <w:rPr>
      <w:rFonts w:ascii="Cambria" w:hAnsi="Cambria" w:eastAsia="黑体" w:cs="Times New Roman"/>
      <w:b/>
      <w:bCs/>
      <w:sz w:val="52"/>
      <w:szCs w:val="32"/>
    </w:rPr>
  </w:style>
  <w:style w:type="paragraph" w:styleId="41">
    <w:name w:val="annotation subject"/>
    <w:basedOn w:val="15"/>
    <w:next w:val="15"/>
    <w:link w:val="232"/>
    <w:semiHidden/>
    <w:unhideWhenUsed/>
    <w:qFormat/>
    <w:uiPriority w:val="99"/>
    <w:rPr>
      <w:b/>
      <w:bCs/>
    </w:rPr>
  </w:style>
  <w:style w:type="paragraph" w:styleId="42">
    <w:name w:val="Body Text First Indent 2"/>
    <w:basedOn w:val="17"/>
    <w:qFormat/>
    <w:uiPriority w:val="0"/>
    <w:pPr>
      <w:spacing w:after="120" w:line="240" w:lineRule="auto"/>
      <w:ind w:left="420" w:leftChars="200" w:firstLine="200"/>
    </w:pPr>
    <w:rPr>
      <w:sz w:val="21"/>
    </w:rPr>
  </w:style>
  <w:style w:type="table" w:styleId="44">
    <w:name w:val="Table Grid"/>
    <w:basedOn w:val="43"/>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endnote reference"/>
    <w:basedOn w:val="45"/>
    <w:semiHidden/>
    <w:unhideWhenUsed/>
    <w:qFormat/>
    <w:uiPriority w:val="99"/>
    <w:rPr>
      <w:vertAlign w:val="superscript"/>
    </w:rPr>
  </w:style>
  <w:style w:type="character" w:styleId="48">
    <w:name w:val="FollowedHyperlink"/>
    <w:qFormat/>
    <w:uiPriority w:val="0"/>
    <w:rPr>
      <w:color w:val="800080"/>
      <w:u w:val="single"/>
    </w:rPr>
  </w:style>
  <w:style w:type="character" w:styleId="49">
    <w:name w:val="Emphasis"/>
    <w:basedOn w:val="45"/>
    <w:qFormat/>
    <w:uiPriority w:val="20"/>
    <w:rPr>
      <w:i/>
    </w:rPr>
  </w:style>
  <w:style w:type="character" w:styleId="50">
    <w:name w:val="Hyperlink"/>
    <w:basedOn w:val="45"/>
    <w:unhideWhenUsed/>
    <w:qFormat/>
    <w:uiPriority w:val="99"/>
    <w:rPr>
      <w:color w:val="0563C1" w:themeColor="hyperlink"/>
      <w:u w:val="single"/>
      <w14:textFill>
        <w14:solidFill>
          <w14:schemeClr w14:val="hlink"/>
        </w14:solidFill>
      </w14:textFill>
    </w:rPr>
  </w:style>
  <w:style w:type="character" w:styleId="51">
    <w:name w:val="annotation reference"/>
    <w:basedOn w:val="45"/>
    <w:unhideWhenUsed/>
    <w:qFormat/>
    <w:uiPriority w:val="0"/>
    <w:rPr>
      <w:sz w:val="21"/>
      <w:szCs w:val="21"/>
    </w:rPr>
  </w:style>
  <w:style w:type="character" w:styleId="52">
    <w:name w:val="footnote reference"/>
    <w:basedOn w:val="45"/>
    <w:unhideWhenUsed/>
    <w:qFormat/>
    <w:uiPriority w:val="99"/>
    <w:rPr>
      <w:vertAlign w:val="superscript"/>
    </w:rPr>
  </w:style>
  <w:style w:type="paragraph" w:customStyle="1" w:styleId="53">
    <w:name w:val="段"/>
    <w:basedOn w:val="1"/>
    <w:next w:val="1"/>
    <w:qFormat/>
    <w:uiPriority w:val="0"/>
    <w:pPr>
      <w:widowControl/>
      <w:ind w:firstLine="200"/>
    </w:pPr>
    <w:rPr>
      <w:rFonts w:hint="eastAsia" w:ascii="宋体"/>
      <w:szCs w:val="20"/>
    </w:rPr>
  </w:style>
  <w:style w:type="paragraph" w:customStyle="1" w:styleId="54">
    <w:name w:val="一级条标题"/>
    <w:basedOn w:val="55"/>
    <w:next w:val="53"/>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55">
    <w:name w:val="章标题"/>
    <w:basedOn w:val="1"/>
    <w:next w:val="1"/>
    <w:qFormat/>
    <w:uiPriority w:val="0"/>
    <w:pPr>
      <w:widowControl/>
      <w:spacing w:before="158" w:after="153" w:line="1292" w:lineRule="atLeast"/>
      <w:jc w:val="center"/>
    </w:pPr>
    <w:rPr>
      <w:rFonts w:ascii="Arial" w:hAnsi="Calibri" w:eastAsia="黑体" w:cs="黑体"/>
      <w:sz w:val="31"/>
      <w:lang w:eastAsia="en-US" w:bidi="en-US"/>
    </w:rPr>
  </w:style>
  <w:style w:type="character" w:customStyle="1" w:styleId="56">
    <w:name w:val="标题 1 Char"/>
    <w:basedOn w:val="45"/>
    <w:link w:val="2"/>
    <w:qFormat/>
    <w:uiPriority w:val="99"/>
    <w:rPr>
      <w:rFonts w:ascii="宋体" w:hAnsi="宋体" w:eastAsia="宋体" w:cs="Times New Roman"/>
      <w:b/>
      <w:bCs/>
      <w:sz w:val="14"/>
      <w:szCs w:val="14"/>
    </w:rPr>
  </w:style>
  <w:style w:type="character" w:customStyle="1" w:styleId="57">
    <w:name w:val="Heading 1 Char"/>
    <w:basedOn w:val="45"/>
    <w:qFormat/>
    <w:uiPriority w:val="9"/>
    <w:rPr>
      <w:rFonts w:ascii="Arial" w:hAnsi="Arial" w:eastAsia="Arial" w:cs="Arial"/>
      <w:sz w:val="40"/>
      <w:szCs w:val="40"/>
    </w:rPr>
  </w:style>
  <w:style w:type="character" w:customStyle="1" w:styleId="58">
    <w:name w:val="Heading 2 Char"/>
    <w:basedOn w:val="45"/>
    <w:qFormat/>
    <w:uiPriority w:val="9"/>
    <w:rPr>
      <w:rFonts w:ascii="Arial" w:hAnsi="Arial" w:eastAsia="Arial" w:cs="Arial"/>
      <w:sz w:val="34"/>
    </w:rPr>
  </w:style>
  <w:style w:type="character" w:customStyle="1" w:styleId="59">
    <w:name w:val="Heading 3 Char"/>
    <w:basedOn w:val="45"/>
    <w:qFormat/>
    <w:uiPriority w:val="9"/>
    <w:rPr>
      <w:rFonts w:ascii="Arial" w:hAnsi="Arial" w:eastAsia="Arial" w:cs="Arial"/>
      <w:sz w:val="30"/>
      <w:szCs w:val="30"/>
    </w:rPr>
  </w:style>
  <w:style w:type="character" w:customStyle="1" w:styleId="60">
    <w:name w:val="Heading 4 Char"/>
    <w:basedOn w:val="45"/>
    <w:qFormat/>
    <w:uiPriority w:val="9"/>
    <w:rPr>
      <w:rFonts w:ascii="Arial" w:hAnsi="Arial" w:eastAsia="Arial" w:cs="Arial"/>
      <w:b/>
      <w:bCs/>
      <w:sz w:val="26"/>
      <w:szCs w:val="26"/>
    </w:rPr>
  </w:style>
  <w:style w:type="character" w:customStyle="1" w:styleId="61">
    <w:name w:val="标题 5 Char"/>
    <w:basedOn w:val="45"/>
    <w:link w:val="6"/>
    <w:qFormat/>
    <w:uiPriority w:val="9"/>
    <w:rPr>
      <w:rFonts w:ascii="Arial" w:hAnsi="Arial" w:eastAsia="Arial" w:cs="Arial"/>
      <w:b/>
      <w:bCs/>
      <w:sz w:val="24"/>
      <w:szCs w:val="24"/>
    </w:rPr>
  </w:style>
  <w:style w:type="character" w:customStyle="1" w:styleId="62">
    <w:name w:val="标题 6 Char"/>
    <w:basedOn w:val="45"/>
    <w:link w:val="7"/>
    <w:qFormat/>
    <w:uiPriority w:val="9"/>
    <w:rPr>
      <w:rFonts w:ascii="Arial" w:hAnsi="Arial" w:eastAsia="Arial" w:cs="Arial"/>
      <w:b/>
      <w:bCs/>
      <w:sz w:val="22"/>
      <w:szCs w:val="22"/>
    </w:rPr>
  </w:style>
  <w:style w:type="character" w:customStyle="1" w:styleId="63">
    <w:name w:val="标题 7 Char"/>
    <w:basedOn w:val="45"/>
    <w:link w:val="8"/>
    <w:qFormat/>
    <w:uiPriority w:val="9"/>
    <w:rPr>
      <w:rFonts w:ascii="Arial" w:hAnsi="Arial" w:eastAsia="Arial" w:cs="Arial"/>
      <w:b/>
      <w:bCs/>
      <w:i/>
      <w:iCs/>
      <w:sz w:val="22"/>
      <w:szCs w:val="22"/>
    </w:rPr>
  </w:style>
  <w:style w:type="character" w:customStyle="1" w:styleId="64">
    <w:name w:val="标题 8 Char"/>
    <w:basedOn w:val="45"/>
    <w:link w:val="9"/>
    <w:qFormat/>
    <w:uiPriority w:val="9"/>
    <w:rPr>
      <w:rFonts w:ascii="Arial" w:hAnsi="Arial" w:eastAsia="Arial" w:cs="Arial"/>
      <w:i/>
      <w:iCs/>
      <w:sz w:val="22"/>
      <w:szCs w:val="22"/>
    </w:rPr>
  </w:style>
  <w:style w:type="character" w:customStyle="1" w:styleId="65">
    <w:name w:val="标题 9 Char"/>
    <w:basedOn w:val="45"/>
    <w:link w:val="10"/>
    <w:qFormat/>
    <w:uiPriority w:val="9"/>
    <w:rPr>
      <w:rFonts w:ascii="Arial" w:hAnsi="Arial" w:eastAsia="Arial" w:cs="Arial"/>
      <w:i/>
      <w:iCs/>
      <w:sz w:val="21"/>
      <w:szCs w:val="21"/>
    </w:rPr>
  </w:style>
  <w:style w:type="character" w:customStyle="1" w:styleId="66">
    <w:name w:val="Title Char"/>
    <w:basedOn w:val="45"/>
    <w:qFormat/>
    <w:uiPriority w:val="10"/>
    <w:rPr>
      <w:sz w:val="48"/>
      <w:szCs w:val="48"/>
    </w:rPr>
  </w:style>
  <w:style w:type="character" w:customStyle="1" w:styleId="67">
    <w:name w:val="副标题 Char"/>
    <w:basedOn w:val="45"/>
    <w:link w:val="31"/>
    <w:qFormat/>
    <w:uiPriority w:val="11"/>
    <w:rPr>
      <w:sz w:val="24"/>
      <w:szCs w:val="24"/>
    </w:rPr>
  </w:style>
  <w:style w:type="paragraph" w:styleId="68">
    <w:name w:val="Quote"/>
    <w:basedOn w:val="1"/>
    <w:next w:val="1"/>
    <w:link w:val="69"/>
    <w:qFormat/>
    <w:uiPriority w:val="29"/>
    <w:pPr>
      <w:ind w:left="720" w:right="720"/>
    </w:pPr>
    <w:rPr>
      <w:i/>
    </w:rPr>
  </w:style>
  <w:style w:type="character" w:customStyle="1" w:styleId="69">
    <w:name w:val="引用 Char"/>
    <w:link w:val="68"/>
    <w:qFormat/>
    <w:uiPriority w:val="29"/>
    <w:rPr>
      <w:i/>
    </w:rPr>
  </w:style>
  <w:style w:type="paragraph" w:styleId="70">
    <w:name w:val="Intense Quote"/>
    <w:basedOn w:val="1"/>
    <w:next w:val="1"/>
    <w:link w:val="7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1">
    <w:name w:val="明显引用 Char"/>
    <w:link w:val="70"/>
    <w:qFormat/>
    <w:uiPriority w:val="30"/>
    <w:rPr>
      <w:i/>
    </w:rPr>
  </w:style>
  <w:style w:type="character" w:customStyle="1" w:styleId="72">
    <w:name w:val="Header Char"/>
    <w:basedOn w:val="45"/>
    <w:qFormat/>
    <w:uiPriority w:val="99"/>
  </w:style>
  <w:style w:type="character" w:customStyle="1" w:styleId="73">
    <w:name w:val="Footer Char"/>
    <w:basedOn w:val="45"/>
    <w:qFormat/>
    <w:uiPriority w:val="99"/>
  </w:style>
  <w:style w:type="character" w:customStyle="1" w:styleId="74">
    <w:name w:val="Caption Char"/>
    <w:qFormat/>
    <w:uiPriority w:val="99"/>
  </w:style>
  <w:style w:type="table" w:customStyle="1" w:styleId="75">
    <w:name w:val="Table Grid Light"/>
    <w:basedOn w:val="43"/>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6">
    <w:name w:val="无格式表格 11"/>
    <w:basedOn w:val="43"/>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7">
    <w:name w:val="无格式表格 21"/>
    <w:basedOn w:val="43"/>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8">
    <w:name w:val="无格式表格 31"/>
    <w:basedOn w:val="43"/>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9">
    <w:name w:val="无格式表格 41"/>
    <w:basedOn w:val="43"/>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0">
    <w:name w:val="无格式表格 51"/>
    <w:basedOn w:val="43"/>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1">
    <w:name w:val="网格表 1 浅色1"/>
    <w:basedOn w:val="43"/>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2">
    <w:name w:val="Grid Table 1 Light - Accent 1"/>
    <w:basedOn w:val="43"/>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83">
    <w:name w:val="Grid Table 1 Light - Accent 2"/>
    <w:basedOn w:val="43"/>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84">
    <w:name w:val="Grid Table 1 Light - Accent 3"/>
    <w:basedOn w:val="43"/>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85">
    <w:name w:val="Grid Table 1 Light - Accent 4"/>
    <w:basedOn w:val="43"/>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86">
    <w:name w:val="Grid Table 1 Light - Accent 5"/>
    <w:basedOn w:val="43"/>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87">
    <w:name w:val="Grid Table 1 Light - Accent 6"/>
    <w:basedOn w:val="43"/>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88">
    <w:name w:val="网格表 21"/>
    <w:basedOn w:val="4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2 - Accent 1"/>
    <w:basedOn w:val="43"/>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90">
    <w:name w:val="Grid Table 2 - Accent 2"/>
    <w:basedOn w:val="43"/>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1">
    <w:name w:val="Grid Table 2 - Accent 3"/>
    <w:basedOn w:val="43"/>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2">
    <w:name w:val="Grid Table 2 - Accent 4"/>
    <w:basedOn w:val="43"/>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3">
    <w:name w:val="Grid Table 2 - Accent 5"/>
    <w:basedOn w:val="43"/>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4">
    <w:name w:val="Grid Table 2 - Accent 6"/>
    <w:basedOn w:val="43"/>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5">
    <w:name w:val="网格表 31"/>
    <w:basedOn w:val="4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6">
    <w:name w:val="Grid Table 3 - Accent 1"/>
    <w:basedOn w:val="43"/>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97">
    <w:name w:val="Grid Table 3 - Accent 2"/>
    <w:basedOn w:val="43"/>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8">
    <w:name w:val="Grid Table 3 - Accent 3"/>
    <w:basedOn w:val="43"/>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9">
    <w:name w:val="Grid Table 3 - Accent 4"/>
    <w:basedOn w:val="43"/>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0">
    <w:name w:val="Grid Table 3 - Accent 5"/>
    <w:basedOn w:val="43"/>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1">
    <w:name w:val="Grid Table 3 - Accent 6"/>
    <w:basedOn w:val="43"/>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2">
    <w:name w:val="网格表 41"/>
    <w:basedOn w:val="43"/>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3">
    <w:name w:val="Grid Table 4 - Accent 1"/>
    <w:basedOn w:val="43"/>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04">
    <w:name w:val="Grid Table 4 - Accent 2"/>
    <w:basedOn w:val="43"/>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5">
    <w:name w:val="Grid Table 4 - Accent 3"/>
    <w:basedOn w:val="43"/>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6">
    <w:name w:val="Grid Table 4 - Accent 4"/>
    <w:basedOn w:val="43"/>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7">
    <w:name w:val="Grid Table 4 - Accent 5"/>
    <w:basedOn w:val="43"/>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8">
    <w:name w:val="Grid Table 4 - Accent 6"/>
    <w:basedOn w:val="43"/>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9">
    <w:name w:val="网格表 5 深色1"/>
    <w:basedOn w:val="4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0">
    <w:name w:val="Grid Table 5 Dark- Accent 1"/>
    <w:basedOn w:val="4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11">
    <w:name w:val="Grid Table 5 Dark - Accent 2"/>
    <w:basedOn w:val="4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12">
    <w:name w:val="Grid Table 5 Dark - Accent 3"/>
    <w:basedOn w:val="4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13">
    <w:name w:val="Grid Table 5 Dark- Accent 4"/>
    <w:basedOn w:val="4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14">
    <w:name w:val="Grid Table 5 Dark - Accent 5"/>
    <w:basedOn w:val="4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15">
    <w:name w:val="Grid Table 5 Dark - Accent 6"/>
    <w:basedOn w:val="4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16">
    <w:name w:val="网格表 6 彩色1"/>
    <w:basedOn w:val="43"/>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7">
    <w:name w:val="Grid Table 6 Colorful - Accent 1"/>
    <w:basedOn w:val="43"/>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8">
    <w:name w:val="Grid Table 6 Colorful - Accent 2"/>
    <w:basedOn w:val="43"/>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9">
    <w:name w:val="Grid Table 6 Colorful - Accent 3"/>
    <w:basedOn w:val="43"/>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20">
    <w:name w:val="Grid Table 6 Colorful - Accent 4"/>
    <w:basedOn w:val="43"/>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1">
    <w:name w:val="Grid Table 6 Colorful - Accent 5"/>
    <w:basedOn w:val="43"/>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2">
    <w:name w:val="Grid Table 6 Colorful - Accent 6"/>
    <w:basedOn w:val="43"/>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23">
    <w:name w:val="网格表 7 彩色1"/>
    <w:basedOn w:val="43"/>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4">
    <w:name w:val="Grid Table 7 Colorful - Accent 1"/>
    <w:basedOn w:val="43"/>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5">
    <w:name w:val="Grid Table 7 Colorful - Accent 2"/>
    <w:basedOn w:val="43"/>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6">
    <w:name w:val="Grid Table 7 Colorful - Accent 3"/>
    <w:basedOn w:val="43"/>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27">
    <w:name w:val="Grid Table 7 Colorful - Accent 4"/>
    <w:basedOn w:val="43"/>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8">
    <w:name w:val="Grid Table 7 Colorful - Accent 5"/>
    <w:basedOn w:val="43"/>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9">
    <w:name w:val="Grid Table 7 Colorful - Accent 6"/>
    <w:basedOn w:val="43"/>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30">
    <w:name w:val="清单表 1 浅色1"/>
    <w:basedOn w:val="43"/>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1">
    <w:name w:val="List Table 1 Light - Accent 1"/>
    <w:basedOn w:val="43"/>
    <w:qFormat/>
    <w:uiPriority w:val="99"/>
    <w:tblPr>
      <w:tblCellMar>
        <w:top w:w="0" w:type="dxa"/>
        <w:left w:w="108" w:type="dxa"/>
        <w:bottom w:w="0" w:type="dxa"/>
        <w:right w:w="108" w:type="dxa"/>
      </w:tblCellMar>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32">
    <w:name w:val="List Table 1 Light - Accent 2"/>
    <w:basedOn w:val="43"/>
    <w:qFormat/>
    <w:uiPriority w:val="99"/>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33">
    <w:name w:val="List Table 1 Light - Accent 3"/>
    <w:basedOn w:val="43"/>
    <w:qFormat/>
    <w:uiPriority w:val="99"/>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34">
    <w:name w:val="List Table 1 Light - Accent 4"/>
    <w:basedOn w:val="43"/>
    <w:qFormat/>
    <w:uiPriority w:val="99"/>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35">
    <w:name w:val="List Table 1 Light - Accent 5"/>
    <w:basedOn w:val="43"/>
    <w:qFormat/>
    <w:uiPriority w:val="99"/>
    <w:tblPr>
      <w:tblCellMar>
        <w:top w:w="0" w:type="dxa"/>
        <w:left w:w="108" w:type="dxa"/>
        <w:bottom w:w="0" w:type="dxa"/>
        <w:right w:w="108" w:type="dxa"/>
      </w:tblCellMar>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36">
    <w:name w:val="List Table 1 Light - Accent 6"/>
    <w:basedOn w:val="43"/>
    <w:qFormat/>
    <w:uiPriority w:val="99"/>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37">
    <w:name w:val="清单表 21"/>
    <w:basedOn w:val="43"/>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8">
    <w:name w:val="List Table 2 - Accent 1"/>
    <w:basedOn w:val="43"/>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9">
    <w:name w:val="List Table 2 - Accent 2"/>
    <w:basedOn w:val="43"/>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0">
    <w:name w:val="List Table 2 - Accent 3"/>
    <w:basedOn w:val="43"/>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1">
    <w:name w:val="List Table 2 - Accent 4"/>
    <w:basedOn w:val="43"/>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2">
    <w:name w:val="List Table 2 - Accent 5"/>
    <w:basedOn w:val="43"/>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3">
    <w:name w:val="List Table 2 - Accent 6"/>
    <w:basedOn w:val="43"/>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4">
    <w:name w:val="清单表 31"/>
    <w:basedOn w:val="4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5">
    <w:name w:val="List Table 3 - Accent 1"/>
    <w:basedOn w:val="43"/>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46">
    <w:name w:val="List Table 3 - Accent 2"/>
    <w:basedOn w:val="43"/>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47">
    <w:name w:val="List Table 3 - Accent 3"/>
    <w:basedOn w:val="43"/>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48">
    <w:name w:val="List Table 3 - Accent 4"/>
    <w:basedOn w:val="43"/>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49">
    <w:name w:val="List Table 3 - Accent 5"/>
    <w:basedOn w:val="43"/>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50">
    <w:name w:val="List Table 3 - Accent 6"/>
    <w:basedOn w:val="43"/>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51">
    <w:name w:val="清单表 41"/>
    <w:basedOn w:val="4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2">
    <w:name w:val="List Table 4 - Accent 1"/>
    <w:basedOn w:val="43"/>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53">
    <w:name w:val="List Table 4 - Accent 2"/>
    <w:basedOn w:val="43"/>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54">
    <w:name w:val="List Table 4 - Accent 3"/>
    <w:basedOn w:val="43"/>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5">
    <w:name w:val="List Table 4 - Accent 4"/>
    <w:basedOn w:val="43"/>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6">
    <w:name w:val="List Table 4 - Accent 5"/>
    <w:basedOn w:val="43"/>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57">
    <w:name w:val="List Table 4 - Accent 6"/>
    <w:basedOn w:val="43"/>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58">
    <w:name w:val="清单表 5 深色1"/>
    <w:basedOn w:val="43"/>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9">
    <w:name w:val="List Table 5 Dark - Accent 1"/>
    <w:basedOn w:val="43"/>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60">
    <w:name w:val="List Table 5 Dark - Accent 2"/>
    <w:basedOn w:val="43"/>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61">
    <w:name w:val="List Table 5 Dark - Accent 3"/>
    <w:basedOn w:val="43"/>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62">
    <w:name w:val="List Table 5 Dark - Accent 4"/>
    <w:basedOn w:val="43"/>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63">
    <w:name w:val="List Table 5 Dark - Accent 5"/>
    <w:basedOn w:val="43"/>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64">
    <w:name w:val="List Table 5 Dark - Accent 6"/>
    <w:basedOn w:val="43"/>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65">
    <w:name w:val="清单表 6 彩色1"/>
    <w:basedOn w:val="43"/>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6">
    <w:name w:val="List Table 6 Colorful - Accent 1"/>
    <w:basedOn w:val="43"/>
    <w:qFormat/>
    <w:uiPriority w:val="99"/>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7">
    <w:name w:val="List Table 6 Colorful - Accent 2"/>
    <w:basedOn w:val="43"/>
    <w:qFormat/>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8">
    <w:name w:val="List Table 6 Colorful - Accent 3"/>
    <w:basedOn w:val="43"/>
    <w:qFormat/>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9">
    <w:name w:val="List Table 6 Colorful - Accent 4"/>
    <w:basedOn w:val="43"/>
    <w:qFormat/>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0">
    <w:name w:val="List Table 6 Colorful - Accent 5"/>
    <w:basedOn w:val="43"/>
    <w:qFormat/>
    <w:uiPriority w:val="99"/>
    <w:tblPr>
      <w:tblBorders>
        <w:top w:val="single" w:color="8EA9DB" w:themeColor="accent5" w:themeTint="9A" w:sz="4" w:space="0"/>
        <w:bottom w:val="single" w:color="8EA9DB" w:themeColor="accent5" w:themeTint="9A" w:sz="4" w:space="0"/>
      </w:tblBorders>
      <w:tblCellMar>
        <w:top w:w="0" w:type="dxa"/>
        <w:left w:w="108" w:type="dxa"/>
        <w:bottom w:w="0" w:type="dxa"/>
        <w:right w:w="108" w:type="dxa"/>
      </w:tblCellMar>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1">
    <w:name w:val="List Table 6 Colorful - Accent 6"/>
    <w:basedOn w:val="43"/>
    <w:qFormat/>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2">
    <w:name w:val="清单表 7 彩色1"/>
    <w:basedOn w:val="43"/>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3">
    <w:name w:val="List Table 7 Colorful - Accent 1"/>
    <w:basedOn w:val="43"/>
    <w:qFormat/>
    <w:uiPriority w:val="99"/>
    <w:tblPr>
      <w:tblBorders>
        <w:right w:val="single" w:color="5B9BD5" w:themeColor="accent1" w:sz="4" w:space="0"/>
      </w:tblBorders>
      <w:tblCellMar>
        <w:top w:w="0" w:type="dxa"/>
        <w:left w:w="108" w:type="dxa"/>
        <w:bottom w:w="0" w:type="dxa"/>
        <w:right w:w="108" w:type="dxa"/>
      </w:tblCellMar>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74">
    <w:name w:val="List Table 7 Colorful - Accent 2"/>
    <w:basedOn w:val="43"/>
    <w:qFormat/>
    <w:uiPriority w:val="99"/>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5">
    <w:name w:val="List Table 7 Colorful - Accent 3"/>
    <w:basedOn w:val="43"/>
    <w:qFormat/>
    <w:uiPriority w:val="99"/>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6">
    <w:name w:val="List Table 7 Colorful - Accent 4"/>
    <w:basedOn w:val="43"/>
    <w:qFormat/>
    <w:uiPriority w:val="99"/>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7">
    <w:name w:val="List Table 7 Colorful - Accent 5"/>
    <w:basedOn w:val="43"/>
    <w:qFormat/>
    <w:uiPriority w:val="99"/>
    <w:tblPr>
      <w:tblBorders>
        <w:right w:val="single" w:color="8EA9DB" w:themeColor="accent5" w:themeTint="9A" w:sz="4" w:space="0"/>
      </w:tblBorders>
      <w:tblCellMar>
        <w:top w:w="0" w:type="dxa"/>
        <w:left w:w="108" w:type="dxa"/>
        <w:bottom w:w="0" w:type="dxa"/>
        <w:right w:w="108" w:type="dxa"/>
      </w:tblCellMar>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8">
    <w:name w:val="List Table 7 Colorful - Accent 6"/>
    <w:basedOn w:val="43"/>
    <w:qFormat/>
    <w:uiPriority w:val="99"/>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9">
    <w:name w:val="Lined - Accent"/>
    <w:basedOn w:val="43"/>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0">
    <w:name w:val="Lined - Accent 1"/>
    <w:basedOn w:val="43"/>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1">
    <w:name w:val="Lined - Accent 2"/>
    <w:basedOn w:val="43"/>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2">
    <w:name w:val="Lined - Accent 3"/>
    <w:basedOn w:val="43"/>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3">
    <w:name w:val="Lined - Accent 4"/>
    <w:basedOn w:val="43"/>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4">
    <w:name w:val="Lined - Accent 5"/>
    <w:basedOn w:val="43"/>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5">
    <w:name w:val="Lined - Accent 6"/>
    <w:basedOn w:val="43"/>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6">
    <w:name w:val="Bordered &amp; Lined - Accent"/>
    <w:basedOn w:val="43"/>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7">
    <w:name w:val="Bordered &amp; Lined - Accent 1"/>
    <w:basedOn w:val="43"/>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8">
    <w:name w:val="Bordered &amp; Lined - Accent 2"/>
    <w:basedOn w:val="43"/>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9">
    <w:name w:val="Bordered &amp; Lined - Accent 3"/>
    <w:basedOn w:val="43"/>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90">
    <w:name w:val="Bordered &amp; Lined - Accent 4"/>
    <w:basedOn w:val="43"/>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91">
    <w:name w:val="Bordered &amp; Lined - Accent 5"/>
    <w:basedOn w:val="43"/>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92">
    <w:name w:val="Bordered &amp; Lined - Accent 6"/>
    <w:basedOn w:val="43"/>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93">
    <w:name w:val="Bordered"/>
    <w:basedOn w:val="43"/>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4">
    <w:name w:val="Bordered - Accent 1"/>
    <w:basedOn w:val="43"/>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95">
    <w:name w:val="Bordered - Accent 2"/>
    <w:basedOn w:val="43"/>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96">
    <w:name w:val="Bordered - Accent 3"/>
    <w:basedOn w:val="43"/>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97">
    <w:name w:val="Bordered - Accent 4"/>
    <w:basedOn w:val="43"/>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98">
    <w:name w:val="Bordered - Accent 5"/>
    <w:basedOn w:val="43"/>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99">
    <w:name w:val="Bordered - Accent 6"/>
    <w:basedOn w:val="43"/>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00">
    <w:name w:val="脚注文本 Char"/>
    <w:link w:val="32"/>
    <w:qFormat/>
    <w:uiPriority w:val="99"/>
    <w:rPr>
      <w:sz w:val="18"/>
    </w:rPr>
  </w:style>
  <w:style w:type="character" w:customStyle="1" w:styleId="201">
    <w:name w:val="尾注文本 Char"/>
    <w:link w:val="24"/>
    <w:qFormat/>
    <w:uiPriority w:val="99"/>
    <w:rPr>
      <w:sz w:val="20"/>
    </w:rPr>
  </w:style>
  <w:style w:type="paragraph" w:customStyle="1" w:styleId="202">
    <w:name w:val="TOC 标题1"/>
    <w:unhideWhenUsed/>
    <w:qFormat/>
    <w:uiPriority w:val="39"/>
    <w:rPr>
      <w:rFonts w:ascii="Times New Roman" w:hAnsi="Times New Roman" w:eastAsia="宋体" w:cs="Times New Roman"/>
      <w:lang w:val="en-US" w:eastAsia="zh-CN" w:bidi="ar-SA"/>
    </w:rPr>
  </w:style>
  <w:style w:type="paragraph" w:styleId="203">
    <w:name w:val="List Paragraph"/>
    <w:basedOn w:val="1"/>
    <w:qFormat/>
    <w:uiPriority w:val="99"/>
    <w:pPr>
      <w:numPr>
        <w:ilvl w:val="1"/>
        <w:numId w:val="1"/>
      </w:numPr>
      <w:spacing w:line="360" w:lineRule="auto"/>
      <w:ind w:left="0" w:firstLine="420"/>
    </w:pPr>
    <w:rPr>
      <w:rFonts w:ascii="Times New Roman" w:hAnsi="Times New Roman" w:eastAsia="宋体" w:cs="Times New Roman"/>
      <w:szCs w:val="21"/>
    </w:rPr>
  </w:style>
  <w:style w:type="character" w:customStyle="1" w:styleId="204">
    <w:name w:val="批注框文本 Char"/>
    <w:basedOn w:val="45"/>
    <w:link w:val="25"/>
    <w:semiHidden/>
    <w:qFormat/>
    <w:uiPriority w:val="99"/>
    <w:rPr>
      <w:sz w:val="18"/>
      <w:szCs w:val="18"/>
    </w:rPr>
  </w:style>
  <w:style w:type="character" w:customStyle="1" w:styleId="205">
    <w:name w:val="正文文本 Char"/>
    <w:basedOn w:val="45"/>
    <w:link w:val="16"/>
    <w:qFormat/>
    <w:uiPriority w:val="99"/>
    <w:rPr>
      <w:rFonts w:ascii="Times New Roman" w:hAnsi="Times New Roman" w:eastAsia="宋体" w:cs="Times New Roman"/>
      <w:sz w:val="24"/>
      <w:szCs w:val="24"/>
    </w:rPr>
  </w:style>
  <w:style w:type="paragraph" w:customStyle="1" w:styleId="206">
    <w:name w:val="标题 41"/>
    <w:basedOn w:val="1"/>
    <w:qFormat/>
    <w:uiPriority w:val="1"/>
    <w:pPr>
      <w:ind w:left="618"/>
      <w:jc w:val="left"/>
      <w:outlineLvl w:val="4"/>
    </w:pPr>
    <w:rPr>
      <w:rFonts w:ascii="宋体" w:hAnsi="宋体" w:eastAsia="宋体" w:cs="宋体"/>
      <w:b/>
      <w:bCs/>
      <w:sz w:val="24"/>
      <w:szCs w:val="24"/>
      <w:lang w:val="zh-CN" w:bidi="zh-CN"/>
    </w:rPr>
  </w:style>
  <w:style w:type="character" w:customStyle="1" w:styleId="207">
    <w:name w:val="页眉 Char"/>
    <w:basedOn w:val="45"/>
    <w:link w:val="28"/>
    <w:qFormat/>
    <w:uiPriority w:val="99"/>
    <w:rPr>
      <w:sz w:val="18"/>
      <w:szCs w:val="18"/>
    </w:rPr>
  </w:style>
  <w:style w:type="character" w:customStyle="1" w:styleId="208">
    <w:name w:val="页脚 Char"/>
    <w:basedOn w:val="45"/>
    <w:link w:val="26"/>
    <w:qFormat/>
    <w:uiPriority w:val="99"/>
    <w:rPr>
      <w:sz w:val="18"/>
      <w:szCs w:val="18"/>
    </w:rPr>
  </w:style>
  <w:style w:type="paragraph" w:customStyle="1" w:styleId="209">
    <w:name w:val="ewb-con-p2"/>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210">
    <w:name w:val="正文2"/>
    <w:basedOn w:val="1"/>
    <w:link w:val="211"/>
    <w:qFormat/>
    <w:uiPriority w:val="99"/>
    <w:pPr>
      <w:spacing w:line="360" w:lineRule="auto"/>
      <w:ind w:firstLine="420"/>
    </w:pPr>
    <w:rPr>
      <w:rFonts w:ascii="宋体" w:hAnsi="宋体" w:eastAsia="宋体" w:cs="宋体"/>
      <w:color w:val="000000"/>
      <w:szCs w:val="21"/>
    </w:rPr>
  </w:style>
  <w:style w:type="character" w:customStyle="1" w:styleId="211">
    <w:name w:val="正文2 Char Char"/>
    <w:basedOn w:val="45"/>
    <w:link w:val="210"/>
    <w:qFormat/>
    <w:uiPriority w:val="99"/>
    <w:rPr>
      <w:rFonts w:ascii="宋体" w:hAnsi="宋体" w:eastAsia="宋体" w:cs="宋体"/>
      <w:color w:val="000000"/>
      <w:sz w:val="21"/>
      <w:szCs w:val="21"/>
    </w:rPr>
  </w:style>
  <w:style w:type="character" w:customStyle="1" w:styleId="212">
    <w:name w:val="标题 2 Char"/>
    <w:basedOn w:val="45"/>
    <w:link w:val="3"/>
    <w:qFormat/>
    <w:uiPriority w:val="0"/>
    <w:rPr>
      <w:rFonts w:ascii="Arial" w:hAnsi="Arial" w:eastAsia="黑体" w:cs="Arial"/>
      <w:b/>
      <w:bCs/>
      <w:sz w:val="32"/>
      <w:szCs w:val="32"/>
    </w:rPr>
  </w:style>
  <w:style w:type="character" w:customStyle="1" w:styleId="213">
    <w:name w:val="纯文本 Char"/>
    <w:basedOn w:val="45"/>
    <w:link w:val="20"/>
    <w:qFormat/>
    <w:uiPriority w:val="0"/>
    <w:rPr>
      <w:rFonts w:ascii="宋体" w:hAnsi="Courier New"/>
      <w:sz w:val="21"/>
      <w:szCs w:val="22"/>
    </w:rPr>
  </w:style>
  <w:style w:type="paragraph" w:customStyle="1" w:styleId="214">
    <w:name w:val="Table Paragraph"/>
    <w:basedOn w:val="1"/>
    <w:qFormat/>
    <w:uiPriority w:val="1"/>
    <w:pPr>
      <w:jc w:val="left"/>
    </w:pPr>
    <w:rPr>
      <w:rFonts w:ascii="宋体" w:hAnsi="宋体" w:eastAsia="宋体" w:cs="宋体"/>
      <w:sz w:val="22"/>
      <w:lang w:val="zh-CN" w:bidi="zh-CN"/>
    </w:rPr>
  </w:style>
  <w:style w:type="character" w:customStyle="1" w:styleId="215">
    <w:name w:val="标题 3 Char"/>
    <w:basedOn w:val="45"/>
    <w:link w:val="4"/>
    <w:qFormat/>
    <w:uiPriority w:val="0"/>
    <w:rPr>
      <w:rFonts w:ascii="Times New Roman" w:hAnsi="Times New Roman" w:eastAsia="宋体" w:cs="Times New Roman"/>
      <w:b/>
      <w:bCs/>
      <w:sz w:val="32"/>
      <w:szCs w:val="32"/>
    </w:rPr>
  </w:style>
  <w:style w:type="paragraph" w:customStyle="1" w:styleId="216">
    <w:name w:val="contentarticle"/>
    <w:basedOn w:val="1"/>
    <w:qFormat/>
    <w:uiPriority w:val="0"/>
    <w:pPr>
      <w:widowControl/>
      <w:spacing w:before="100" w:beforeAutospacing="1" w:after="100" w:afterAutospacing="1"/>
      <w:jc w:val="left"/>
    </w:pPr>
    <w:rPr>
      <w:rFonts w:ascii="宋体" w:hAnsi="宋体" w:eastAsia="宋体" w:cs="宋体"/>
      <w:sz w:val="24"/>
    </w:rPr>
  </w:style>
  <w:style w:type="character" w:customStyle="1" w:styleId="217">
    <w:name w:val="p21"/>
    <w:qFormat/>
    <w:uiPriority w:val="0"/>
    <w:rPr>
      <w:sz w:val="9"/>
      <w:szCs w:val="9"/>
    </w:rPr>
  </w:style>
  <w:style w:type="character" w:customStyle="1" w:styleId="218">
    <w:name w:val="HTML 预设格式 Char"/>
    <w:basedOn w:val="45"/>
    <w:link w:val="38"/>
    <w:qFormat/>
    <w:uiPriority w:val="99"/>
    <w:rPr>
      <w:rFonts w:ascii="Arial" w:hAnsi="Arial" w:eastAsia="宋体" w:cs="Times New Roman"/>
      <w:sz w:val="11"/>
      <w:szCs w:val="11"/>
    </w:rPr>
  </w:style>
  <w:style w:type="paragraph" w:customStyle="1" w:styleId="219">
    <w:name w:val="t_black_12_b"/>
    <w:basedOn w:val="1"/>
    <w:qFormat/>
    <w:uiPriority w:val="0"/>
    <w:pPr>
      <w:widowControl/>
      <w:jc w:val="left"/>
    </w:pPr>
    <w:rPr>
      <w:rFonts w:ascii="宋体" w:hAnsi="宋体" w:eastAsia="宋体" w:cs="宋体"/>
      <w:b/>
      <w:bCs/>
      <w:color w:val="212121"/>
      <w:sz w:val="9"/>
      <w:szCs w:val="9"/>
    </w:rPr>
  </w:style>
  <w:style w:type="paragraph" w:customStyle="1" w:styleId="22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221">
    <w:name w:val="日期 Char"/>
    <w:basedOn w:val="45"/>
    <w:link w:val="22"/>
    <w:qFormat/>
    <w:uiPriority w:val="0"/>
    <w:rPr>
      <w:rFonts w:ascii="Times New Roman" w:hAnsi="Times New Roman" w:eastAsia="宋体" w:cs="Times New Roman"/>
      <w:sz w:val="21"/>
      <w:szCs w:val="24"/>
    </w:rPr>
  </w:style>
  <w:style w:type="character" w:customStyle="1" w:styleId="222">
    <w:name w:val="标题 Char"/>
    <w:basedOn w:val="45"/>
    <w:link w:val="40"/>
    <w:qFormat/>
    <w:uiPriority w:val="0"/>
    <w:rPr>
      <w:rFonts w:ascii="Cambria" w:hAnsi="Cambria" w:eastAsia="黑体" w:cs="Times New Roman"/>
      <w:b/>
      <w:bCs/>
      <w:sz w:val="52"/>
      <w:szCs w:val="32"/>
    </w:rPr>
  </w:style>
  <w:style w:type="paragraph" w:customStyle="1" w:styleId="223">
    <w:name w:val="标题3"/>
    <w:basedOn w:val="1"/>
    <w:link w:val="225"/>
    <w:qFormat/>
    <w:uiPriority w:val="0"/>
    <w:pPr>
      <w:pageBreakBefore/>
      <w:jc w:val="center"/>
      <w:outlineLvl w:val="2"/>
    </w:pPr>
    <w:rPr>
      <w:rFonts w:ascii="黑体" w:hAnsi="黑体" w:eastAsia="黑体" w:cs="Times New Roman"/>
      <w:b/>
      <w:sz w:val="32"/>
      <w:szCs w:val="32"/>
    </w:rPr>
  </w:style>
  <w:style w:type="paragraph" w:customStyle="1" w:styleId="224">
    <w:name w:val="TOC 标题11"/>
    <w:basedOn w:val="2"/>
    <w:next w:val="1"/>
    <w:qFormat/>
    <w:uiPriority w:val="39"/>
    <w:pPr>
      <w:keepNext/>
      <w:keepLines/>
      <w:spacing w:before="480" w:after="0" w:line="276" w:lineRule="auto"/>
      <w:ind w:right="0"/>
      <w:outlineLvl w:val="9"/>
    </w:pPr>
    <w:rPr>
      <w:rFonts w:ascii="Cambria" w:hAnsi="Cambria"/>
      <w:color w:val="365F91"/>
      <w:sz w:val="28"/>
      <w:szCs w:val="28"/>
    </w:rPr>
  </w:style>
  <w:style w:type="character" w:customStyle="1" w:styleId="225">
    <w:name w:val="标题3 Char"/>
    <w:link w:val="223"/>
    <w:qFormat/>
    <w:uiPriority w:val="0"/>
    <w:rPr>
      <w:rFonts w:ascii="黑体" w:hAnsi="黑体" w:eastAsia="黑体" w:cs="Times New Roman"/>
      <w:b/>
      <w:sz w:val="32"/>
      <w:szCs w:val="32"/>
    </w:rPr>
  </w:style>
  <w:style w:type="paragraph" w:styleId="226">
    <w:name w:val="No Spacing"/>
    <w:qFormat/>
    <w:uiPriority w:val="1"/>
    <w:pPr>
      <w:widowControl w:val="0"/>
      <w:jc w:val="center"/>
    </w:pPr>
    <w:rPr>
      <w:rFonts w:ascii="Times New Roman" w:hAnsi="Times New Roman" w:eastAsia="黑体" w:cs="Times New Roman"/>
      <w:sz w:val="30"/>
      <w:szCs w:val="24"/>
      <w:lang w:val="en-US" w:eastAsia="zh-CN" w:bidi="ar-SA"/>
    </w:rPr>
  </w:style>
  <w:style w:type="paragraph" w:customStyle="1" w:styleId="227">
    <w:name w:val="正文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28">
    <w:name w:val="正文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29">
    <w:name w:val="正文1"/>
    <w:qFormat/>
    <w:uiPriority w:val="0"/>
    <w:pPr>
      <w:widowControl w:val="0"/>
      <w:jc w:val="both"/>
    </w:pPr>
    <w:rPr>
      <w:rFonts w:ascii="Times New Roman" w:hAnsi="Times New Roman" w:eastAsia="Times New Roman" w:cs="Times New Roman"/>
      <w:sz w:val="21"/>
      <w:szCs w:val="24"/>
      <w:lang w:val="en-US" w:eastAsia="zh-CN" w:bidi="ar-SA"/>
    </w:rPr>
  </w:style>
  <w:style w:type="paragraph" w:customStyle="1" w:styleId="230">
    <w:name w:val="正文_1"/>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231">
    <w:name w:val="批注文字 Char"/>
    <w:basedOn w:val="45"/>
    <w:link w:val="15"/>
    <w:qFormat/>
    <w:uiPriority w:val="0"/>
    <w:rPr>
      <w:rFonts w:asciiTheme="minorHAnsi" w:hAnsiTheme="minorHAnsi" w:eastAsiaTheme="minorEastAsia" w:cstheme="minorBidi"/>
      <w:sz w:val="21"/>
      <w:szCs w:val="22"/>
    </w:rPr>
  </w:style>
  <w:style w:type="character" w:customStyle="1" w:styleId="232">
    <w:name w:val="批注主题 Char"/>
    <w:basedOn w:val="231"/>
    <w:link w:val="41"/>
    <w:semiHidden/>
    <w:qFormat/>
    <w:uiPriority w:val="99"/>
    <w:rPr>
      <w:rFonts w:asciiTheme="minorHAnsi" w:hAnsiTheme="minorHAnsi" w:eastAsiaTheme="minorEastAsia" w:cstheme="minorBidi"/>
      <w:b/>
      <w:bCs/>
      <w:sz w:val="21"/>
      <w:szCs w:val="22"/>
    </w:rPr>
  </w:style>
  <w:style w:type="paragraph" w:customStyle="1" w:styleId="233">
    <w:name w:val="修订1"/>
    <w:hidden/>
    <w:unhideWhenUsed/>
    <w:qFormat/>
    <w:uiPriority w:val="99"/>
    <w:rPr>
      <w:rFonts w:asciiTheme="minorHAnsi" w:hAnsiTheme="minorHAnsi" w:eastAsiaTheme="minorEastAsia" w:cstheme="minorBidi"/>
      <w:sz w:val="21"/>
      <w:szCs w:val="22"/>
      <w:lang w:val="en-US" w:eastAsia="zh-CN" w:bidi="ar-SA"/>
    </w:rPr>
  </w:style>
  <w:style w:type="character" w:customStyle="1" w:styleId="234">
    <w:name w:val="标题 4 Char"/>
    <w:basedOn w:val="45"/>
    <w:link w:val="5"/>
    <w:qFormat/>
    <w:uiPriority w:val="9"/>
    <w:rPr>
      <w:rFonts w:asciiTheme="majorHAnsi" w:hAnsiTheme="majorHAnsi" w:eastAsiaTheme="majorEastAsia" w:cstheme="majorBidi"/>
      <w:b/>
      <w:bCs/>
      <w:sz w:val="28"/>
      <w:szCs w:val="28"/>
    </w:rPr>
  </w:style>
  <w:style w:type="paragraph" w:customStyle="1" w:styleId="235">
    <w:name w:val="BodyText"/>
    <w:basedOn w:val="1"/>
    <w:qFormat/>
    <w:uiPriority w:val="0"/>
    <w:pPr>
      <w:spacing w:after="120"/>
    </w:pPr>
    <w:rPr>
      <w:rFonts w:ascii="Calibri" w:hAnsi="Times New Roman" w:eastAsia="宋体" w:cs="Times New Roman"/>
      <w:sz w:val="20"/>
      <w:szCs w:val="20"/>
    </w:rPr>
  </w:style>
  <w:style w:type="table" w:customStyle="1" w:styleId="236">
    <w:name w:val="Table Normal"/>
    <w:basedOn w:val="43"/>
    <w:semiHidden/>
    <w:qFormat/>
    <w:uiPriority w:val="2"/>
    <w:tblPr>
      <w:tblCellMar>
        <w:top w:w="0" w:type="dxa"/>
        <w:left w:w="0" w:type="dxa"/>
        <w:bottom w:w="0" w:type="dxa"/>
        <w:right w:w="0" w:type="dxa"/>
      </w:tblCellMar>
    </w:tblPr>
  </w:style>
  <w:style w:type="paragraph" w:customStyle="1" w:styleId="237">
    <w:name w:val="列出段落1"/>
    <w:basedOn w:val="1"/>
    <w:qFormat/>
    <w:uiPriority w:val="99"/>
    <w:pPr>
      <w:ind w:firstLine="420"/>
    </w:pPr>
    <w:rPr>
      <w:rFonts w:ascii="Times New Roman" w:hAnsi="Times New Roman" w:eastAsia="宋体" w:cs="Times New Roman"/>
      <w:szCs w:val="24"/>
    </w:rPr>
  </w:style>
  <w:style w:type="paragraph" w:customStyle="1" w:styleId="238">
    <w:name w:val="hk正文"/>
    <w:basedOn w:val="1"/>
    <w:qFormat/>
    <w:uiPriority w:val="0"/>
    <w:pPr>
      <w:spacing w:line="440" w:lineRule="exact"/>
      <w:ind w:firstLine="560"/>
    </w:pPr>
    <w:rPr>
      <w:rFonts w:ascii="Arial" w:hAnsi="Arial" w:eastAsia="宋体" w:cs="宋体"/>
      <w:szCs w:val="28"/>
    </w:rPr>
  </w:style>
  <w:style w:type="paragraph" w:customStyle="1" w:styleId="239">
    <w:name w:val="首行缩进"/>
    <w:basedOn w:val="1"/>
    <w:qFormat/>
    <w:uiPriority w:val="0"/>
    <w:pPr>
      <w:ind w:firstLine="480"/>
    </w:pPr>
    <w:rPr>
      <w:rFonts w:ascii="Calibri" w:hAnsi="Calibri" w:eastAsia="楷体_GB2312"/>
      <w:sz w:val="26"/>
      <w:lang w:val="zh-CN"/>
    </w:rPr>
  </w:style>
  <w:style w:type="paragraph" w:customStyle="1" w:styleId="240">
    <w:name w:val="普通正文"/>
    <w:basedOn w:val="1"/>
    <w:qFormat/>
    <w:uiPriority w:val="99"/>
    <w:pPr>
      <w:adjustRightInd w:val="0"/>
      <w:spacing w:before="120" w:after="120" w:line="360" w:lineRule="auto"/>
      <w:ind w:firstLine="480"/>
      <w:jc w:val="left"/>
      <w:textAlignment w:val="baseline"/>
    </w:pPr>
    <w:rPr>
      <w:rFonts w:ascii="Arial" w:hAnsi="Arial"/>
      <w:sz w:val="24"/>
    </w:rPr>
  </w:style>
  <w:style w:type="paragraph" w:customStyle="1" w:styleId="241">
    <w:name w:val="Table Text"/>
    <w:basedOn w:val="1"/>
    <w:semiHidden/>
    <w:qFormat/>
    <w:uiPriority w:val="0"/>
    <w:rPr>
      <w:rFonts w:ascii="Arial" w:hAnsi="Arial" w:eastAsia="Arial" w:cs="Arial"/>
      <w:szCs w:val="21"/>
      <w:lang w:eastAsia="en-US"/>
    </w:rPr>
  </w:style>
  <w:style w:type="paragraph" w:customStyle="1" w:styleId="242">
    <w:name w:val="表格文字"/>
    <w:basedOn w:val="1"/>
    <w:qFormat/>
    <w:uiPriority w:val="0"/>
    <w:pPr>
      <w:adjustRightInd w:val="0"/>
      <w:spacing w:line="420" w:lineRule="atLeast"/>
      <w:jc w:val="left"/>
      <w:textAlignment w:val="baseline"/>
    </w:pPr>
    <w:rPr>
      <w:rFonts w:ascii="Times New Roman" w:hAnsi="Times New Roman"/>
    </w:rPr>
  </w:style>
  <w:style w:type="paragraph" w:customStyle="1" w:styleId="243">
    <w:name w:val="彩色列表 - 强调文字颜色 11"/>
    <w:basedOn w:val="1"/>
    <w:qFormat/>
    <w:uiPriority w:val="0"/>
    <w:pPr>
      <w:spacing w:before="100" w:beforeAutospacing="1" w:after="160" w:line="256" w:lineRule="auto"/>
      <w:ind w:firstLine="420" w:firstLineChars="200"/>
    </w:pPr>
    <w:rPr>
      <w:rFonts w:ascii="Times New Roman" w:hAnsi="Times New Roman"/>
      <w:szCs w:val="21"/>
    </w:rPr>
  </w:style>
  <w:style w:type="paragraph" w:customStyle="1" w:styleId="244">
    <w:name w:val="修订2"/>
    <w:hidden/>
    <w:unhideWhenUsed/>
    <w:qFormat/>
    <w:uiPriority w:val="99"/>
    <w:rPr>
      <w:rFonts w:asciiTheme="minorHAnsi" w:hAnsiTheme="minorHAnsi" w:eastAsiaTheme="minorEastAsia" w:cstheme="minorBidi"/>
      <w:sz w:val="21"/>
      <w:szCs w:val="22"/>
      <w:lang w:val="en-US" w:eastAsia="zh-CN" w:bidi="ar-SA"/>
    </w:rPr>
  </w:style>
  <w:style w:type="paragraph" w:customStyle="1" w:styleId="245">
    <w:name w:val="修订3"/>
    <w:hidden/>
    <w:unhideWhenUsed/>
    <w:qFormat/>
    <w:uiPriority w:val="99"/>
    <w:rPr>
      <w:rFonts w:asciiTheme="minorHAnsi" w:hAnsiTheme="minorHAnsi" w:eastAsiaTheme="minorEastAsia" w:cstheme="minorBidi"/>
      <w:sz w:val="21"/>
      <w:szCs w:val="22"/>
      <w:lang w:val="en-US" w:eastAsia="zh-CN" w:bidi="ar-SA"/>
    </w:rPr>
  </w:style>
  <w:style w:type="paragraph" w:customStyle="1" w:styleId="246">
    <w:name w:val="修订4"/>
    <w:hidden/>
    <w:unhideWhenUsed/>
    <w:qFormat/>
    <w:uiPriority w:val="99"/>
    <w:rPr>
      <w:rFonts w:asciiTheme="minorHAnsi" w:hAnsiTheme="minorHAnsi" w:eastAsiaTheme="minorEastAsia" w:cstheme="minorBidi"/>
      <w:sz w:val="21"/>
      <w:szCs w:val="22"/>
      <w:lang w:val="en-US" w:eastAsia="zh-CN" w:bidi="ar-SA"/>
    </w:rPr>
  </w:style>
  <w:style w:type="paragraph" w:customStyle="1" w:styleId="247">
    <w:name w:val="修订5"/>
    <w:hidden/>
    <w:unhideWhenUsed/>
    <w:qFormat/>
    <w:uiPriority w:val="99"/>
    <w:rPr>
      <w:rFonts w:asciiTheme="minorHAnsi" w:hAnsiTheme="minorHAnsi" w:eastAsiaTheme="minorEastAsia" w:cstheme="minorBidi"/>
      <w:sz w:val="21"/>
      <w:szCs w:val="22"/>
      <w:lang w:val="en-US" w:eastAsia="zh-CN" w:bidi="ar-SA"/>
    </w:rPr>
  </w:style>
  <w:style w:type="paragraph" w:customStyle="1" w:styleId="248">
    <w:name w:val="标题 5（有编号）（绿盟科技）"/>
    <w:basedOn w:val="1"/>
    <w:next w:val="249"/>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4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50">
    <w:name w:val="正文首行缩进 21"/>
    <w:basedOn w:val="251"/>
    <w:next w:val="1"/>
    <w:qFormat/>
    <w:uiPriority w:val="0"/>
    <w:pPr>
      <w:spacing w:after="0" w:line="360" w:lineRule="auto"/>
      <w:ind w:left="0" w:firstLine="420"/>
    </w:pPr>
    <w:rPr>
      <w:rFonts w:ascii="宋体" w:hAnsi="宋体"/>
      <w:szCs w:val="20"/>
    </w:rPr>
  </w:style>
  <w:style w:type="paragraph" w:customStyle="1" w:styleId="251">
    <w:name w:val="正文文本缩进1"/>
    <w:basedOn w:val="1"/>
    <w:next w:val="250"/>
    <w:unhideWhenUsed/>
    <w:qFormat/>
    <w:uiPriority w:val="0"/>
    <w:pPr>
      <w:spacing w:after="120"/>
      <w:ind w:left="420"/>
    </w:pPr>
  </w:style>
  <w:style w:type="character" w:customStyle="1" w:styleId="252">
    <w:name w:val="font31"/>
    <w:basedOn w:val="45"/>
    <w:qFormat/>
    <w:uiPriority w:val="0"/>
    <w:rPr>
      <w:rFonts w:ascii="宋体" w:hAnsi="宋体" w:eastAsia="宋体" w:cs="宋体"/>
      <w:color w:val="000000"/>
      <w:sz w:val="14"/>
      <w:szCs w:val="14"/>
      <w:u w:val="none"/>
    </w:rPr>
  </w:style>
  <w:style w:type="character" w:customStyle="1" w:styleId="253">
    <w:name w:val="font41"/>
    <w:basedOn w:val="45"/>
    <w:qFormat/>
    <w:uiPriority w:val="0"/>
    <w:rPr>
      <w:rFonts w:ascii="宋体" w:hAnsi="宋体" w:eastAsia="宋体" w:cs="宋体"/>
      <w:color w:val="000000"/>
      <w:sz w:val="10"/>
      <w:szCs w:val="10"/>
      <w:u w:val="none"/>
    </w:rPr>
  </w:style>
  <w:style w:type="character" w:customStyle="1" w:styleId="254">
    <w:name w:val="font21"/>
    <w:basedOn w:val="45"/>
    <w:qFormat/>
    <w:uiPriority w:val="0"/>
    <w:rPr>
      <w:rFonts w:ascii="宋体" w:hAnsi="宋体" w:eastAsia="宋体" w:cs="宋体"/>
      <w:color w:val="000000"/>
      <w:sz w:val="12"/>
      <w:szCs w:val="12"/>
      <w:u w:val="none"/>
    </w:rPr>
  </w:style>
  <w:style w:type="character" w:customStyle="1" w:styleId="255">
    <w:name w:val="font281"/>
    <w:basedOn w:val="45"/>
    <w:qFormat/>
    <w:uiPriority w:val="0"/>
    <w:rPr>
      <w:rFonts w:ascii="宋体" w:hAnsi="宋体" w:eastAsia="宋体" w:cs="宋体"/>
      <w:color w:val="624800"/>
      <w:sz w:val="14"/>
      <w:szCs w:val="14"/>
      <w:u w:val="none"/>
    </w:rPr>
  </w:style>
  <w:style w:type="character" w:customStyle="1" w:styleId="256">
    <w:name w:val="font13"/>
    <w:basedOn w:val="45"/>
    <w:qFormat/>
    <w:uiPriority w:val="0"/>
    <w:rPr>
      <w:rFonts w:ascii="宋体" w:hAnsi="宋体" w:eastAsia="宋体" w:cs="宋体"/>
      <w:color w:val="634C00"/>
      <w:sz w:val="14"/>
      <w:szCs w:val="14"/>
      <w:u w:val="none"/>
    </w:rPr>
  </w:style>
  <w:style w:type="character" w:customStyle="1" w:styleId="257">
    <w:name w:val="font42"/>
    <w:basedOn w:val="45"/>
    <w:qFormat/>
    <w:uiPriority w:val="0"/>
    <w:rPr>
      <w:rFonts w:ascii="宋体" w:hAnsi="宋体" w:eastAsia="宋体" w:cs="宋体"/>
      <w:color w:val="4D3800"/>
      <w:sz w:val="14"/>
      <w:szCs w:val="14"/>
      <w:u w:val="none"/>
    </w:rPr>
  </w:style>
  <w:style w:type="character" w:customStyle="1" w:styleId="258">
    <w:name w:val="font671"/>
    <w:basedOn w:val="45"/>
    <w:qFormat/>
    <w:uiPriority w:val="0"/>
    <w:rPr>
      <w:rFonts w:ascii="宋体" w:hAnsi="宋体" w:eastAsia="宋体" w:cs="宋体"/>
      <w:color w:val="000000"/>
      <w:sz w:val="14"/>
      <w:szCs w:val="14"/>
      <w:u w:val="none"/>
    </w:rPr>
  </w:style>
  <w:style w:type="character" w:customStyle="1" w:styleId="259">
    <w:name w:val="font71"/>
    <w:basedOn w:val="45"/>
    <w:qFormat/>
    <w:uiPriority w:val="0"/>
    <w:rPr>
      <w:rFonts w:ascii="宋体" w:hAnsi="宋体" w:eastAsia="宋体" w:cs="宋体"/>
      <w:color w:val="5F4600"/>
      <w:sz w:val="14"/>
      <w:szCs w:val="14"/>
      <w:u w:val="none"/>
    </w:rPr>
  </w:style>
  <w:style w:type="character" w:customStyle="1" w:styleId="260">
    <w:name w:val="font81"/>
    <w:basedOn w:val="45"/>
    <w:qFormat/>
    <w:uiPriority w:val="0"/>
    <w:rPr>
      <w:rFonts w:ascii="宋体" w:hAnsi="宋体" w:eastAsia="宋体" w:cs="宋体"/>
      <w:color w:val="614700"/>
      <w:sz w:val="14"/>
      <w:szCs w:val="14"/>
      <w:u w:val="none"/>
    </w:rPr>
  </w:style>
  <w:style w:type="character" w:customStyle="1" w:styleId="261">
    <w:name w:val="font91"/>
    <w:basedOn w:val="45"/>
    <w:qFormat/>
    <w:uiPriority w:val="0"/>
    <w:rPr>
      <w:rFonts w:ascii="宋体" w:hAnsi="宋体" w:eastAsia="宋体" w:cs="宋体"/>
      <w:color w:val="302500"/>
      <w:sz w:val="14"/>
      <w:szCs w:val="14"/>
      <w:u w:val="none"/>
    </w:rPr>
  </w:style>
  <w:style w:type="character" w:customStyle="1" w:styleId="262">
    <w:name w:val="font111"/>
    <w:basedOn w:val="45"/>
    <w:qFormat/>
    <w:uiPriority w:val="0"/>
    <w:rPr>
      <w:rFonts w:ascii="宋体" w:hAnsi="宋体" w:eastAsia="宋体" w:cs="宋体"/>
      <w:color w:val="664E00"/>
      <w:sz w:val="14"/>
      <w:szCs w:val="14"/>
      <w:u w:val="none"/>
    </w:rPr>
  </w:style>
  <w:style w:type="character" w:customStyle="1" w:styleId="263">
    <w:name w:val="font121"/>
    <w:basedOn w:val="45"/>
    <w:qFormat/>
    <w:uiPriority w:val="0"/>
    <w:rPr>
      <w:rFonts w:ascii="宋体" w:hAnsi="宋体" w:eastAsia="宋体" w:cs="宋体"/>
      <w:color w:val="3C2E00"/>
      <w:sz w:val="14"/>
      <w:szCs w:val="14"/>
      <w:u w:val="none"/>
    </w:rPr>
  </w:style>
  <w:style w:type="character" w:customStyle="1" w:styleId="264">
    <w:name w:val="font141"/>
    <w:basedOn w:val="45"/>
    <w:qFormat/>
    <w:uiPriority w:val="0"/>
    <w:rPr>
      <w:rFonts w:ascii="宋体" w:hAnsi="宋体" w:eastAsia="宋体" w:cs="宋体"/>
      <w:color w:val="5A4200"/>
      <w:sz w:val="14"/>
      <w:szCs w:val="14"/>
      <w:u w:val="none"/>
    </w:rPr>
  </w:style>
  <w:style w:type="character" w:customStyle="1" w:styleId="265">
    <w:name w:val="font171"/>
    <w:basedOn w:val="45"/>
    <w:qFormat/>
    <w:uiPriority w:val="0"/>
    <w:rPr>
      <w:rFonts w:ascii="宋体" w:hAnsi="宋体" w:eastAsia="宋体" w:cs="宋体"/>
      <w:color w:val="7F6100"/>
      <w:sz w:val="14"/>
      <w:szCs w:val="14"/>
      <w:u w:val="none"/>
    </w:rPr>
  </w:style>
  <w:style w:type="character" w:customStyle="1" w:styleId="266">
    <w:name w:val="font181"/>
    <w:basedOn w:val="45"/>
    <w:qFormat/>
    <w:uiPriority w:val="0"/>
    <w:rPr>
      <w:rFonts w:ascii="宋体" w:hAnsi="宋体" w:eastAsia="宋体" w:cs="宋体"/>
      <w:color w:val="3D2F00"/>
      <w:sz w:val="14"/>
      <w:szCs w:val="14"/>
      <w:u w:val="none"/>
    </w:rPr>
  </w:style>
  <w:style w:type="character" w:customStyle="1" w:styleId="267">
    <w:name w:val="font201"/>
    <w:basedOn w:val="45"/>
    <w:qFormat/>
    <w:uiPriority w:val="0"/>
    <w:rPr>
      <w:rFonts w:ascii="宋体" w:hAnsi="宋体" w:eastAsia="宋体" w:cs="宋体"/>
      <w:color w:val="6D5400"/>
      <w:sz w:val="14"/>
      <w:szCs w:val="14"/>
      <w:u w:val="none"/>
    </w:rPr>
  </w:style>
  <w:style w:type="character" w:customStyle="1" w:styleId="268">
    <w:name w:val="font212"/>
    <w:basedOn w:val="45"/>
    <w:qFormat/>
    <w:uiPriority w:val="0"/>
    <w:rPr>
      <w:rFonts w:ascii="宋体" w:hAnsi="宋体" w:eastAsia="宋体" w:cs="宋体"/>
      <w:color w:val="735800"/>
      <w:sz w:val="14"/>
      <w:szCs w:val="14"/>
      <w:u w:val="none"/>
    </w:rPr>
  </w:style>
  <w:style w:type="character" w:customStyle="1" w:styleId="269">
    <w:name w:val="font681"/>
    <w:basedOn w:val="45"/>
    <w:qFormat/>
    <w:uiPriority w:val="0"/>
    <w:rPr>
      <w:rFonts w:ascii="宋体" w:hAnsi="宋体" w:eastAsia="宋体" w:cs="宋体"/>
      <w:color w:val="362800"/>
      <w:sz w:val="14"/>
      <w:szCs w:val="14"/>
      <w:u w:val="none"/>
    </w:rPr>
  </w:style>
  <w:style w:type="character" w:customStyle="1" w:styleId="270">
    <w:name w:val="font221"/>
    <w:basedOn w:val="45"/>
    <w:qFormat/>
    <w:uiPriority w:val="0"/>
    <w:rPr>
      <w:rFonts w:ascii="宋体" w:hAnsi="宋体" w:eastAsia="宋体" w:cs="宋体"/>
      <w:color w:val="473600"/>
      <w:sz w:val="14"/>
      <w:szCs w:val="14"/>
      <w:u w:val="none"/>
    </w:rPr>
  </w:style>
  <w:style w:type="character" w:customStyle="1" w:styleId="271">
    <w:name w:val="font691"/>
    <w:basedOn w:val="45"/>
    <w:qFormat/>
    <w:uiPriority w:val="0"/>
    <w:rPr>
      <w:rFonts w:ascii="宋体" w:hAnsi="宋体" w:eastAsia="宋体" w:cs="宋体"/>
      <w:color w:val="5D4700"/>
      <w:sz w:val="12"/>
      <w:szCs w:val="12"/>
      <w:u w:val="none"/>
    </w:rPr>
  </w:style>
  <w:style w:type="character" w:customStyle="1" w:styleId="272">
    <w:name w:val="font251"/>
    <w:basedOn w:val="45"/>
    <w:qFormat/>
    <w:uiPriority w:val="0"/>
    <w:rPr>
      <w:rFonts w:ascii="宋体" w:hAnsi="宋体" w:eastAsia="宋体" w:cs="宋体"/>
      <w:color w:val="3F3000"/>
      <w:sz w:val="10"/>
      <w:szCs w:val="10"/>
      <w:u w:val="none"/>
    </w:rPr>
  </w:style>
  <w:style w:type="character" w:customStyle="1" w:styleId="273">
    <w:name w:val="font261"/>
    <w:basedOn w:val="45"/>
    <w:qFormat/>
    <w:uiPriority w:val="0"/>
    <w:rPr>
      <w:rFonts w:ascii="宋体" w:hAnsi="宋体" w:eastAsia="宋体" w:cs="宋体"/>
      <w:color w:val="604600"/>
      <w:sz w:val="14"/>
      <w:szCs w:val="14"/>
      <w:u w:val="none"/>
    </w:rPr>
  </w:style>
  <w:style w:type="character" w:customStyle="1" w:styleId="274">
    <w:name w:val="font271"/>
    <w:basedOn w:val="45"/>
    <w:qFormat/>
    <w:uiPriority w:val="0"/>
    <w:rPr>
      <w:rFonts w:ascii="宋体" w:hAnsi="宋体" w:eastAsia="宋体" w:cs="宋体"/>
      <w:color w:val="4E3C00"/>
      <w:sz w:val="14"/>
      <w:szCs w:val="14"/>
      <w:u w:val="none"/>
    </w:rPr>
  </w:style>
  <w:style w:type="character" w:customStyle="1" w:styleId="275">
    <w:name w:val="font312"/>
    <w:basedOn w:val="45"/>
    <w:qFormat/>
    <w:uiPriority w:val="0"/>
    <w:rPr>
      <w:rFonts w:ascii="宋体" w:hAnsi="宋体" w:eastAsia="宋体" w:cs="宋体"/>
      <w:color w:val="694D00"/>
      <w:sz w:val="14"/>
      <w:szCs w:val="14"/>
      <w:u w:val="none"/>
    </w:rPr>
  </w:style>
  <w:style w:type="character" w:customStyle="1" w:styleId="276">
    <w:name w:val="font241"/>
    <w:basedOn w:val="45"/>
    <w:qFormat/>
    <w:uiPriority w:val="0"/>
    <w:rPr>
      <w:rFonts w:ascii="宋体" w:hAnsi="宋体" w:eastAsia="宋体" w:cs="宋体"/>
      <w:color w:val="553E00"/>
      <w:sz w:val="14"/>
      <w:szCs w:val="14"/>
      <w:u w:val="none"/>
    </w:rPr>
  </w:style>
  <w:style w:type="character" w:customStyle="1" w:styleId="277">
    <w:name w:val="font321"/>
    <w:basedOn w:val="45"/>
    <w:qFormat/>
    <w:uiPriority w:val="0"/>
    <w:rPr>
      <w:rFonts w:ascii="宋体" w:hAnsi="宋体" w:eastAsia="宋体" w:cs="宋体"/>
      <w:color w:val="574000"/>
      <w:sz w:val="14"/>
      <w:szCs w:val="14"/>
      <w:u w:val="none"/>
    </w:rPr>
  </w:style>
  <w:style w:type="character" w:customStyle="1" w:styleId="278">
    <w:name w:val="font61"/>
    <w:basedOn w:val="45"/>
    <w:qFormat/>
    <w:uiPriority w:val="0"/>
    <w:rPr>
      <w:rFonts w:ascii="宋体" w:hAnsi="宋体" w:eastAsia="宋体" w:cs="宋体"/>
      <w:color w:val="332700"/>
      <w:sz w:val="14"/>
      <w:szCs w:val="14"/>
      <w:u w:val="none"/>
    </w:rPr>
  </w:style>
  <w:style w:type="character" w:customStyle="1" w:styleId="279">
    <w:name w:val="font351"/>
    <w:basedOn w:val="45"/>
    <w:qFormat/>
    <w:uiPriority w:val="0"/>
    <w:rPr>
      <w:rFonts w:ascii="宋体" w:hAnsi="宋体" w:eastAsia="宋体" w:cs="宋体"/>
      <w:color w:val="392A00"/>
      <w:sz w:val="14"/>
      <w:szCs w:val="14"/>
      <w:u w:val="none"/>
    </w:rPr>
  </w:style>
  <w:style w:type="character" w:customStyle="1" w:styleId="280">
    <w:name w:val="font301"/>
    <w:basedOn w:val="45"/>
    <w:qFormat/>
    <w:uiPriority w:val="0"/>
    <w:rPr>
      <w:rFonts w:ascii="宋体" w:hAnsi="宋体" w:eastAsia="宋体" w:cs="宋体"/>
      <w:color w:val="513E00"/>
      <w:sz w:val="14"/>
      <w:szCs w:val="14"/>
      <w:u w:val="none"/>
    </w:rPr>
  </w:style>
  <w:style w:type="character" w:customStyle="1" w:styleId="281">
    <w:name w:val="font361"/>
    <w:basedOn w:val="45"/>
    <w:qFormat/>
    <w:uiPriority w:val="0"/>
    <w:rPr>
      <w:rFonts w:ascii="宋体" w:hAnsi="宋体" w:eastAsia="宋体" w:cs="宋体"/>
      <w:color w:val="534000"/>
      <w:sz w:val="14"/>
      <w:szCs w:val="14"/>
      <w:u w:val="none"/>
    </w:rPr>
  </w:style>
  <w:style w:type="character" w:customStyle="1" w:styleId="282">
    <w:name w:val="font371"/>
    <w:basedOn w:val="45"/>
    <w:qFormat/>
    <w:uiPriority w:val="0"/>
    <w:rPr>
      <w:rFonts w:ascii="宋体" w:hAnsi="宋体" w:eastAsia="宋体" w:cs="宋体"/>
      <w:color w:val="725700"/>
      <w:sz w:val="14"/>
      <w:szCs w:val="14"/>
      <w:u w:val="none"/>
    </w:rPr>
  </w:style>
  <w:style w:type="character" w:customStyle="1" w:styleId="283">
    <w:name w:val="font391"/>
    <w:basedOn w:val="45"/>
    <w:qFormat/>
    <w:uiPriority w:val="0"/>
    <w:rPr>
      <w:rFonts w:ascii="宋体" w:hAnsi="宋体" w:eastAsia="宋体" w:cs="宋体"/>
      <w:color w:val="584300"/>
      <w:sz w:val="14"/>
      <w:szCs w:val="14"/>
      <w:u w:val="none"/>
    </w:rPr>
  </w:style>
  <w:style w:type="character" w:customStyle="1" w:styleId="284">
    <w:name w:val="font331"/>
    <w:basedOn w:val="45"/>
    <w:qFormat/>
    <w:uiPriority w:val="0"/>
    <w:rPr>
      <w:rFonts w:ascii="宋体" w:hAnsi="宋体" w:eastAsia="宋体" w:cs="宋体"/>
      <w:color w:val="3A2C00"/>
      <w:sz w:val="14"/>
      <w:szCs w:val="14"/>
      <w:u w:val="none"/>
    </w:rPr>
  </w:style>
  <w:style w:type="character" w:customStyle="1" w:styleId="285">
    <w:name w:val="font411"/>
    <w:basedOn w:val="45"/>
    <w:qFormat/>
    <w:uiPriority w:val="0"/>
    <w:rPr>
      <w:rFonts w:ascii="宋体" w:hAnsi="宋体" w:eastAsia="宋体" w:cs="宋体"/>
      <w:color w:val="433100"/>
      <w:sz w:val="14"/>
      <w:szCs w:val="14"/>
      <w:u w:val="none"/>
    </w:rPr>
  </w:style>
  <w:style w:type="character" w:customStyle="1" w:styleId="286">
    <w:name w:val="font401"/>
    <w:basedOn w:val="45"/>
    <w:qFormat/>
    <w:uiPriority w:val="0"/>
    <w:rPr>
      <w:rFonts w:ascii="宋体" w:hAnsi="宋体" w:eastAsia="宋体" w:cs="宋体"/>
      <w:color w:val="413000"/>
      <w:sz w:val="14"/>
      <w:szCs w:val="14"/>
      <w:u w:val="none"/>
    </w:rPr>
  </w:style>
  <w:style w:type="character" w:customStyle="1" w:styleId="287">
    <w:name w:val="font422"/>
    <w:basedOn w:val="45"/>
    <w:qFormat/>
    <w:uiPriority w:val="0"/>
    <w:rPr>
      <w:rFonts w:ascii="宋体" w:hAnsi="宋体" w:eastAsia="宋体" w:cs="宋体"/>
      <w:color w:val="5D4700"/>
      <w:sz w:val="14"/>
      <w:szCs w:val="14"/>
      <w:u w:val="none"/>
    </w:rPr>
  </w:style>
  <w:style w:type="character" w:customStyle="1" w:styleId="288">
    <w:name w:val="font441"/>
    <w:basedOn w:val="45"/>
    <w:qFormat/>
    <w:uiPriority w:val="0"/>
    <w:rPr>
      <w:rFonts w:ascii="宋体" w:hAnsi="宋体" w:eastAsia="宋体" w:cs="宋体"/>
      <w:color w:val="6A5100"/>
      <w:sz w:val="14"/>
      <w:szCs w:val="14"/>
      <w:u w:val="none"/>
    </w:rPr>
  </w:style>
  <w:style w:type="character" w:customStyle="1" w:styleId="289">
    <w:name w:val="font451"/>
    <w:basedOn w:val="45"/>
    <w:qFormat/>
    <w:uiPriority w:val="0"/>
    <w:rPr>
      <w:rFonts w:ascii="宋体" w:hAnsi="宋体" w:eastAsia="宋体" w:cs="宋体"/>
      <w:color w:val="554100"/>
      <w:sz w:val="14"/>
      <w:szCs w:val="14"/>
      <w:u w:val="none"/>
    </w:rPr>
  </w:style>
  <w:style w:type="character" w:customStyle="1" w:styleId="290">
    <w:name w:val="font461"/>
    <w:basedOn w:val="45"/>
    <w:qFormat/>
    <w:uiPriority w:val="0"/>
    <w:rPr>
      <w:rFonts w:ascii="宋体" w:hAnsi="宋体" w:eastAsia="宋体" w:cs="宋体"/>
      <w:color w:val="674C00"/>
      <w:sz w:val="14"/>
      <w:szCs w:val="14"/>
      <w:u w:val="none"/>
    </w:rPr>
  </w:style>
  <w:style w:type="character" w:customStyle="1" w:styleId="291">
    <w:name w:val="font471"/>
    <w:basedOn w:val="45"/>
    <w:qFormat/>
    <w:uiPriority w:val="0"/>
    <w:rPr>
      <w:rFonts w:ascii="宋体" w:hAnsi="宋体" w:eastAsia="宋体" w:cs="宋体"/>
      <w:color w:val="523F00"/>
      <w:sz w:val="14"/>
      <w:szCs w:val="14"/>
      <w:u w:val="none"/>
    </w:rPr>
  </w:style>
  <w:style w:type="character" w:customStyle="1" w:styleId="292">
    <w:name w:val="font491"/>
    <w:basedOn w:val="45"/>
    <w:qFormat/>
    <w:uiPriority w:val="0"/>
    <w:rPr>
      <w:rFonts w:ascii="宋体" w:hAnsi="宋体" w:eastAsia="宋体" w:cs="宋体"/>
      <w:color w:val="5B4600"/>
      <w:sz w:val="14"/>
      <w:szCs w:val="14"/>
      <w:u w:val="none"/>
    </w:rPr>
  </w:style>
  <w:style w:type="character" w:customStyle="1" w:styleId="293">
    <w:name w:val="font512"/>
    <w:basedOn w:val="45"/>
    <w:qFormat/>
    <w:uiPriority w:val="0"/>
    <w:rPr>
      <w:rFonts w:ascii="宋体" w:hAnsi="宋体" w:eastAsia="宋体" w:cs="宋体"/>
      <w:color w:val="4C3A00"/>
      <w:sz w:val="14"/>
      <w:szCs w:val="14"/>
      <w:u w:val="none"/>
    </w:rPr>
  </w:style>
  <w:style w:type="character" w:customStyle="1" w:styleId="294">
    <w:name w:val="font531"/>
    <w:basedOn w:val="45"/>
    <w:qFormat/>
    <w:uiPriority w:val="0"/>
    <w:rPr>
      <w:rFonts w:ascii="宋体" w:hAnsi="宋体" w:eastAsia="宋体" w:cs="宋体"/>
      <w:color w:val="614A00"/>
      <w:sz w:val="14"/>
      <w:szCs w:val="14"/>
      <w:u w:val="none"/>
    </w:rPr>
  </w:style>
  <w:style w:type="character" w:customStyle="1" w:styleId="295">
    <w:name w:val="font541"/>
    <w:basedOn w:val="45"/>
    <w:qFormat/>
    <w:uiPriority w:val="0"/>
    <w:rPr>
      <w:rFonts w:ascii="宋体" w:hAnsi="宋体" w:eastAsia="宋体" w:cs="宋体"/>
      <w:color w:val="715700"/>
      <w:sz w:val="14"/>
      <w:szCs w:val="14"/>
      <w:u w:val="none"/>
    </w:rPr>
  </w:style>
  <w:style w:type="character" w:customStyle="1" w:styleId="296">
    <w:name w:val="font521"/>
    <w:basedOn w:val="45"/>
    <w:qFormat/>
    <w:uiPriority w:val="0"/>
    <w:rPr>
      <w:rFonts w:ascii="宋体" w:hAnsi="宋体" w:eastAsia="宋体" w:cs="宋体"/>
      <w:color w:val="443400"/>
      <w:sz w:val="14"/>
      <w:szCs w:val="14"/>
      <w:u w:val="none"/>
    </w:rPr>
  </w:style>
  <w:style w:type="character" w:customStyle="1" w:styleId="297">
    <w:name w:val="font551"/>
    <w:basedOn w:val="45"/>
    <w:qFormat/>
    <w:uiPriority w:val="0"/>
    <w:rPr>
      <w:rFonts w:ascii="宋体" w:hAnsi="宋体" w:eastAsia="宋体" w:cs="宋体"/>
      <w:color w:val="5F4900"/>
      <w:sz w:val="14"/>
      <w:szCs w:val="14"/>
      <w:u w:val="none"/>
    </w:rPr>
  </w:style>
  <w:style w:type="character" w:customStyle="1" w:styleId="298">
    <w:name w:val="font561"/>
    <w:basedOn w:val="45"/>
    <w:qFormat/>
    <w:uiPriority w:val="0"/>
    <w:rPr>
      <w:rFonts w:ascii="宋体" w:hAnsi="宋体" w:eastAsia="宋体" w:cs="宋体"/>
      <w:color w:val="5E4800"/>
      <w:sz w:val="14"/>
      <w:szCs w:val="14"/>
      <w:u w:val="none"/>
    </w:rPr>
  </w:style>
  <w:style w:type="character" w:customStyle="1" w:styleId="299">
    <w:name w:val="font581"/>
    <w:basedOn w:val="45"/>
    <w:qFormat/>
    <w:uiPriority w:val="0"/>
    <w:rPr>
      <w:rFonts w:ascii="宋体" w:hAnsi="宋体" w:eastAsia="宋体" w:cs="宋体"/>
      <w:color w:val="5C4700"/>
      <w:sz w:val="14"/>
      <w:szCs w:val="14"/>
      <w:u w:val="none"/>
    </w:rPr>
  </w:style>
  <w:style w:type="character" w:customStyle="1" w:styleId="300">
    <w:name w:val="font161"/>
    <w:basedOn w:val="45"/>
    <w:qFormat/>
    <w:uiPriority w:val="0"/>
    <w:rPr>
      <w:rFonts w:ascii="宋体" w:hAnsi="宋体" w:eastAsia="宋体" w:cs="宋体"/>
      <w:color w:val="574300"/>
      <w:sz w:val="14"/>
      <w:szCs w:val="14"/>
      <w:u w:val="none"/>
    </w:rPr>
  </w:style>
  <w:style w:type="character" w:customStyle="1" w:styleId="301">
    <w:name w:val="font601"/>
    <w:basedOn w:val="45"/>
    <w:qFormat/>
    <w:uiPriority w:val="0"/>
    <w:rPr>
      <w:rFonts w:ascii="宋体" w:hAnsi="宋体" w:eastAsia="宋体" w:cs="宋体"/>
      <w:color w:val="654D00"/>
      <w:sz w:val="14"/>
      <w:szCs w:val="14"/>
      <w:u w:val="none"/>
    </w:rPr>
  </w:style>
  <w:style w:type="character" w:customStyle="1" w:styleId="302">
    <w:name w:val="font612"/>
    <w:basedOn w:val="45"/>
    <w:qFormat/>
    <w:uiPriority w:val="0"/>
    <w:rPr>
      <w:rFonts w:ascii="宋体" w:hAnsi="宋体" w:eastAsia="宋体" w:cs="宋体"/>
      <w:color w:val="564200"/>
      <w:sz w:val="14"/>
      <w:szCs w:val="14"/>
      <w:u w:val="none"/>
    </w:rPr>
  </w:style>
  <w:style w:type="character" w:customStyle="1" w:styleId="303">
    <w:name w:val="font501"/>
    <w:basedOn w:val="45"/>
    <w:qFormat/>
    <w:uiPriority w:val="0"/>
    <w:rPr>
      <w:rFonts w:ascii="宋体" w:hAnsi="宋体" w:eastAsia="宋体" w:cs="宋体"/>
      <w:color w:val="563F00"/>
      <w:sz w:val="14"/>
      <w:szCs w:val="14"/>
      <w:u w:val="none"/>
    </w:rPr>
  </w:style>
  <w:style w:type="character" w:customStyle="1" w:styleId="304">
    <w:name w:val="font621"/>
    <w:basedOn w:val="45"/>
    <w:qFormat/>
    <w:uiPriority w:val="0"/>
    <w:rPr>
      <w:rFonts w:ascii="宋体" w:hAnsi="宋体" w:eastAsia="宋体" w:cs="宋体"/>
      <w:color w:val="6B4E00"/>
      <w:sz w:val="14"/>
      <w:szCs w:val="14"/>
      <w:u w:val="none"/>
    </w:rPr>
  </w:style>
  <w:style w:type="character" w:customStyle="1" w:styleId="305">
    <w:name w:val="font631"/>
    <w:basedOn w:val="45"/>
    <w:qFormat/>
    <w:uiPriority w:val="0"/>
    <w:rPr>
      <w:rFonts w:ascii="宋体" w:hAnsi="宋体" w:eastAsia="宋体" w:cs="宋体"/>
      <w:color w:val="765700"/>
      <w:sz w:val="14"/>
      <w:szCs w:val="14"/>
      <w:u w:val="none"/>
    </w:rPr>
  </w:style>
  <w:style w:type="character" w:customStyle="1" w:styleId="306">
    <w:name w:val="font651"/>
    <w:basedOn w:val="45"/>
    <w:qFormat/>
    <w:uiPriority w:val="0"/>
    <w:rPr>
      <w:rFonts w:ascii="宋体" w:hAnsi="宋体" w:eastAsia="宋体" w:cs="宋体"/>
      <w:color w:val="745900"/>
      <w:sz w:val="14"/>
      <w:szCs w:val="14"/>
      <w:u w:val="none"/>
    </w:rPr>
  </w:style>
  <w:style w:type="character" w:customStyle="1" w:styleId="307">
    <w:name w:val="font661"/>
    <w:basedOn w:val="45"/>
    <w:qFormat/>
    <w:uiPriority w:val="0"/>
    <w:rPr>
      <w:rFonts w:ascii="宋体" w:hAnsi="宋体" w:eastAsia="宋体" w:cs="宋体"/>
      <w:color w:val="503D00"/>
      <w:sz w:val="14"/>
      <w:szCs w:val="14"/>
      <w:u w:val="none"/>
    </w:rPr>
  </w:style>
  <w:style w:type="character" w:customStyle="1" w:styleId="308">
    <w:name w:val="font11"/>
    <w:basedOn w:val="45"/>
    <w:qFormat/>
    <w:uiPriority w:val="0"/>
    <w:rPr>
      <w:rFonts w:ascii="宋体" w:hAnsi="宋体" w:eastAsia="宋体" w:cs="宋体"/>
      <w:b/>
      <w:bCs/>
      <w:color w:val="5C4700"/>
      <w:sz w:val="14"/>
      <w:szCs w:val="14"/>
      <w:u w:val="none"/>
    </w:rPr>
  </w:style>
  <w:style w:type="character" w:customStyle="1" w:styleId="309">
    <w:name w:val="font1001"/>
    <w:basedOn w:val="45"/>
    <w:qFormat/>
    <w:uiPriority w:val="0"/>
    <w:rPr>
      <w:rFonts w:ascii="宋体" w:hAnsi="宋体" w:eastAsia="宋体" w:cs="宋体"/>
      <w:color w:val="000000"/>
      <w:sz w:val="8"/>
      <w:szCs w:val="8"/>
      <w:u w:val="none"/>
    </w:rPr>
  </w:style>
  <w:style w:type="character" w:customStyle="1" w:styleId="310">
    <w:name w:val="font1011"/>
    <w:basedOn w:val="45"/>
    <w:qFormat/>
    <w:uiPriority w:val="0"/>
    <w:rPr>
      <w:rFonts w:ascii="宋体" w:hAnsi="宋体" w:eastAsia="宋体" w:cs="宋体"/>
      <w:color w:val="000000"/>
      <w:sz w:val="14"/>
      <w:szCs w:val="14"/>
      <w:u w:val="none"/>
    </w:rPr>
  </w:style>
  <w:style w:type="character" w:customStyle="1" w:styleId="311">
    <w:name w:val="font112"/>
    <w:basedOn w:val="45"/>
    <w:qFormat/>
    <w:uiPriority w:val="0"/>
    <w:rPr>
      <w:rFonts w:ascii="宋体" w:hAnsi="宋体" w:eastAsia="宋体" w:cs="宋体"/>
      <w:color w:val="755A00"/>
      <w:sz w:val="14"/>
      <w:szCs w:val="14"/>
      <w:u w:val="none"/>
    </w:rPr>
  </w:style>
  <w:style w:type="character" w:customStyle="1" w:styleId="312">
    <w:name w:val="font131"/>
    <w:basedOn w:val="45"/>
    <w:qFormat/>
    <w:uiPriority w:val="0"/>
    <w:rPr>
      <w:rFonts w:ascii="宋体" w:hAnsi="宋体" w:eastAsia="宋体" w:cs="宋体"/>
      <w:color w:val="5D4700"/>
      <w:sz w:val="14"/>
      <w:szCs w:val="14"/>
      <w:u w:val="none"/>
    </w:rPr>
  </w:style>
  <w:style w:type="character" w:customStyle="1" w:styleId="313">
    <w:name w:val="font231"/>
    <w:basedOn w:val="45"/>
    <w:qFormat/>
    <w:uiPriority w:val="0"/>
    <w:rPr>
      <w:rFonts w:ascii="宋体" w:hAnsi="宋体" w:eastAsia="宋体" w:cs="宋体"/>
      <w:color w:val="513E00"/>
      <w:sz w:val="14"/>
      <w:szCs w:val="14"/>
      <w:u w:val="none"/>
    </w:rPr>
  </w:style>
  <w:style w:type="character" w:customStyle="1" w:styleId="314">
    <w:name w:val="font341"/>
    <w:basedOn w:val="45"/>
    <w:qFormat/>
    <w:uiPriority w:val="0"/>
    <w:rPr>
      <w:rFonts w:ascii="宋体" w:hAnsi="宋体" w:eastAsia="宋体" w:cs="宋体"/>
      <w:color w:val="302300"/>
      <w:sz w:val="14"/>
      <w:szCs w:val="14"/>
      <w:u w:val="none"/>
    </w:rPr>
  </w:style>
  <w:style w:type="character" w:customStyle="1" w:styleId="315">
    <w:name w:val="font921"/>
    <w:basedOn w:val="45"/>
    <w:qFormat/>
    <w:uiPriority w:val="0"/>
    <w:rPr>
      <w:rFonts w:ascii="宋体" w:hAnsi="宋体" w:eastAsia="宋体" w:cs="宋体"/>
      <w:color w:val="6A4E00"/>
      <w:sz w:val="14"/>
      <w:szCs w:val="14"/>
      <w:u w:val="none"/>
    </w:rPr>
  </w:style>
  <w:style w:type="character" w:customStyle="1" w:styleId="316">
    <w:name w:val="font1022"/>
    <w:basedOn w:val="45"/>
    <w:qFormat/>
    <w:uiPriority w:val="0"/>
    <w:rPr>
      <w:rFonts w:ascii="宋体" w:hAnsi="宋体" w:eastAsia="宋体" w:cs="宋体"/>
      <w:b/>
      <w:bCs/>
      <w:color w:val="000000"/>
      <w:sz w:val="14"/>
      <w:szCs w:val="14"/>
      <w:u w:val="none"/>
    </w:rPr>
  </w:style>
  <w:style w:type="character" w:customStyle="1" w:styleId="317">
    <w:name w:val="font412"/>
    <w:basedOn w:val="45"/>
    <w:qFormat/>
    <w:uiPriority w:val="0"/>
    <w:rPr>
      <w:rFonts w:ascii="宋体" w:hAnsi="宋体" w:eastAsia="宋体" w:cs="宋体"/>
      <w:color w:val="553E00"/>
      <w:sz w:val="14"/>
      <w:szCs w:val="14"/>
      <w:u w:val="none"/>
    </w:rPr>
  </w:style>
  <w:style w:type="character" w:customStyle="1" w:styleId="318">
    <w:name w:val="font1031"/>
    <w:basedOn w:val="45"/>
    <w:qFormat/>
    <w:uiPriority w:val="0"/>
    <w:rPr>
      <w:rFonts w:ascii="宋体" w:hAnsi="宋体" w:eastAsia="宋体" w:cs="宋体"/>
      <w:color w:val="876300"/>
      <w:sz w:val="14"/>
      <w:szCs w:val="14"/>
      <w:u w:val="none"/>
    </w:rPr>
  </w:style>
  <w:style w:type="character" w:customStyle="1" w:styleId="319">
    <w:name w:val="font1041"/>
    <w:basedOn w:val="45"/>
    <w:qFormat/>
    <w:uiPriority w:val="0"/>
    <w:rPr>
      <w:rFonts w:ascii="宋体" w:hAnsi="宋体" w:eastAsia="宋体" w:cs="宋体"/>
      <w:color w:val="726700"/>
      <w:sz w:val="8"/>
      <w:szCs w:val="8"/>
      <w:u w:val="none"/>
    </w:rPr>
  </w:style>
  <w:style w:type="character" w:customStyle="1" w:styleId="320">
    <w:name w:val="font571"/>
    <w:basedOn w:val="45"/>
    <w:qFormat/>
    <w:uiPriority w:val="0"/>
    <w:rPr>
      <w:rFonts w:ascii="宋体" w:hAnsi="宋体" w:eastAsia="宋体" w:cs="宋体"/>
      <w:color w:val="705600"/>
      <w:sz w:val="14"/>
      <w:szCs w:val="14"/>
      <w:u w:val="none"/>
    </w:rPr>
  </w:style>
  <w:style w:type="character" w:customStyle="1" w:styleId="321">
    <w:name w:val="font381"/>
    <w:basedOn w:val="45"/>
    <w:qFormat/>
    <w:uiPriority w:val="0"/>
    <w:rPr>
      <w:rFonts w:ascii="宋体" w:hAnsi="宋体" w:eastAsia="宋体" w:cs="宋体"/>
      <w:color w:val="7F6100"/>
      <w:sz w:val="14"/>
      <w:szCs w:val="14"/>
      <w:u w:val="none"/>
    </w:rPr>
  </w:style>
  <w:style w:type="character" w:customStyle="1" w:styleId="322">
    <w:name w:val="font701"/>
    <w:basedOn w:val="45"/>
    <w:qFormat/>
    <w:uiPriority w:val="0"/>
    <w:rPr>
      <w:rFonts w:ascii="宋体" w:hAnsi="宋体" w:eastAsia="宋体" w:cs="宋体"/>
      <w:color w:val="735800"/>
      <w:sz w:val="14"/>
      <w:szCs w:val="14"/>
      <w:u w:val="none"/>
    </w:rPr>
  </w:style>
  <w:style w:type="character" w:customStyle="1" w:styleId="323">
    <w:name w:val="font1051"/>
    <w:basedOn w:val="45"/>
    <w:qFormat/>
    <w:uiPriority w:val="0"/>
    <w:rPr>
      <w:rFonts w:ascii="宋体" w:hAnsi="宋体" w:eastAsia="宋体" w:cs="宋体"/>
      <w:color w:val="000000"/>
      <w:sz w:val="10"/>
      <w:szCs w:val="10"/>
      <w:u w:val="none"/>
    </w:rPr>
  </w:style>
  <w:style w:type="character" w:customStyle="1" w:styleId="324">
    <w:name w:val="font721"/>
    <w:basedOn w:val="45"/>
    <w:qFormat/>
    <w:uiPriority w:val="0"/>
    <w:rPr>
      <w:rFonts w:ascii="宋体" w:hAnsi="宋体" w:eastAsia="宋体" w:cs="宋体"/>
      <w:color w:val="4E3C00"/>
      <w:sz w:val="14"/>
      <w:szCs w:val="14"/>
      <w:u w:val="none"/>
    </w:rPr>
  </w:style>
  <w:style w:type="character" w:customStyle="1" w:styleId="325">
    <w:name w:val="font741"/>
    <w:basedOn w:val="45"/>
    <w:qFormat/>
    <w:uiPriority w:val="0"/>
    <w:rPr>
      <w:rFonts w:ascii="宋体" w:hAnsi="宋体" w:eastAsia="宋体" w:cs="宋体"/>
      <w:color w:val="5E4800"/>
      <w:sz w:val="14"/>
      <w:szCs w:val="14"/>
      <w:u w:val="none"/>
    </w:rPr>
  </w:style>
  <w:style w:type="character" w:customStyle="1" w:styleId="326">
    <w:name w:val="font751"/>
    <w:basedOn w:val="45"/>
    <w:qFormat/>
    <w:uiPriority w:val="0"/>
    <w:rPr>
      <w:rFonts w:ascii="宋体" w:hAnsi="宋体" w:eastAsia="宋体" w:cs="宋体"/>
      <w:color w:val="6B4E00"/>
      <w:sz w:val="14"/>
      <w:szCs w:val="14"/>
      <w:u w:val="none"/>
    </w:rPr>
  </w:style>
  <w:style w:type="character" w:customStyle="1" w:styleId="327">
    <w:name w:val="font761"/>
    <w:basedOn w:val="45"/>
    <w:qFormat/>
    <w:uiPriority w:val="0"/>
    <w:rPr>
      <w:rFonts w:ascii="宋体" w:hAnsi="宋体" w:eastAsia="宋体" w:cs="宋体"/>
      <w:color w:val="7B5E00"/>
      <w:sz w:val="14"/>
      <w:szCs w:val="14"/>
      <w:u w:val="none"/>
    </w:rPr>
  </w:style>
  <w:style w:type="character" w:customStyle="1" w:styleId="328">
    <w:name w:val="font771"/>
    <w:basedOn w:val="45"/>
    <w:qFormat/>
    <w:uiPriority w:val="0"/>
    <w:rPr>
      <w:rFonts w:ascii="宋体" w:hAnsi="宋体" w:eastAsia="宋体" w:cs="宋体"/>
      <w:color w:val="705600"/>
      <w:sz w:val="10"/>
      <w:szCs w:val="10"/>
      <w:u w:val="none"/>
    </w:rPr>
  </w:style>
  <w:style w:type="character" w:customStyle="1" w:styleId="329">
    <w:name w:val="font781"/>
    <w:basedOn w:val="45"/>
    <w:qFormat/>
    <w:uiPriority w:val="0"/>
    <w:rPr>
      <w:rFonts w:ascii="宋体" w:hAnsi="宋体" w:eastAsia="宋体" w:cs="宋体"/>
      <w:color w:val="3C2E00"/>
      <w:sz w:val="14"/>
      <w:szCs w:val="14"/>
      <w:u w:val="none"/>
    </w:rPr>
  </w:style>
  <w:style w:type="character" w:customStyle="1" w:styleId="330">
    <w:name w:val="font812"/>
    <w:basedOn w:val="45"/>
    <w:qFormat/>
    <w:uiPriority w:val="0"/>
    <w:rPr>
      <w:rFonts w:ascii="宋体" w:hAnsi="宋体" w:eastAsia="宋体" w:cs="宋体"/>
      <w:color w:val="523F00"/>
      <w:sz w:val="14"/>
      <w:szCs w:val="14"/>
      <w:u w:val="none"/>
    </w:rPr>
  </w:style>
  <w:style w:type="character" w:customStyle="1" w:styleId="331">
    <w:name w:val="font431"/>
    <w:basedOn w:val="45"/>
    <w:qFormat/>
    <w:uiPriority w:val="0"/>
    <w:rPr>
      <w:rFonts w:ascii="宋体" w:hAnsi="宋体" w:eastAsia="宋体" w:cs="宋体"/>
      <w:color w:val="433100"/>
      <w:sz w:val="14"/>
      <w:szCs w:val="14"/>
      <w:u w:val="none"/>
    </w:rPr>
  </w:style>
  <w:style w:type="character" w:customStyle="1" w:styleId="332">
    <w:name w:val="font421"/>
    <w:basedOn w:val="45"/>
    <w:qFormat/>
    <w:uiPriority w:val="0"/>
    <w:rPr>
      <w:rFonts w:ascii="宋体" w:hAnsi="宋体" w:eastAsia="宋体" w:cs="宋体"/>
      <w:color w:val="503D00"/>
      <w:sz w:val="14"/>
      <w:szCs w:val="14"/>
      <w:u w:val="none"/>
    </w:rPr>
  </w:style>
  <w:style w:type="character" w:customStyle="1" w:styleId="333">
    <w:name w:val="font641"/>
    <w:basedOn w:val="45"/>
    <w:qFormat/>
    <w:uiPriority w:val="0"/>
    <w:rPr>
      <w:rFonts w:ascii="宋体" w:hAnsi="宋体" w:eastAsia="宋体" w:cs="宋体"/>
      <w:color w:val="685000"/>
      <w:sz w:val="14"/>
      <w:szCs w:val="14"/>
      <w:u w:val="none"/>
    </w:rPr>
  </w:style>
  <w:style w:type="character" w:customStyle="1" w:styleId="334">
    <w:name w:val="font191"/>
    <w:basedOn w:val="45"/>
    <w:qFormat/>
    <w:uiPriority w:val="0"/>
    <w:rPr>
      <w:rFonts w:ascii="宋体" w:hAnsi="宋体" w:eastAsia="宋体" w:cs="宋体"/>
      <w:color w:val="4D3B00"/>
      <w:sz w:val="14"/>
      <w:szCs w:val="14"/>
      <w:u w:val="none"/>
    </w:rPr>
  </w:style>
  <w:style w:type="character" w:customStyle="1" w:styleId="335">
    <w:name w:val="font102"/>
    <w:basedOn w:val="45"/>
    <w:qFormat/>
    <w:uiPriority w:val="0"/>
    <w:rPr>
      <w:rFonts w:ascii="宋体" w:hAnsi="宋体" w:eastAsia="宋体" w:cs="宋体"/>
      <w:color w:val="483700"/>
      <w:sz w:val="14"/>
      <w:szCs w:val="14"/>
      <w:u w:val="none"/>
    </w:rPr>
  </w:style>
  <w:style w:type="character" w:customStyle="1" w:styleId="336">
    <w:name w:val="font871"/>
    <w:basedOn w:val="45"/>
    <w:qFormat/>
    <w:uiPriority w:val="0"/>
    <w:rPr>
      <w:rFonts w:ascii="宋体" w:hAnsi="宋体" w:eastAsia="宋体" w:cs="宋体"/>
      <w:color w:val="6A5100"/>
      <w:sz w:val="14"/>
      <w:szCs w:val="14"/>
      <w:u w:val="none"/>
    </w:rPr>
  </w:style>
  <w:style w:type="character" w:customStyle="1" w:styleId="337">
    <w:name w:val="font841"/>
    <w:basedOn w:val="45"/>
    <w:qFormat/>
    <w:uiPriority w:val="0"/>
    <w:rPr>
      <w:rFonts w:ascii="宋体" w:hAnsi="宋体" w:eastAsia="宋体" w:cs="宋体"/>
      <w:color w:val="382B00"/>
      <w:sz w:val="14"/>
      <w:szCs w:val="14"/>
      <w:u w:val="none"/>
    </w:rPr>
  </w:style>
  <w:style w:type="character" w:customStyle="1" w:styleId="338">
    <w:name w:val="font881"/>
    <w:basedOn w:val="45"/>
    <w:qFormat/>
    <w:uiPriority w:val="0"/>
    <w:rPr>
      <w:rFonts w:ascii="宋体" w:hAnsi="宋体" w:eastAsia="宋体" w:cs="宋体"/>
      <w:color w:val="4A3900"/>
      <w:sz w:val="14"/>
      <w:szCs w:val="14"/>
      <w:u w:val="none"/>
    </w:rPr>
  </w:style>
  <w:style w:type="character" w:customStyle="1" w:styleId="339">
    <w:name w:val="font891"/>
    <w:basedOn w:val="45"/>
    <w:qFormat/>
    <w:uiPriority w:val="0"/>
    <w:rPr>
      <w:rFonts w:ascii="宋体" w:hAnsi="宋体" w:eastAsia="宋体" w:cs="宋体"/>
      <w:color w:val="634C00"/>
      <w:sz w:val="14"/>
      <w:szCs w:val="14"/>
      <w:u w:val="none"/>
    </w:rPr>
  </w:style>
  <w:style w:type="character" w:customStyle="1" w:styleId="340">
    <w:name w:val="font291"/>
    <w:basedOn w:val="45"/>
    <w:qFormat/>
    <w:uiPriority w:val="0"/>
    <w:rPr>
      <w:rFonts w:ascii="宋体" w:hAnsi="宋体" w:eastAsia="宋体" w:cs="宋体"/>
      <w:color w:val="453500"/>
      <w:sz w:val="14"/>
      <w:szCs w:val="14"/>
      <w:u w:val="none"/>
    </w:rPr>
  </w:style>
  <w:style w:type="character" w:customStyle="1" w:styleId="341">
    <w:name w:val="font901"/>
    <w:basedOn w:val="45"/>
    <w:qFormat/>
    <w:uiPriority w:val="0"/>
    <w:rPr>
      <w:rFonts w:ascii="宋体" w:hAnsi="宋体" w:eastAsia="宋体" w:cs="宋体"/>
      <w:color w:val="725400"/>
      <w:sz w:val="14"/>
      <w:szCs w:val="14"/>
      <w:u w:val="none"/>
    </w:rPr>
  </w:style>
  <w:style w:type="character" w:customStyle="1" w:styleId="342">
    <w:name w:val="font912"/>
    <w:basedOn w:val="45"/>
    <w:qFormat/>
    <w:uiPriority w:val="0"/>
    <w:rPr>
      <w:rFonts w:ascii="宋体" w:hAnsi="宋体" w:eastAsia="宋体" w:cs="宋体"/>
      <w:color w:val="312600"/>
      <w:sz w:val="14"/>
      <w:szCs w:val="14"/>
      <w:u w:val="none"/>
    </w:rPr>
  </w:style>
  <w:style w:type="character" w:customStyle="1" w:styleId="343">
    <w:name w:val="font931"/>
    <w:basedOn w:val="45"/>
    <w:qFormat/>
    <w:uiPriority w:val="0"/>
    <w:rPr>
      <w:rFonts w:ascii="宋体" w:hAnsi="宋体" w:eastAsia="宋体" w:cs="宋体"/>
      <w:color w:val="584100"/>
      <w:sz w:val="14"/>
      <w:szCs w:val="14"/>
      <w:u w:val="none"/>
    </w:rPr>
  </w:style>
  <w:style w:type="character" w:customStyle="1" w:styleId="344">
    <w:name w:val="font941"/>
    <w:basedOn w:val="45"/>
    <w:qFormat/>
    <w:uiPriority w:val="0"/>
    <w:rPr>
      <w:rFonts w:ascii="宋体" w:hAnsi="宋体" w:eastAsia="宋体" w:cs="宋体"/>
      <w:color w:val="604A00"/>
      <w:sz w:val="14"/>
      <w:szCs w:val="14"/>
      <w:u w:val="none"/>
    </w:rPr>
  </w:style>
  <w:style w:type="character" w:customStyle="1" w:styleId="345">
    <w:name w:val="font961"/>
    <w:basedOn w:val="45"/>
    <w:qFormat/>
    <w:uiPriority w:val="0"/>
    <w:rPr>
      <w:rFonts w:ascii="宋体" w:hAnsi="宋体" w:eastAsia="宋体" w:cs="宋体"/>
      <w:color w:val="644D00"/>
      <w:sz w:val="14"/>
      <w:szCs w:val="14"/>
      <w:u w:val="none"/>
    </w:rPr>
  </w:style>
  <w:style w:type="character" w:customStyle="1" w:styleId="346">
    <w:name w:val="font481"/>
    <w:basedOn w:val="45"/>
    <w:qFormat/>
    <w:uiPriority w:val="0"/>
    <w:rPr>
      <w:rFonts w:ascii="宋体" w:hAnsi="宋体" w:eastAsia="宋体" w:cs="宋体"/>
      <w:color w:val="4D3800"/>
      <w:sz w:val="14"/>
      <w:szCs w:val="14"/>
      <w:u w:val="none"/>
    </w:rPr>
  </w:style>
  <w:style w:type="character" w:customStyle="1" w:styleId="347">
    <w:name w:val="font1061"/>
    <w:basedOn w:val="45"/>
    <w:qFormat/>
    <w:uiPriority w:val="0"/>
    <w:rPr>
      <w:rFonts w:ascii="宋体" w:hAnsi="宋体" w:eastAsia="宋体" w:cs="宋体"/>
      <w:color w:val="362900"/>
      <w:sz w:val="14"/>
      <w:szCs w:val="14"/>
      <w:u w:val="none"/>
    </w:rPr>
  </w:style>
  <w:style w:type="character" w:customStyle="1" w:styleId="348">
    <w:name w:val="font51"/>
    <w:basedOn w:val="45"/>
    <w:qFormat/>
    <w:uiPriority w:val="0"/>
    <w:rPr>
      <w:rFonts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13062</Words>
  <Characters>14043</Characters>
  <Lines>199</Lines>
  <Paragraphs>56</Paragraphs>
  <TotalTime>2</TotalTime>
  <ScaleCrop>false</ScaleCrop>
  <LinksUpToDate>false</LinksUpToDate>
  <CharactersWithSpaces>14155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2024-12-06T22:32:00Z</dcterms:created>
  <dc:creator>Administrator</dc:creator>
  <cp:lastModifiedBy>Lu</cp:lastModifiedBy>
  <dcterms:modified xsi:type="dcterms:W3CDTF">2025-02-11T08:04:50Z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0CEFC6F70E926E07BE4C5667F9CCA8C5_43</vt:lpwstr>
  </property>
  <property fmtid="{D5CDD505-2E9C-101B-9397-08002B2CF9AE}" pid="4" name="KSOTemplateDocerSaveRecord">
    <vt:lpwstr>eyJoZGlkIjoiODE5NjAyZjE2YzA5MjljOGYwYmRlMDQxOWM2NDFlNTAiLCJ1c2VySWQiOiI2MTM1NDYwMDgifQ==</vt:lpwstr>
  </property>
</Properties>
</file>