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0"/>
          <w:szCs w:val="40"/>
          <w:highlight w:val="none"/>
          <w:lang w:eastAsia="zh-CN"/>
        </w:rPr>
      </w:pPr>
      <w:bookmarkStart w:id="0" w:name="_Toc368759509"/>
      <w:bookmarkStart w:id="1" w:name="_Toc363326675"/>
      <w:bookmarkStart w:id="2" w:name="_Toc369077541"/>
      <w:r>
        <w:rPr>
          <w:rFonts w:hint="eastAsia" w:ascii="宋体" w:hAnsi="宋体" w:eastAsia="宋体" w:cs="宋体"/>
          <w:b/>
          <w:bCs/>
          <w:color w:val="auto"/>
          <w:sz w:val="40"/>
          <w:szCs w:val="40"/>
          <w:highlight w:val="none"/>
          <w:lang w:eastAsia="zh-CN"/>
        </w:rPr>
        <w:t>江苏大中农场集团有限公司</w:t>
      </w:r>
      <w:r>
        <w:rPr>
          <w:rFonts w:hint="eastAsia" w:ascii="宋体" w:hAnsi="宋体" w:cs="宋体"/>
          <w:b/>
          <w:bCs/>
          <w:color w:val="auto"/>
          <w:sz w:val="40"/>
          <w:szCs w:val="40"/>
          <w:highlight w:val="none"/>
          <w:lang w:val="en-US" w:eastAsia="zh-CN"/>
        </w:rPr>
        <w:t xml:space="preserve">                        75履带挖掘机、翻转四铧犁、深松联合整地机</w:t>
      </w:r>
      <w:r>
        <w:rPr>
          <w:rFonts w:hint="eastAsia" w:ascii="宋体" w:hAnsi="宋体" w:eastAsia="宋体" w:cs="宋体"/>
          <w:b/>
          <w:bCs/>
          <w:color w:val="auto"/>
          <w:sz w:val="40"/>
          <w:szCs w:val="40"/>
          <w:highlight w:val="none"/>
          <w:lang w:eastAsia="zh-CN"/>
        </w:rPr>
        <w:t>采购项目</w:t>
      </w:r>
    </w:p>
    <w:p>
      <w:pPr>
        <w:pStyle w:val="4"/>
        <w:ind w:firstLine="118"/>
        <w:rPr>
          <w:rFonts w:hint="eastAsia" w:ascii="宋体" w:hAnsi="宋体" w:eastAsia="宋体" w:cs="宋体"/>
          <w:color w:val="auto"/>
          <w:highlight w:val="none"/>
        </w:rPr>
      </w:pPr>
    </w:p>
    <w:p>
      <w:pPr>
        <w:spacing w:line="360" w:lineRule="auto"/>
        <w:jc w:val="both"/>
        <w:rPr>
          <w:rFonts w:hint="eastAsia" w:ascii="宋体" w:hAnsi="宋体" w:eastAsia="宋体" w:cs="宋体"/>
          <w:color w:val="auto"/>
          <w:sz w:val="72"/>
          <w:szCs w:val="72"/>
          <w:highlight w:val="none"/>
        </w:rPr>
      </w:pPr>
    </w:p>
    <w:p>
      <w:pPr>
        <w:pStyle w:val="4"/>
        <w:rPr>
          <w:rFonts w:hint="eastAsia"/>
        </w:rPr>
      </w:pPr>
    </w:p>
    <w:p>
      <w:pPr>
        <w:spacing w:line="900" w:lineRule="exact"/>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招 标 文 件</w:t>
      </w:r>
    </w:p>
    <w:p>
      <w:pPr>
        <w:spacing w:line="900" w:lineRule="exact"/>
        <w:jc w:val="center"/>
        <w:rPr>
          <w:rFonts w:hint="eastAsia" w:ascii="宋体" w:hAnsi="宋体" w:eastAsia="宋体" w:cs="宋体"/>
          <w:b/>
          <w:bCs w:val="0"/>
          <w:color w:val="auto"/>
          <w:sz w:val="36"/>
          <w:szCs w:val="36"/>
          <w:highlight w:val="none"/>
          <w:lang w:val="en-US" w:eastAsia="zh-CN"/>
        </w:rPr>
      </w:pPr>
      <w:bookmarkStart w:id="512" w:name="_GoBack"/>
      <w:bookmarkEnd w:id="512"/>
      <w:r>
        <w:rPr>
          <w:rFonts w:hint="eastAsia" w:ascii="宋体" w:hAnsi="宋体" w:cs="宋体"/>
          <w:b/>
          <w:bCs w:val="0"/>
          <w:color w:val="auto"/>
          <w:sz w:val="36"/>
          <w:szCs w:val="36"/>
          <w:highlight w:val="none"/>
          <w:lang w:val="en-US" w:eastAsia="zh-CN"/>
        </w:rPr>
        <w:t>征求意见稿</w:t>
      </w:r>
    </w:p>
    <w:p>
      <w:pPr>
        <w:spacing w:line="360" w:lineRule="auto"/>
        <w:jc w:val="center"/>
        <w:rPr>
          <w:rFonts w:hint="eastAsia" w:ascii="宋体" w:hAnsi="宋体" w:eastAsia="宋体" w:cs="宋体"/>
          <w:b/>
          <w:color w:val="auto"/>
          <w:sz w:val="84"/>
          <w:szCs w:val="84"/>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1100" w:lineRule="exact"/>
        <w:ind w:leftChars="400" w:firstLine="630" w:firstLineChars="196"/>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招  标  人：</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lang w:eastAsia="zh-CN"/>
        </w:rPr>
        <w:t>江苏大中农场集团有限公司</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 xml:space="preserve"> </w:t>
      </w:r>
    </w:p>
    <w:p>
      <w:pPr>
        <w:tabs>
          <w:tab w:val="left" w:pos="7560"/>
        </w:tabs>
        <w:spacing w:line="1100" w:lineRule="exact"/>
        <w:ind w:leftChars="400" w:firstLine="630" w:firstLineChars="196"/>
        <w:jc w:val="left"/>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招标代理机构: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江苏中线行项目管理有限公司</w:t>
      </w:r>
      <w:r>
        <w:rPr>
          <w:rFonts w:hint="eastAsia" w:ascii="宋体" w:hAnsi="宋体" w:eastAsia="宋体" w:cs="宋体"/>
          <w:b/>
          <w:color w:val="auto"/>
          <w:sz w:val="32"/>
          <w:szCs w:val="32"/>
          <w:highlight w:val="none"/>
          <w:u w:val="single"/>
          <w:lang w:val="en-US" w:eastAsia="zh-CN"/>
        </w:rPr>
        <w:t xml:space="preserve">  </w:t>
      </w:r>
    </w:p>
    <w:p>
      <w:pPr>
        <w:spacing w:line="1100" w:lineRule="exact"/>
        <w:ind w:leftChars="400" w:firstLine="643" w:firstLineChars="200"/>
        <w:jc w:val="left"/>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日      期：</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 xml:space="preserve"> 二〇二</w:t>
      </w:r>
      <w:r>
        <w:rPr>
          <w:rFonts w:hint="eastAsia" w:ascii="宋体" w:hAnsi="宋体" w:cs="宋体"/>
          <w:b/>
          <w:color w:val="auto"/>
          <w:sz w:val="32"/>
          <w:szCs w:val="32"/>
          <w:highlight w:val="none"/>
          <w:u w:val="single"/>
          <w:lang w:val="en-US" w:eastAsia="zh-CN"/>
        </w:rPr>
        <w:t>五</w:t>
      </w:r>
      <w:r>
        <w:rPr>
          <w:rFonts w:hint="eastAsia" w:ascii="宋体" w:hAnsi="宋体" w:eastAsia="宋体" w:cs="宋体"/>
          <w:b/>
          <w:color w:val="auto"/>
          <w:sz w:val="32"/>
          <w:szCs w:val="32"/>
          <w:highlight w:val="none"/>
          <w:u w:val="single"/>
        </w:rPr>
        <w:t>年</w:t>
      </w:r>
      <w:r>
        <w:rPr>
          <w:rFonts w:hint="eastAsia" w:ascii="宋体" w:hAnsi="宋体" w:cs="宋体"/>
          <w:b/>
          <w:color w:val="auto"/>
          <w:sz w:val="32"/>
          <w:szCs w:val="32"/>
          <w:highlight w:val="none"/>
          <w:u w:val="single"/>
          <w:lang w:val="en-US" w:eastAsia="zh-CN"/>
        </w:rPr>
        <w:t>三</w:t>
      </w:r>
      <w:r>
        <w:rPr>
          <w:rFonts w:hint="eastAsia" w:ascii="宋体" w:hAnsi="宋体" w:eastAsia="宋体" w:cs="宋体"/>
          <w:b/>
          <w:color w:val="auto"/>
          <w:sz w:val="32"/>
          <w:szCs w:val="32"/>
          <w:highlight w:val="none"/>
          <w:u w:val="single"/>
        </w:rPr>
        <w:t xml:space="preserve">月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 xml:space="preserve">   </w:t>
      </w:r>
    </w:p>
    <w:bookmarkEnd w:id="0"/>
    <w:bookmarkEnd w:id="1"/>
    <w:bookmarkEnd w:id="2"/>
    <w:p>
      <w:pPr>
        <w:pStyle w:val="2"/>
        <w:numPr>
          <w:ilvl w:val="0"/>
          <w:numId w:val="3"/>
        </w:numPr>
        <w:spacing w:line="360" w:lineRule="auto"/>
        <w:rPr>
          <w:rFonts w:hint="eastAsia" w:ascii="宋体" w:hAnsi="宋体" w:eastAsia="宋体" w:cs="宋体"/>
          <w:color w:val="auto"/>
          <w:highlight w:val="none"/>
        </w:rPr>
      </w:pPr>
      <w:bookmarkStart w:id="3" w:name="_Toc36140064"/>
      <w:bookmarkStart w:id="4" w:name="OLE_LINK4"/>
      <w:bookmarkStart w:id="5" w:name="OLE_LINK1"/>
      <w:bookmarkStart w:id="6" w:name="_Toc368759511"/>
      <w:bookmarkStart w:id="7" w:name="_Toc369077550"/>
      <w:bookmarkStart w:id="8" w:name="OLE_LINK3"/>
      <w:bookmarkStart w:id="9" w:name="OLE_LINK2"/>
      <w:r>
        <w:rPr>
          <w:rFonts w:hint="eastAsia" w:ascii="宋体" w:hAnsi="宋体" w:eastAsia="宋体" w:cs="宋体"/>
          <w:color w:val="auto"/>
          <w:highlight w:val="none"/>
        </w:rPr>
        <w:t>招标公告</w:t>
      </w:r>
      <w:bookmarkEnd w:id="3"/>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一、招标条件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w:t>
      </w:r>
      <w:r>
        <w:rPr>
          <w:rFonts w:hint="eastAsia" w:ascii="宋体" w:hAnsi="宋体" w:cs="宋体"/>
          <w:color w:val="auto"/>
          <w:kern w:val="0"/>
          <w:sz w:val="24"/>
          <w:szCs w:val="24"/>
          <w:highlight w:val="yellow"/>
          <w:lang w:val="en-US" w:eastAsia="zh-CN" w:bidi="ar"/>
        </w:rPr>
        <w:t>江苏大中农场集团有限公司75履带挖掘机、翻转四铧犁、深松联合整地机采购项目</w:t>
      </w:r>
      <w:r>
        <w:rPr>
          <w:rFonts w:hint="eastAsia" w:ascii="宋体" w:hAnsi="宋体" w:eastAsia="宋体" w:cs="宋体"/>
          <w:color w:val="auto"/>
          <w:kern w:val="0"/>
          <w:sz w:val="24"/>
          <w:szCs w:val="24"/>
          <w:highlight w:val="none"/>
          <w:lang w:val="en-US" w:eastAsia="zh-CN" w:bidi="ar"/>
        </w:rPr>
        <w:t xml:space="preserve">已由项目审批/核准/备案机关批准，项目资金来源为其他资金/，招标人为江苏大中农场集团有限公司。本项目已具备招标条件，现招标方式为公开招标。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二、项目概况和招标范围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规模：采购</w:t>
      </w:r>
      <w:r>
        <w:rPr>
          <w:rFonts w:hint="eastAsia" w:ascii="宋体" w:hAnsi="宋体" w:cs="宋体"/>
          <w:color w:val="auto"/>
          <w:kern w:val="0"/>
          <w:sz w:val="24"/>
          <w:szCs w:val="24"/>
          <w:highlight w:val="none"/>
          <w:lang w:val="en-US" w:eastAsia="zh-CN" w:bidi="ar"/>
        </w:rPr>
        <w:t>75履带挖掘机5台、采购翻转四铧犁11</w:t>
      </w:r>
      <w:r>
        <w:rPr>
          <w:rFonts w:hint="eastAsia" w:ascii="宋体" w:hAnsi="宋体" w:eastAsia="宋体" w:cs="宋体"/>
          <w:color w:val="auto"/>
          <w:kern w:val="0"/>
          <w:sz w:val="24"/>
          <w:szCs w:val="24"/>
          <w:highlight w:val="none"/>
          <w:lang w:val="en-US" w:eastAsia="zh-CN" w:bidi="ar"/>
        </w:rPr>
        <w:t>台</w:t>
      </w:r>
      <w:r>
        <w:rPr>
          <w:rFonts w:hint="eastAsia" w:ascii="宋体" w:hAnsi="宋体" w:cs="宋体"/>
          <w:color w:val="auto"/>
          <w:kern w:val="0"/>
          <w:sz w:val="24"/>
          <w:szCs w:val="24"/>
          <w:highlight w:val="none"/>
          <w:lang w:val="en-US" w:eastAsia="zh-CN" w:bidi="ar"/>
        </w:rPr>
        <w:t>、采购深松联合整地机5台</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范围：本招标项目划分为 </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 xml:space="preserve">个标段，本次招标为其中的：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(001)</w:t>
      </w:r>
      <w:r>
        <w:rPr>
          <w:rFonts w:hint="eastAsia" w:ascii="宋体" w:hAnsi="宋体" w:cs="宋体"/>
          <w:color w:val="auto"/>
          <w:kern w:val="0"/>
          <w:sz w:val="24"/>
          <w:szCs w:val="24"/>
          <w:highlight w:val="none"/>
          <w:lang w:val="en-US" w:eastAsia="zh-CN" w:bidi="ar"/>
        </w:rPr>
        <w:t>江苏大中农场集团有限公司75履带挖掘机采购项目；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(002)</w:t>
      </w:r>
      <w:r>
        <w:rPr>
          <w:rFonts w:hint="eastAsia" w:ascii="宋体" w:hAnsi="宋体" w:cs="宋体"/>
          <w:color w:val="auto"/>
          <w:kern w:val="0"/>
          <w:sz w:val="24"/>
          <w:szCs w:val="24"/>
          <w:highlight w:val="none"/>
          <w:lang w:val="en-US" w:eastAsia="zh-CN" w:bidi="ar"/>
        </w:rPr>
        <w:t>江苏大中农场集团有限公司翻转四铧犁采购项目；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ascii="宋体" w:hAnsi="宋体" w:eastAsia="宋体" w:cs="宋体"/>
          <w:color w:val="auto"/>
          <w:kern w:val="0"/>
          <w:sz w:val="24"/>
          <w:szCs w:val="24"/>
          <w:highlight w:val="none"/>
          <w:lang w:val="en-US" w:eastAsia="zh-CN" w:bidi="ar"/>
        </w:rPr>
        <w:t>(003)</w:t>
      </w:r>
      <w:r>
        <w:rPr>
          <w:rFonts w:hint="eastAsia" w:ascii="宋体" w:hAnsi="宋体" w:cs="宋体"/>
          <w:color w:val="auto"/>
          <w:kern w:val="0"/>
          <w:sz w:val="24"/>
          <w:szCs w:val="24"/>
          <w:highlight w:val="none"/>
          <w:lang w:val="en-US" w:eastAsia="zh-CN" w:bidi="ar"/>
        </w:rPr>
        <w:t>江苏大中农场集团有限公司深松联合整地机采购项目。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三、投标人资格要求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(001 </w:t>
      </w:r>
      <w:r>
        <w:rPr>
          <w:rFonts w:hint="eastAsia" w:ascii="宋体" w:hAnsi="宋体" w:cs="宋体"/>
          <w:color w:val="auto"/>
          <w:kern w:val="0"/>
          <w:sz w:val="24"/>
          <w:szCs w:val="24"/>
          <w:highlight w:val="none"/>
          <w:lang w:val="en-US" w:eastAsia="zh-CN" w:bidi="ar"/>
        </w:rPr>
        <w:t>江苏大中农场集团有限公司75履带挖掘机采购项目</w:t>
      </w:r>
      <w:r>
        <w:rPr>
          <w:rFonts w:hint="eastAsia" w:ascii="宋体" w:hAnsi="宋体" w:eastAsia="宋体" w:cs="宋体"/>
          <w:color w:val="auto"/>
          <w:kern w:val="0"/>
          <w:sz w:val="24"/>
          <w:szCs w:val="24"/>
          <w:highlight w:val="none"/>
          <w:lang w:val="en-US" w:eastAsia="zh-CN" w:bidi="ar"/>
        </w:rPr>
        <w:t xml:space="preserve">)的投标人资格能力要求：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yellow"/>
        </w:rPr>
      </w:pPr>
      <w:r>
        <w:rPr>
          <w:rFonts w:hint="eastAsia" w:ascii="宋体" w:hAnsi="宋体" w:eastAsia="宋体" w:cs="宋体"/>
          <w:color w:val="auto"/>
          <w:kern w:val="0"/>
          <w:sz w:val="24"/>
          <w:szCs w:val="24"/>
          <w:highlight w:val="yellow"/>
          <w:lang w:val="en-US" w:eastAsia="zh-CN" w:bidi="ar"/>
        </w:rPr>
        <w:t xml:space="preserve">1、投标人须具有法人或者其他组织的营业执照等证明文件，具有独立订立合同的能力；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yellow"/>
        </w:rPr>
      </w:pPr>
      <w:r>
        <w:rPr>
          <w:rFonts w:hint="eastAsia" w:ascii="宋体" w:hAnsi="宋体" w:eastAsia="宋体" w:cs="宋体"/>
          <w:color w:val="auto"/>
          <w:kern w:val="0"/>
          <w:sz w:val="24"/>
          <w:szCs w:val="24"/>
          <w:highlight w:val="yellow"/>
          <w:lang w:val="en-US" w:eastAsia="zh-CN" w:bidi="ar"/>
        </w:rPr>
        <w:t xml:space="preserve">2、未处于被责令停业、投标资格被取消或者财产被接管、冻结和破产状态；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yellow"/>
        </w:rPr>
      </w:pPr>
      <w:r>
        <w:rPr>
          <w:rFonts w:hint="eastAsia" w:ascii="宋体" w:hAnsi="宋体" w:eastAsia="宋体" w:cs="宋体"/>
          <w:color w:val="auto"/>
          <w:kern w:val="0"/>
          <w:sz w:val="24"/>
          <w:szCs w:val="24"/>
          <w:highlight w:val="yellow"/>
          <w:lang w:val="en-US" w:eastAsia="zh-CN" w:bidi="ar"/>
        </w:rPr>
        <w:t xml:space="preserve">3、企业没有因骗取中标或者严重违约以及发生重大质量、安全生产事故等违法违规问题，被有关部门暂停投标资格并在暂停期内的；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yellow"/>
        </w:rPr>
      </w:pPr>
      <w:r>
        <w:rPr>
          <w:rFonts w:hint="eastAsia" w:ascii="宋体" w:hAnsi="宋体" w:eastAsia="宋体" w:cs="宋体"/>
          <w:color w:val="auto"/>
          <w:kern w:val="0"/>
          <w:sz w:val="24"/>
          <w:szCs w:val="24"/>
          <w:highlight w:val="yellow"/>
          <w:lang w:val="en-US" w:eastAsia="zh-CN" w:bidi="ar"/>
        </w:rPr>
        <w:t xml:space="preserve">4、投标人须具有良好的商业信誉和健全的财务会计制度，具有良好的经营状态，有提供优质服务的专业技术能力。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yellow"/>
        </w:rPr>
      </w:pPr>
      <w:r>
        <w:rPr>
          <w:rFonts w:hint="eastAsia" w:ascii="宋体" w:hAnsi="宋体" w:eastAsia="宋体" w:cs="宋体"/>
          <w:color w:val="auto"/>
          <w:kern w:val="0"/>
          <w:sz w:val="24"/>
          <w:szCs w:val="24"/>
          <w:highlight w:val="yellow"/>
          <w:lang w:val="en-US" w:eastAsia="zh-CN" w:bidi="ar"/>
        </w:rPr>
        <w:t xml:space="preserve">5、投标人应保证招标人在使用该采购产品或其任何一部分时不受第三方提出侵犯其专利权、版权、商标权和设计权等知识产权的起诉。一旦出现侵权，一律由投标人承担全部责任；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yellow"/>
        </w:rPr>
      </w:pPr>
      <w:r>
        <w:rPr>
          <w:rFonts w:hint="eastAsia" w:ascii="宋体" w:hAnsi="宋体" w:eastAsia="宋体" w:cs="宋体"/>
          <w:color w:val="auto"/>
          <w:kern w:val="0"/>
          <w:sz w:val="24"/>
          <w:szCs w:val="24"/>
          <w:highlight w:val="yellow"/>
          <w:lang w:val="en-US" w:eastAsia="zh-CN" w:bidi="ar"/>
        </w:rPr>
        <w:t xml:space="preserve">6、单位负责人为同一人或者存在直接控股、管理关系的不同供应商，不得同时参加本项目采购活动。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yellow"/>
        </w:rPr>
      </w:pPr>
      <w:r>
        <w:rPr>
          <w:rFonts w:hint="eastAsia" w:ascii="宋体" w:hAnsi="宋体" w:eastAsia="宋体" w:cs="宋体"/>
          <w:color w:val="auto"/>
          <w:kern w:val="0"/>
          <w:sz w:val="24"/>
          <w:szCs w:val="24"/>
          <w:highlight w:val="yellow"/>
          <w:lang w:val="en-US" w:eastAsia="zh-CN" w:bidi="ar"/>
        </w:rPr>
        <w:t xml:space="preserve">7、未被“信用中国”网站（www.creditchina.gov.cn）、“中国政府采购网”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yellow"/>
        </w:rPr>
      </w:pPr>
      <w:r>
        <w:rPr>
          <w:rFonts w:hint="eastAsia" w:ascii="宋体" w:hAnsi="宋体" w:eastAsia="宋体" w:cs="宋体"/>
          <w:color w:val="auto"/>
          <w:kern w:val="0"/>
          <w:sz w:val="24"/>
          <w:szCs w:val="24"/>
          <w:highlight w:val="yellow"/>
          <w:lang w:val="en-US" w:eastAsia="zh-CN" w:bidi="ar"/>
        </w:rPr>
        <w:t xml:space="preserve">（www.ccgp.gov.cn）列入失信被执行人、重大税收违法案件当事人名单、政府采购严重失信行为记录名单。在一次招投标活动中，投标人或者中标候选人因正被列为失信被执行人，导致其资格审查不通过或者被取消中标候选人资格、中标人资格的，不因其之后失信信息被撤销或更正而改变已经作出的决定，以投标截止日期当日查询的记录为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yellow"/>
          <w:lang w:val="en-US" w:eastAsia="zh-CN" w:bidi="ar"/>
        </w:rPr>
        <w:t>8、符合相关法律、法规规定的其他要求</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(002 江苏大中农场集团有限公司翻转四铧犁采购项目)的投标人资格能力要求：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1、投标人须具有法人或者其他组织的营业执照等证明文件，具有独立订立合同的能力；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2、未处于被责令停业、投标资格被取消或者财产被接管、冻结和破产状态；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3、企业没有因骗取中标或者严重违约以及发生重大质量、安全生产事故等违法违规问题，被有关部门暂停投标资格并在暂停期内的；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4、投标人须具有良好的商业信誉和健全的财务会计制度，具有良好的经营状态，有提供优质服务的专业技术能力。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5、投标人应保证招标人在使用该采购产品或其任何一部分时不受第三方提出侵犯其专利权、版权、商标权和设计权等知识产权的起诉。一旦出现侵权，一律由投标人承担全部责任；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6、单位负责人为同一人或者存在直接控股、管理关系的不同供应商，不得同时参加本项目采购活动。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7、未被“信用中国”网站（www.creditchina.gov.cn）、“中国政府采购网”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www.ccgp.gov.cn）列入失信被执行人、重大税收违法案件当事人名单、政府采购严重失信行为记录名单。在一次招投标活动中，投标人或者中标候选人因正被列为失信被执行人，导致其资格审查不通过或者被取消中标候选人资格、中标人资格的，不因其之后失信信息被撤销或更正而改变已经作出的决定，以投标截止日期当日查询的记录为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8、符合相关法律、法规规定的其他要求;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(003 江苏大中农场集团有限公司深松联合整地机采购项目)的投标人资格能力要求：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1、投标人须具有法人或者其他组织的营业执照等证明文件，具有独立订立合同的能力；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2、未处于被责令停业、投标资格被取消或者财产被接管、冻结和破产状态；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3、企业没有因骗取中标或者严重违约以及发生重大质量、安全生产事故等违法违规问题，被有关部门暂停投标资格并在暂停期内的；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4、投标人须具有良好的商业信誉和健全的财务会计制度，具有良好的经营状态，有提供优质服务的专业技术能力。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5、投标人应保证招标人在使用该采购产品或其任何一部分时不受第三方提出侵犯其专利权、版权、商标权和设计权等知识产权的起诉。一旦出现侵权，一律由投标人承担全部责任；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6、单位负责人为同一人或者存在直接控股、管理关系的不同供应商，不得同时参加本项目采购活动。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7、未被“信用中国”网站（www.creditchina.gov.cn）、“中国政府采购网”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www.ccgp.gov.cn）列入失信被执行人、重大税收违法案件当事人名单、政府采购严重失信行为记录名单。在一次招投标活动中，投标人或者中标候选人因正被列为失信被执行人，导致其资格审查不通过或者被取消中标候选人资格、中标人资格的，不因其之后失信信息被撤销或更正而改变已经作出的决定，以投标截止日期当日查询的记录为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8、符合相关法律、法规规定的其他要求;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本项目</w:t>
      </w:r>
      <w:r>
        <w:rPr>
          <w:rFonts w:hint="eastAsia" w:ascii="宋体" w:hAnsi="宋体" w:eastAsia="宋体" w:cs="宋体"/>
          <w:i/>
          <w:iCs/>
          <w:color w:val="auto"/>
          <w:kern w:val="0"/>
          <w:sz w:val="24"/>
          <w:szCs w:val="24"/>
          <w:highlight w:val="none"/>
          <w:lang w:val="en-US" w:eastAsia="zh-CN" w:bidi="ar"/>
        </w:rPr>
        <w:t>不允许</w:t>
      </w:r>
      <w:r>
        <w:rPr>
          <w:rFonts w:hint="eastAsia" w:ascii="宋体" w:hAnsi="宋体" w:eastAsia="宋体" w:cs="宋体"/>
          <w:color w:val="auto"/>
          <w:kern w:val="0"/>
          <w:sz w:val="24"/>
          <w:szCs w:val="24"/>
          <w:highlight w:val="none"/>
          <w:lang w:val="en-US" w:eastAsia="zh-CN" w:bidi="ar"/>
        </w:rPr>
        <w:t xml:space="preserve">联合体投标。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四、招标文件的获取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获取时间：从 </w:t>
      </w:r>
      <w:r>
        <w:rPr>
          <w:rFonts w:hint="eastAsia" w:ascii="宋体" w:hAnsi="宋体" w:cs="宋体"/>
          <w:color w:val="auto"/>
          <w:kern w:val="0"/>
          <w:sz w:val="24"/>
          <w:szCs w:val="24"/>
          <w:highlight w:val="none"/>
          <w:lang w:val="en-US" w:eastAsia="zh-CN" w:bidi="ar"/>
        </w:rPr>
        <w:t>2025</w:t>
      </w:r>
      <w:r>
        <w:rPr>
          <w:rFonts w:hint="eastAsia" w:ascii="宋体" w:hAnsi="宋体" w:eastAsia="宋体" w:cs="宋体"/>
          <w:color w:val="auto"/>
          <w:kern w:val="0"/>
          <w:sz w:val="24"/>
          <w:szCs w:val="24"/>
          <w:highlight w:val="none"/>
          <w:lang w:val="en-US" w:eastAsia="zh-CN" w:bidi="ar"/>
        </w:rPr>
        <w:t xml:space="preserve"> 年 0</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 xml:space="preserve"> 月 </w:t>
      </w: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日 08 时 30 分到 </w:t>
      </w:r>
      <w:r>
        <w:rPr>
          <w:rFonts w:hint="eastAsia" w:ascii="宋体" w:hAnsi="宋体" w:cs="宋体"/>
          <w:color w:val="auto"/>
          <w:kern w:val="0"/>
          <w:sz w:val="24"/>
          <w:szCs w:val="24"/>
          <w:highlight w:val="none"/>
          <w:lang w:val="en-US" w:eastAsia="zh-CN" w:bidi="ar"/>
        </w:rPr>
        <w:t>2025</w:t>
      </w:r>
      <w:r>
        <w:rPr>
          <w:rFonts w:hint="eastAsia" w:ascii="宋体" w:hAnsi="宋体" w:eastAsia="宋体" w:cs="宋体"/>
          <w:color w:val="auto"/>
          <w:kern w:val="0"/>
          <w:sz w:val="24"/>
          <w:szCs w:val="24"/>
          <w:highlight w:val="none"/>
          <w:lang w:val="en-US" w:eastAsia="zh-CN" w:bidi="ar"/>
        </w:rPr>
        <w:t xml:space="preserve"> 年 0</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 xml:space="preserve"> 月 </w:t>
      </w: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日 17 时 30 分，获取方式：凡有意参加投标者请于 2025 年</w:t>
      </w:r>
      <w:r>
        <w:rPr>
          <w:rFonts w:hint="eastAsia" w:ascii="宋体" w:hAnsi="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val="en-US" w:eastAsia="zh-CN" w:bidi="ar"/>
        </w:rPr>
        <w:t xml:space="preserve">3 月 </w:t>
      </w: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日 17:30 时前携授权委托书原件（授权委托书中须包含有效的电子信箱信息、联系方式及被授权委托人身份证复印件）、法人或者其他组织的营业执照等证明文件复印件报名。报名地址：盐城市大丰区东方一号创意小镇 9-1号楼 409 室。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五、投标文件的递交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递交截止时间：</w:t>
      </w:r>
      <w:r>
        <w:rPr>
          <w:rFonts w:hint="eastAsia" w:ascii="宋体" w:hAnsi="宋体" w:cs="宋体"/>
          <w:color w:val="auto"/>
          <w:kern w:val="0"/>
          <w:sz w:val="24"/>
          <w:szCs w:val="24"/>
          <w:highlight w:val="none"/>
          <w:lang w:val="en-US" w:eastAsia="zh-CN" w:bidi="ar"/>
        </w:rPr>
        <w:t>2025</w:t>
      </w:r>
      <w:r>
        <w:rPr>
          <w:rFonts w:hint="eastAsia" w:ascii="宋体" w:hAnsi="宋体" w:eastAsia="宋体" w:cs="宋体"/>
          <w:color w:val="auto"/>
          <w:kern w:val="0"/>
          <w:sz w:val="24"/>
          <w:szCs w:val="24"/>
          <w:highlight w:val="none"/>
          <w:lang w:val="en-US" w:eastAsia="zh-CN" w:bidi="ar"/>
        </w:rPr>
        <w:t xml:space="preserve"> 年 0</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 xml:space="preserve"> 月 </w:t>
      </w: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日 09 时 30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递交方式：盐城市大丰区东方一号创意小镇 9-1 号楼 409 室纸质文件递交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六、开标时间及地点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开标时间：</w:t>
      </w:r>
      <w:r>
        <w:rPr>
          <w:rFonts w:hint="eastAsia" w:ascii="宋体" w:hAnsi="宋体" w:cs="宋体"/>
          <w:color w:val="auto"/>
          <w:kern w:val="0"/>
          <w:sz w:val="24"/>
          <w:szCs w:val="24"/>
          <w:highlight w:val="none"/>
          <w:lang w:val="en-US" w:eastAsia="zh-CN" w:bidi="ar"/>
        </w:rPr>
        <w:t>2025</w:t>
      </w:r>
      <w:r>
        <w:rPr>
          <w:rFonts w:hint="eastAsia" w:ascii="宋体" w:hAnsi="宋体" w:eastAsia="宋体" w:cs="宋体"/>
          <w:color w:val="auto"/>
          <w:kern w:val="0"/>
          <w:sz w:val="24"/>
          <w:szCs w:val="24"/>
          <w:highlight w:val="none"/>
          <w:lang w:val="en-US" w:eastAsia="zh-CN" w:bidi="ar"/>
        </w:rPr>
        <w:t xml:space="preserve"> 年 0</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 xml:space="preserve"> 月</w:t>
      </w: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日 09 时 30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开标地点：盐城市大丰区东方一号创意小镇 9-1 号楼 409 室</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七、其他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一、项目基本情况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1、项目编号：</w:t>
      </w:r>
      <w:r>
        <w:rPr>
          <w:rFonts w:ascii="宋体" w:hAnsi="宋体" w:eastAsia="宋体" w:cs="宋体"/>
          <w:sz w:val="24"/>
          <w:szCs w:val="24"/>
          <w:highlight w:val="none"/>
        </w:rPr>
        <w:t>ZXHDL2025027</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2、项目名称：</w:t>
      </w:r>
      <w:r>
        <w:rPr>
          <w:rFonts w:hint="eastAsia" w:ascii="宋体" w:hAnsi="宋体" w:cs="宋体"/>
          <w:color w:val="auto"/>
          <w:kern w:val="0"/>
          <w:sz w:val="24"/>
          <w:szCs w:val="24"/>
          <w:highlight w:val="none"/>
          <w:lang w:val="en-US" w:eastAsia="zh-CN" w:bidi="ar"/>
        </w:rPr>
        <w:t>江苏大中农场集团有限公司75履带挖掘机、翻转四铧犁、深松联合整地机采购项目</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3、预算金额：</w:t>
      </w:r>
      <w:r>
        <w:rPr>
          <w:rFonts w:hint="eastAsia" w:ascii="宋体" w:hAnsi="宋体" w:cs="宋体"/>
          <w:color w:val="auto"/>
          <w:kern w:val="0"/>
          <w:sz w:val="24"/>
          <w:szCs w:val="24"/>
          <w:highlight w:val="none"/>
          <w:lang w:val="en-US" w:eastAsia="zh-CN" w:bidi="ar"/>
        </w:rPr>
        <w:t>284</w:t>
      </w:r>
      <w:r>
        <w:rPr>
          <w:rFonts w:hint="eastAsia" w:ascii="宋体" w:hAnsi="宋体" w:eastAsia="宋体" w:cs="宋体"/>
          <w:color w:val="auto"/>
          <w:kern w:val="0"/>
          <w:sz w:val="24"/>
          <w:szCs w:val="24"/>
          <w:highlight w:val="none"/>
          <w:lang w:val="en-US" w:eastAsia="zh-CN" w:bidi="ar"/>
        </w:rPr>
        <w:t>万元</w:t>
      </w:r>
      <w:r>
        <w:rPr>
          <w:rFonts w:hint="eastAsia" w:ascii="宋体" w:hAnsi="宋体" w:cs="宋体"/>
          <w:color w:val="auto"/>
          <w:kern w:val="0"/>
          <w:sz w:val="24"/>
          <w:szCs w:val="24"/>
          <w:highlight w:val="none"/>
          <w:lang w:val="en-US" w:eastAsia="zh-CN" w:bidi="ar"/>
        </w:rPr>
        <w:t>（75履带挖掘机125万元、翻转四铧犁99万元、深松联合整地机60万元）</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4、供货期：</w:t>
      </w:r>
      <w:r>
        <w:rPr>
          <w:rFonts w:hint="eastAsia" w:ascii="宋体" w:hAnsi="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val="en-US" w:eastAsia="zh-CN" w:bidi="ar"/>
        </w:rPr>
        <w:t>日历天</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5、质保期：</w:t>
      </w:r>
      <w:r>
        <w:rPr>
          <w:rFonts w:hint="eastAsia" w:ascii="宋体" w:hAnsi="宋体" w:cs="宋体"/>
          <w:color w:val="auto"/>
          <w:kern w:val="0"/>
          <w:sz w:val="24"/>
          <w:szCs w:val="24"/>
          <w:highlight w:val="none"/>
          <w:lang w:val="en-US" w:eastAsia="zh-CN" w:bidi="ar"/>
        </w:rPr>
        <w:t>整机</w:t>
      </w:r>
      <w:r>
        <w:rPr>
          <w:rFonts w:hint="eastAsia" w:ascii="宋体" w:hAnsi="宋体" w:eastAsia="宋体" w:cs="宋体"/>
          <w:color w:val="auto"/>
          <w:kern w:val="0"/>
          <w:sz w:val="24"/>
          <w:szCs w:val="24"/>
          <w:highlight w:val="none"/>
          <w:lang w:val="en-US" w:eastAsia="zh-CN" w:bidi="ar"/>
        </w:rPr>
        <w:t>验收合格（验收报告签署之日起），</w:t>
      </w:r>
      <w:r>
        <w:rPr>
          <w:rFonts w:hint="eastAsia" w:ascii="宋体" w:hAnsi="宋体" w:cs="宋体"/>
          <w:color w:val="auto"/>
          <w:kern w:val="0"/>
          <w:sz w:val="24"/>
          <w:szCs w:val="24"/>
          <w:highlight w:val="none"/>
          <w:lang w:val="en-US" w:eastAsia="zh-CN" w:bidi="ar"/>
        </w:rPr>
        <w:t>整机</w:t>
      </w:r>
      <w:r>
        <w:rPr>
          <w:rFonts w:hint="eastAsia" w:ascii="宋体" w:hAnsi="宋体" w:eastAsia="宋体" w:cs="宋体"/>
          <w:color w:val="auto"/>
          <w:kern w:val="0"/>
          <w:sz w:val="24"/>
          <w:szCs w:val="24"/>
          <w:highlight w:val="none"/>
          <w:lang w:val="en-US" w:eastAsia="zh-CN" w:bidi="ar"/>
        </w:rPr>
        <w:t>质保期不少于</w:t>
      </w:r>
      <w:r>
        <w:rPr>
          <w:rFonts w:hint="eastAsia" w:ascii="宋体" w:hAnsi="宋体" w:cs="宋体"/>
          <w:color w:val="auto"/>
          <w:kern w:val="0"/>
          <w:sz w:val="24"/>
          <w:szCs w:val="24"/>
          <w:highlight w:val="none"/>
          <w:lang w:val="en-US" w:eastAsia="zh-CN" w:bidi="ar"/>
        </w:rPr>
        <w:t>两</w:t>
      </w:r>
      <w:r>
        <w:rPr>
          <w:rFonts w:hint="eastAsia" w:ascii="宋体" w:hAnsi="宋体" w:eastAsia="宋体" w:cs="宋体"/>
          <w:color w:val="auto"/>
          <w:kern w:val="0"/>
          <w:sz w:val="24"/>
          <w:szCs w:val="24"/>
          <w:highlight w:val="none"/>
          <w:lang w:val="en-US" w:eastAsia="zh-CN" w:bidi="ar"/>
        </w:rPr>
        <w:t xml:space="preserve">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6、资金来源：自筹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7、采购需求：采购</w:t>
      </w:r>
      <w:r>
        <w:rPr>
          <w:rFonts w:hint="eastAsia" w:ascii="宋体" w:hAnsi="宋体" w:cs="宋体"/>
          <w:color w:val="auto"/>
          <w:kern w:val="0"/>
          <w:sz w:val="24"/>
          <w:szCs w:val="24"/>
          <w:highlight w:val="none"/>
          <w:lang w:val="en-US" w:eastAsia="zh-CN" w:bidi="ar"/>
        </w:rPr>
        <w:t>75履带挖掘机5台、采购翻转四铧犁11</w:t>
      </w:r>
      <w:r>
        <w:rPr>
          <w:rFonts w:hint="eastAsia" w:ascii="宋体" w:hAnsi="宋体" w:eastAsia="宋体" w:cs="宋体"/>
          <w:color w:val="auto"/>
          <w:kern w:val="0"/>
          <w:sz w:val="24"/>
          <w:szCs w:val="24"/>
          <w:highlight w:val="none"/>
          <w:lang w:val="en-US" w:eastAsia="zh-CN" w:bidi="ar"/>
        </w:rPr>
        <w:t>台</w:t>
      </w:r>
      <w:r>
        <w:rPr>
          <w:rFonts w:hint="eastAsia" w:ascii="宋体" w:hAnsi="宋体" w:cs="宋体"/>
          <w:color w:val="auto"/>
          <w:kern w:val="0"/>
          <w:sz w:val="24"/>
          <w:szCs w:val="24"/>
          <w:highlight w:val="none"/>
          <w:lang w:val="en-US" w:eastAsia="zh-CN" w:bidi="ar"/>
        </w:rPr>
        <w:t>、采购深松联合整地机5台</w:t>
      </w:r>
      <w:r>
        <w:rPr>
          <w:rFonts w:hint="eastAsia" w:ascii="宋体" w:hAnsi="宋体" w:eastAsia="宋体" w:cs="宋体"/>
          <w:color w:val="auto"/>
          <w:kern w:val="0"/>
          <w:sz w:val="24"/>
          <w:szCs w:val="24"/>
          <w:highlight w:val="none"/>
          <w:lang w:val="en-US" w:eastAsia="zh-CN" w:bidi="ar"/>
        </w:rPr>
        <w:t xml:space="preserve">，具体详见招标文件采购需求。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二</w:t>
      </w:r>
      <w:r>
        <w:rPr>
          <w:rFonts w:hint="eastAsia" w:ascii="宋体" w:hAnsi="宋体" w:eastAsia="宋体" w:cs="宋体"/>
          <w:color w:val="auto"/>
          <w:kern w:val="0"/>
          <w:sz w:val="24"/>
          <w:szCs w:val="24"/>
          <w:highlight w:val="none"/>
          <w:lang w:val="en-US" w:eastAsia="zh-CN" w:bidi="ar"/>
        </w:rPr>
        <w:t xml:space="preserve">、其他补充事宜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yellow"/>
          <w:lang w:val="en-US" w:eastAsia="zh-CN" w:bidi="ar"/>
        </w:rPr>
        <w:t>本项目共分为3个标段，投标人可兼投兼中。</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 xml:space="preserve">、本项目对投标申请人的资格审查采用资格后审方式；报名时不进行报名资料的任何审查，由意向投标人自行判断是否符合投标资格。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 xml:space="preserve">、本招标项目采用的评标方法：综合评分法。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八、监督部门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本招标项目的监督部门为江苏大中农场集团有限公司。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九、联系方式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招 标 人：江苏大中农场集团有限公司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地 址：大中农场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联 系 人：李</w:t>
      </w:r>
      <w:r>
        <w:rPr>
          <w:rFonts w:hint="eastAsia" w:ascii="宋体" w:hAnsi="宋体" w:cs="宋体"/>
          <w:color w:val="auto"/>
          <w:kern w:val="0"/>
          <w:sz w:val="24"/>
          <w:szCs w:val="24"/>
          <w:highlight w:val="none"/>
          <w:lang w:val="en-US" w:eastAsia="zh-CN" w:bidi="ar"/>
        </w:rPr>
        <w:t>主任</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电 话：0515-83482048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招标代理机构：江苏中线行项目管理有限公司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地 址： 大丰区东方1号创意小镇 9-1号楼 409 室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联 系 人： 王桂强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电 话： 0515-66882258-9-840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Cs w:val="21"/>
          <w:highlight w:val="none"/>
          <w:shd w:val="clear" w:color="auto" w:fill="FFFFFF"/>
        </w:rPr>
      </w:pPr>
      <w:r>
        <w:rPr>
          <w:rFonts w:hint="eastAsia" w:ascii="宋体" w:hAnsi="宋体" w:eastAsia="宋体" w:cs="宋体"/>
          <w:color w:val="auto"/>
          <w:kern w:val="0"/>
          <w:sz w:val="24"/>
          <w:szCs w:val="24"/>
          <w:highlight w:val="none"/>
          <w:lang w:val="en-US" w:eastAsia="zh-CN" w:bidi="ar"/>
        </w:rPr>
        <w:t xml:space="preserve">电子邮件：zxhztb@zxhxmgl.cn </w:t>
      </w:r>
      <w:r>
        <w:rPr>
          <w:rFonts w:hint="eastAsia" w:ascii="宋体" w:hAnsi="宋体" w:eastAsia="宋体" w:cs="宋体"/>
          <w:b/>
          <w:bCs/>
          <w:color w:val="auto"/>
          <w:szCs w:val="21"/>
          <w:highlight w:val="none"/>
          <w:shd w:val="clear" w:color="auto" w:fill="FFFFFF"/>
        </w:rPr>
        <w:br w:type="page"/>
      </w:r>
    </w:p>
    <w:bookmarkEnd w:id="4"/>
    <w:bookmarkEnd w:id="5"/>
    <w:bookmarkEnd w:id="6"/>
    <w:bookmarkEnd w:id="7"/>
    <w:bookmarkEnd w:id="8"/>
    <w:bookmarkEnd w:id="9"/>
    <w:p>
      <w:pPr>
        <w:pStyle w:val="2"/>
        <w:spacing w:before="0" w:after="0" w:line="240" w:lineRule="auto"/>
        <w:rPr>
          <w:rFonts w:hint="eastAsia" w:ascii="宋体" w:hAnsi="宋体" w:eastAsia="宋体" w:cs="宋体"/>
          <w:color w:val="auto"/>
          <w:highlight w:val="none"/>
        </w:rPr>
      </w:pPr>
      <w:bookmarkStart w:id="10" w:name="_Toc387526177"/>
      <w:bookmarkStart w:id="11" w:name="_Toc369077558"/>
      <w:bookmarkStart w:id="12" w:name="_Toc387526281"/>
      <w:bookmarkStart w:id="13" w:name="_Toc368759512"/>
      <w:bookmarkStart w:id="14" w:name="_Toc397928547"/>
      <w:bookmarkStart w:id="15" w:name="_Toc363326679"/>
      <w:bookmarkStart w:id="16" w:name="_Toc36140068"/>
      <w:bookmarkStart w:id="17" w:name="_Toc387526373"/>
      <w:bookmarkStart w:id="18" w:name="_Toc6770"/>
      <w:bookmarkStart w:id="19" w:name="_Toc184635069"/>
      <w:r>
        <w:rPr>
          <w:rFonts w:hint="eastAsia" w:ascii="宋体" w:hAnsi="宋体" w:eastAsia="宋体" w:cs="宋体"/>
          <w:color w:val="auto"/>
          <w:highlight w:val="none"/>
        </w:rPr>
        <w:t>第二章  投标人须知</w:t>
      </w:r>
      <w:bookmarkEnd w:id="10"/>
      <w:bookmarkEnd w:id="11"/>
      <w:bookmarkEnd w:id="12"/>
      <w:bookmarkEnd w:id="13"/>
      <w:bookmarkEnd w:id="14"/>
      <w:bookmarkEnd w:id="15"/>
      <w:bookmarkEnd w:id="16"/>
      <w:bookmarkEnd w:id="17"/>
      <w:bookmarkEnd w:id="18"/>
      <w:bookmarkEnd w:id="19"/>
    </w:p>
    <w:p>
      <w:pPr>
        <w:pStyle w:val="140"/>
        <w:rPr>
          <w:rFonts w:hint="eastAsia" w:ascii="宋体" w:hAnsi="宋体" w:eastAsia="宋体" w:cs="宋体"/>
          <w:color w:val="auto"/>
          <w:highlight w:val="none"/>
        </w:rPr>
      </w:pPr>
      <w:bookmarkStart w:id="20" w:name="_Toc16205"/>
      <w:bookmarkStart w:id="21" w:name="_Toc369077559"/>
      <w:bookmarkStart w:id="22" w:name="_Toc387526178"/>
      <w:bookmarkStart w:id="23" w:name="_Toc387526282"/>
      <w:bookmarkStart w:id="24" w:name="_Toc387526374"/>
      <w:bookmarkStart w:id="25" w:name="_Toc36140069"/>
      <w:bookmarkStart w:id="26" w:name="_Toc397928548"/>
      <w:r>
        <w:rPr>
          <w:rFonts w:hint="eastAsia" w:ascii="宋体" w:hAnsi="宋体" w:eastAsia="宋体" w:cs="宋体"/>
          <w:color w:val="auto"/>
          <w:highlight w:val="none"/>
        </w:rPr>
        <w:t>1. 投标人须知前附表</w:t>
      </w:r>
      <w:bookmarkEnd w:id="20"/>
      <w:bookmarkEnd w:id="21"/>
      <w:bookmarkEnd w:id="22"/>
      <w:bookmarkEnd w:id="23"/>
      <w:bookmarkEnd w:id="24"/>
      <w:bookmarkEnd w:id="25"/>
      <w:bookmarkEnd w:id="26"/>
    </w:p>
    <w:tbl>
      <w:tblPr>
        <w:tblStyle w:val="50"/>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976"/>
        <w:gridCol w:w="6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 款 名 称</w:t>
            </w:r>
          </w:p>
        </w:tc>
        <w:tc>
          <w:tcPr>
            <w:tcW w:w="6041"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江苏大中农场集团有限公司</w:t>
            </w:r>
            <w:r>
              <w:rPr>
                <w:rFonts w:hint="eastAsia" w:ascii="宋体" w:hAnsi="宋体" w:eastAsia="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江苏中线行项目管理有限公司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江苏大中农场集团有限公司75履带挖掘机、翻转四铧犁、深松联合整地机采购项目</w:t>
            </w:r>
            <w:r>
              <w:rPr>
                <w:rFonts w:hint="eastAsia" w:ascii="宋体" w:hAnsi="宋体" w:eastAsia="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出资比例</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供货期</w:t>
            </w:r>
            <w:r>
              <w:rPr>
                <w:rFonts w:hint="eastAsia" w:ascii="宋体" w:hAnsi="宋体" w:eastAsia="宋体" w:cs="宋体"/>
                <w:color w:val="auto"/>
                <w:szCs w:val="21"/>
                <w:highlight w:val="none"/>
              </w:rPr>
              <w:t>要求</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质量要求</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国家“合格”标准</w:t>
            </w:r>
          </w:p>
          <w:p>
            <w:pPr>
              <w:pStyle w:val="4"/>
              <w:pageBreakBefore w:val="0"/>
              <w:widowControl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highlight w:val="none"/>
                <w:lang w:eastAsia="zh-CN"/>
              </w:rPr>
            </w:pPr>
            <w:r>
              <w:rPr>
                <w:rFonts w:hint="eastAsia" w:ascii="宋体" w:hAnsi="宋体" w:eastAsia="宋体" w:cs="宋体"/>
                <w:color w:val="auto"/>
                <w:kern w:val="2"/>
                <w:sz w:val="21"/>
                <w:szCs w:val="21"/>
                <w:highlight w:val="none"/>
                <w:lang w:val="en-US" w:eastAsia="zh-CN" w:bidi="ar-SA"/>
              </w:rPr>
              <w:t>国家或行业最新标准、招标文件各项技术参数指标、投标文件投标承诺所达到的各项技术参数指标（招标文件、投标文件、国家或行业标准不一致处以最高标准执行）。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投标人资格要求</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是否接受联合体投标</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踏勘现场</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由意向投标人自行组织，充分了解实际使用环境及特点。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2"/>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不召开</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不允许</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2"/>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允许：具体详见招标文件相关要求。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构成招标文件的其它材料</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要求招标人澄清招标文件</w:t>
            </w:r>
          </w:p>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递交投标文件截止之日15天前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投标人确认收到招标文件澄清时间</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投标人自行网上查询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投标人确认收到招标文件修改时间</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投标人自行网上查询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投标文件的组成</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rPr>
            </w:pPr>
            <w:r>
              <w:rPr>
                <w:rFonts w:hint="eastAsia" w:ascii="宋体" w:hAnsi="宋体" w:eastAsia="宋体" w:cs="宋体"/>
                <w:b/>
                <w:bCs/>
                <w:szCs w:val="21"/>
                <w:highlight w:val="none"/>
              </w:rPr>
              <w:t>本项目投标文件包括资信文件、商务文件、技术文件、开标一览表。</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⑴资信文件应包括如下内容：</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sym w:font="Wingdings 2" w:char="0052"/>
            </w:r>
            <w:r>
              <w:rPr>
                <w:rFonts w:hint="eastAsia" w:ascii="宋体" w:hAnsi="宋体" w:eastAsia="宋体" w:cs="宋体"/>
                <w:color w:val="auto"/>
                <w:szCs w:val="21"/>
                <w:highlight w:val="none"/>
              </w:rPr>
              <w:t>法人或者其他组织的营业执照等证明文件</w:t>
            </w:r>
            <w:r>
              <w:rPr>
                <w:rFonts w:hint="eastAsia" w:ascii="宋体" w:hAnsi="宋体" w:eastAsia="宋体" w:cs="宋体"/>
                <w:szCs w:val="21"/>
                <w:highlight w:val="none"/>
                <w:lang w:eastAsia="zh-CN"/>
              </w:rPr>
              <w:t>；</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⑵商务文件应包括如下内容：</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color w:val="auto"/>
                <w:szCs w:val="21"/>
                <w:highlight w:val="none"/>
              </w:rPr>
              <w:t>投标人的法定代表人身份证明书</w:t>
            </w:r>
            <w:r>
              <w:rPr>
                <w:rFonts w:hint="eastAsia" w:ascii="宋体" w:hAnsi="宋体" w:eastAsia="宋体" w:cs="宋体"/>
                <w:szCs w:val="21"/>
                <w:highlight w:val="none"/>
              </w:rPr>
              <w:t>；</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color w:val="auto"/>
                <w:szCs w:val="21"/>
                <w:highlight w:val="none"/>
              </w:rPr>
              <w:t>投标人的法定代表人授权委托书(如有授权)</w:t>
            </w:r>
            <w:r>
              <w:rPr>
                <w:rFonts w:hint="eastAsia" w:ascii="宋体" w:hAnsi="宋体" w:eastAsia="宋体" w:cs="宋体"/>
                <w:szCs w:val="21"/>
                <w:highlight w:val="none"/>
              </w:rPr>
              <w:t>；</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color w:val="auto"/>
                <w:szCs w:val="21"/>
                <w:highlight w:val="none"/>
              </w:rPr>
              <w:t>投标函</w:t>
            </w:r>
            <w:r>
              <w:rPr>
                <w:rFonts w:hint="eastAsia" w:ascii="宋体" w:hAnsi="宋体" w:eastAsia="宋体" w:cs="宋体"/>
                <w:szCs w:val="21"/>
                <w:highlight w:val="none"/>
              </w:rPr>
              <w:t>；</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color w:val="auto"/>
                <w:szCs w:val="21"/>
                <w:highlight w:val="none"/>
              </w:rPr>
              <w:t>诚信投标承诺书</w:t>
            </w:r>
            <w:r>
              <w:rPr>
                <w:rFonts w:hint="eastAsia" w:ascii="宋体" w:hAnsi="宋体" w:eastAsia="宋体" w:cs="宋体"/>
                <w:szCs w:val="21"/>
                <w:highlight w:val="none"/>
              </w:rPr>
              <w:t>；</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color w:val="auto"/>
                <w:szCs w:val="21"/>
                <w:highlight w:val="none"/>
              </w:rPr>
              <w:t>投标报价明细表</w:t>
            </w:r>
            <w:r>
              <w:rPr>
                <w:rFonts w:hint="eastAsia" w:ascii="宋体" w:hAnsi="宋体" w:eastAsia="宋体" w:cs="宋体"/>
                <w:szCs w:val="21"/>
                <w:highlight w:val="none"/>
              </w:rPr>
              <w:t>；</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color w:val="auto"/>
                <w:szCs w:val="21"/>
                <w:highlight w:val="none"/>
              </w:rPr>
              <w:t>商务条款偏离表</w:t>
            </w:r>
            <w:r>
              <w:rPr>
                <w:rFonts w:hint="eastAsia" w:ascii="宋体" w:hAnsi="宋体" w:eastAsia="宋体" w:cs="宋体"/>
                <w:szCs w:val="21"/>
                <w:highlight w:val="none"/>
              </w:rPr>
              <w:t>；</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color w:val="auto"/>
                <w:szCs w:val="21"/>
                <w:highlight w:val="none"/>
                <w:lang w:eastAsia="zh-CN"/>
              </w:rPr>
              <w:t>技术参数响应表</w:t>
            </w:r>
            <w:r>
              <w:rPr>
                <w:rFonts w:hint="eastAsia" w:ascii="宋体" w:hAnsi="宋体" w:eastAsia="宋体" w:cs="宋体"/>
                <w:szCs w:val="21"/>
                <w:highlight w:val="none"/>
              </w:rPr>
              <w:t>；</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cs="宋体"/>
                <w:color w:val="auto"/>
                <w:szCs w:val="21"/>
                <w:highlight w:val="none"/>
                <w:lang w:eastAsia="zh-CN"/>
              </w:rPr>
              <w:t>技术参数响应承诺函</w:t>
            </w:r>
            <w:r>
              <w:rPr>
                <w:rFonts w:hint="eastAsia" w:ascii="宋体" w:hAnsi="宋体" w:eastAsia="宋体" w:cs="宋体"/>
                <w:szCs w:val="21"/>
                <w:highlight w:val="none"/>
              </w:rPr>
              <w:t>；</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szCs w:val="21"/>
                <w:highlight w:val="none"/>
              </w:rPr>
              <w:sym w:font="Wingdings 2" w:char="0052"/>
            </w:r>
            <w:r>
              <w:rPr>
                <w:rFonts w:hint="eastAsia" w:ascii="宋体" w:hAnsi="宋体" w:eastAsia="宋体" w:cs="宋体"/>
                <w:color w:val="auto"/>
                <w:szCs w:val="21"/>
                <w:highlight w:val="none"/>
              </w:rPr>
              <w:t>人员情况</w:t>
            </w:r>
            <w:r>
              <w:rPr>
                <w:rFonts w:hint="eastAsia" w:ascii="宋体" w:hAnsi="宋体" w:eastAsia="宋体" w:cs="宋体"/>
                <w:color w:val="auto"/>
                <w:szCs w:val="21"/>
                <w:highlight w:val="none"/>
                <w:lang w:eastAsia="zh-CN"/>
              </w:rPr>
              <w:t>；</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color w:val="auto"/>
                <w:szCs w:val="21"/>
                <w:highlight w:val="none"/>
              </w:rPr>
              <w:t>投标人根据评标办法认为应该提供的其它资料</w:t>
            </w:r>
            <w:r>
              <w:rPr>
                <w:rFonts w:hint="eastAsia" w:ascii="宋体" w:hAnsi="宋体" w:eastAsia="宋体" w:cs="宋体"/>
                <w:szCs w:val="21"/>
                <w:highlight w:val="none"/>
              </w:rPr>
              <w:t>。</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⑶技术文件应包括如下内容：</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szCs w:val="21"/>
                <w:highlight w:val="none"/>
              </w:rPr>
              <w:t>参考评标办法的相应评分角度，准备相应的投标文件内容。</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b/>
                <w:bCs/>
                <w:szCs w:val="21"/>
                <w:highlight w:val="none"/>
              </w:rPr>
              <w:t>⑷开标一览表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3.1.3</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须提交核验的原件材料</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详见投标人须知3.1投标文件的组成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投标报价要求</w:t>
            </w:r>
          </w:p>
        </w:tc>
        <w:tc>
          <w:tcPr>
            <w:tcW w:w="6041" w:type="dxa"/>
            <w:vAlign w:val="center"/>
          </w:tcPr>
          <w:p>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1.报价应按招标文件要求的格式编制、填写报价内容（可自行增行），未按招标文件要求编制、填写的投标文件可能被拒绝；</w:t>
            </w:r>
          </w:p>
          <w:p>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2.以人民币报价；</w:t>
            </w:r>
          </w:p>
          <w:p>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2.1“固定单价”报价，投标报价是履行合同的最终价格（如招标需求发生变化，采购数量按实结算，中标单价不变），其应包括为完成本项目招标文件所确定的招标范围内的全部内容，所需要支付的一切费用和拟获得的利润、税金，并考虑了应承担的风险。投标人应充分考虑为完成上述内容所必须的备材料费(含辅助配置、备品备件、专用工具、技术资料等)、人工费、机械费、安装费、调试费、运输费、验收费、</w:t>
            </w:r>
            <w:r>
              <w:rPr>
                <w:rFonts w:hint="eastAsia" w:ascii="宋体" w:hAnsi="宋体" w:eastAsia="宋体" w:cs="宋体"/>
                <w:szCs w:val="21"/>
                <w:highlight w:val="none"/>
                <w:lang w:val="en-US" w:eastAsia="zh-CN"/>
              </w:rPr>
              <w:t>检测费、</w:t>
            </w:r>
            <w:r>
              <w:rPr>
                <w:rFonts w:hint="eastAsia" w:ascii="宋体" w:hAnsi="宋体" w:eastAsia="宋体" w:cs="宋体"/>
                <w:szCs w:val="21"/>
                <w:highlight w:val="none"/>
              </w:rPr>
              <w:t>人员培训费、售前售后服务费、保管费、保险费、保修费、风险费、管理费、利润、税金以及政策性文件规定的各项所需的全部费用。除非因特殊原因并经买卖双方协商同意，投标人不得再要求追加任何费用。同时，除非合同条款中另有规定，否则，投标人所报价格在合同实施期间不因市场变化因素而变动。</w:t>
            </w:r>
          </w:p>
          <w:p>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2.2本项目以人民币进行结算。</w:t>
            </w:r>
          </w:p>
          <w:p>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3.投标报价是履行合同的最终价格，应包括完成本项目规定的全部服务内容所产生的全部费用。</w:t>
            </w:r>
          </w:p>
          <w:p>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4.投标文件只允许有一个报价，有选择的报价将不予接受。</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highlight w:val="none"/>
              </w:rPr>
            </w:pPr>
            <w:r>
              <w:rPr>
                <w:rFonts w:hint="eastAsia" w:ascii="宋体" w:hAnsi="宋体" w:eastAsia="宋体" w:cs="宋体"/>
                <w:szCs w:val="21"/>
                <w:highlight w:val="none"/>
              </w:rPr>
              <w:t>5.</w:t>
            </w:r>
            <w:r>
              <w:rPr>
                <w:rFonts w:hint="eastAsia"/>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yellow"/>
              </w:rPr>
            </w:pPr>
            <w:r>
              <w:rPr>
                <w:rFonts w:hint="eastAsia" w:ascii="宋体" w:hAnsi="宋体" w:eastAsia="宋体" w:cs="宋体"/>
                <w:color w:val="auto"/>
                <w:szCs w:val="21"/>
                <w:highlight w:val="yellow"/>
              </w:rPr>
              <w:t>最高投标限价</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yellow"/>
              </w:rPr>
            </w:pPr>
            <w:r>
              <w:rPr>
                <w:rFonts w:hint="eastAsia" w:ascii="宋体" w:hAnsi="宋体" w:eastAsia="宋体" w:cs="宋体"/>
                <w:color w:val="auto"/>
                <w:szCs w:val="21"/>
                <w:highlight w:val="yellow"/>
              </w:rPr>
              <w:t>人民币</w:t>
            </w:r>
            <w:r>
              <w:rPr>
                <w:rFonts w:hint="eastAsia" w:ascii="宋体" w:hAnsi="宋体" w:cs="宋体"/>
                <w:color w:val="auto"/>
                <w:szCs w:val="21"/>
                <w:highlight w:val="yellow"/>
                <w:lang w:val="en-US" w:eastAsia="zh-CN"/>
              </w:rPr>
              <w:t>284</w:t>
            </w:r>
            <w:r>
              <w:rPr>
                <w:rFonts w:hint="eastAsia" w:ascii="宋体" w:hAnsi="宋体" w:eastAsia="宋体" w:cs="宋体"/>
                <w:color w:val="auto"/>
                <w:szCs w:val="21"/>
                <w:highlight w:val="yellow"/>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60</w:t>
            </w:r>
            <w:r>
              <w:rPr>
                <w:rFonts w:hint="eastAsia" w:ascii="宋体" w:hAnsi="宋体" w:eastAsia="宋体" w:cs="宋体"/>
                <w:color w:val="auto"/>
                <w:szCs w:val="21"/>
                <w:highlight w:val="none"/>
                <w:lang w:val="zh-CN"/>
              </w:rPr>
              <w:t>日（从投标截止之日算起）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是否允许递交备选投标方案</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2"/>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不允许</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3.6.3</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投标文件数量</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开标一览表</w:t>
            </w: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份；投标文件正本</w:t>
            </w: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4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投标文件递交截止时间和地点</w:t>
            </w:r>
          </w:p>
        </w:tc>
        <w:tc>
          <w:tcPr>
            <w:tcW w:w="6041" w:type="dxa"/>
            <w:vAlign w:val="center"/>
          </w:tcPr>
          <w:p>
            <w:pPr>
              <w:rPr>
                <w:rFonts w:ascii="宋体" w:hAnsi="宋体"/>
                <w:color w:val="auto"/>
                <w:szCs w:val="21"/>
                <w:highlight w:val="none"/>
              </w:rPr>
            </w:pPr>
            <w:r>
              <w:rPr>
                <w:rFonts w:hint="eastAsia" w:ascii="宋体" w:hAnsi="宋体"/>
                <w:color w:val="auto"/>
                <w:szCs w:val="21"/>
                <w:highlight w:val="none"/>
                <w:lang w:val="en-US" w:eastAsia="zh-CN"/>
              </w:rPr>
              <w:t>投标截止</w:t>
            </w:r>
            <w:r>
              <w:rPr>
                <w:rFonts w:hint="eastAsia" w:ascii="宋体" w:hAnsi="宋体"/>
                <w:color w:val="auto"/>
                <w:szCs w:val="21"/>
                <w:highlight w:val="none"/>
              </w:rPr>
              <w:t>时间：</w:t>
            </w:r>
            <w:r>
              <w:rPr>
                <w:rFonts w:hint="eastAsia" w:ascii="宋体" w:hAnsi="宋体"/>
                <w:color w:val="auto"/>
                <w:szCs w:val="21"/>
                <w:highlight w:val="none"/>
                <w:lang w:eastAsia="zh-CN"/>
              </w:rPr>
              <w:t>2025</w:t>
            </w:r>
            <w:r>
              <w:rPr>
                <w:rFonts w:hint="eastAsia" w:ascii="宋体" w:hAnsi="宋体"/>
                <w:color w:val="auto"/>
                <w:szCs w:val="21"/>
                <w:highlight w:val="none"/>
              </w:rPr>
              <w:t>年</w:t>
            </w:r>
            <w:r>
              <w:rPr>
                <w:rFonts w:hint="eastAsia"/>
                <w:color w:val="auto"/>
                <w:szCs w:val="21"/>
                <w:highlight w:val="none"/>
                <w:lang w:val="en-US" w:eastAsia="zh-CN"/>
              </w:rPr>
              <w:t>3</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30</w:t>
            </w:r>
            <w:r>
              <w:rPr>
                <w:rFonts w:hint="eastAsia" w:ascii="宋体" w:hAnsi="宋体"/>
                <w:color w:val="auto"/>
                <w:szCs w:val="21"/>
                <w:highlight w:val="none"/>
              </w:rPr>
              <w:t>分</w:t>
            </w:r>
            <w:r>
              <w:rPr>
                <w:rFonts w:hint="eastAsia" w:ascii="宋体" w:hAnsi="宋体"/>
                <w:color w:val="auto"/>
                <w:szCs w:val="21"/>
                <w:highlight w:val="none"/>
                <w:lang w:val="en-US" w:eastAsia="zh-CN"/>
              </w:rPr>
              <w:t>00</w:t>
            </w:r>
            <w:r>
              <w:rPr>
                <w:rFonts w:hint="eastAsia" w:ascii="宋体" w:hAnsi="宋体"/>
                <w:color w:val="auto"/>
                <w:szCs w:val="21"/>
                <w:highlight w:val="none"/>
              </w:rPr>
              <w:t>秒</w:t>
            </w:r>
          </w:p>
          <w:p>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投标文件递交地点：盐城市大丰区东方一号创意小镇9-1号楼409室 ，递交方式：现场送达、邮寄。</w:t>
            </w:r>
          </w:p>
          <w:p>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Times New Roman"/>
                <w:szCs w:val="21"/>
                <w:highlight w:val="none"/>
              </w:rPr>
              <w:t>注：以邮寄方式递交文件的，邮寄地址：盐城市大丰区东方一号创意小镇409室，收件人：王桂强，电话：0515-66882258-9-840。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是否退还投标文件</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否（相关原件资料除外）</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6041" w:type="dxa"/>
            <w:vAlign w:val="center"/>
          </w:tcPr>
          <w:p>
            <w:pPr>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开标时间：</w:t>
            </w:r>
            <w:r>
              <w:rPr>
                <w:rFonts w:hint="eastAsia" w:ascii="宋体" w:hAnsi="宋体" w:cs="宋体"/>
                <w:szCs w:val="21"/>
                <w:highlight w:val="none"/>
                <w:u w:val="single"/>
                <w:lang w:eastAsia="zh-CN"/>
              </w:rPr>
              <w:t>2025</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3</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rPr>
              <w:t>日</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9 </w:t>
            </w:r>
            <w:r>
              <w:rPr>
                <w:rFonts w:hint="eastAsia" w:ascii="宋体" w:hAnsi="宋体" w:eastAsia="宋体" w:cs="宋体"/>
                <w:szCs w:val="21"/>
                <w:highlight w:val="none"/>
              </w:rPr>
              <w:t>时</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30</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分；</w:t>
            </w:r>
          </w:p>
          <w:p>
            <w:pPr>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开标地点：</w:t>
            </w:r>
            <w:r>
              <w:rPr>
                <w:rFonts w:hint="eastAsia" w:ascii="宋体" w:hAnsi="宋体" w:eastAsia="宋体" w:cs="Times New Roman"/>
                <w:szCs w:val="21"/>
                <w:highlight w:val="none"/>
              </w:rPr>
              <w:t>盐城市大丰区东方一号创意小镇9-1号楼409室</w:t>
            </w:r>
          </w:p>
          <w:p>
            <w:pPr>
              <w:pageBreakBefore w:val="0"/>
              <w:widowControl w:val="0"/>
              <w:kinsoku/>
              <w:wordWrap/>
              <w:overflowPunct/>
              <w:topLinePunct w:val="0"/>
              <w:autoSpaceDE/>
              <w:autoSpaceDN/>
              <w:bidi w:val="0"/>
              <w:spacing w:line="400" w:lineRule="exact"/>
              <w:jc w:val="left"/>
              <w:textAlignment w:val="auto"/>
              <w:rPr>
                <w:rFonts w:hint="eastAsia" w:ascii="宋体" w:hAnsi="宋体" w:eastAsia="宋体"/>
                <w:color w:val="auto"/>
                <w:szCs w:val="21"/>
                <w:highlight w:val="none"/>
                <w:lang w:eastAsia="zh-CN"/>
              </w:rPr>
            </w:pPr>
            <w:r>
              <w:rPr>
                <w:rFonts w:hint="eastAsia" w:ascii="宋体" w:hAnsi="宋体" w:eastAsia="宋体" w:cs="Times New Roman"/>
                <w:szCs w:val="21"/>
                <w:highlight w:val="none"/>
              </w:rPr>
              <w:t>注：</w:t>
            </w:r>
            <w:r>
              <w:rPr>
                <w:rFonts w:hint="eastAsia" w:ascii="宋体" w:hAnsi="宋体"/>
                <w:color w:val="auto"/>
                <w:szCs w:val="21"/>
                <w:highlight w:val="none"/>
              </w:rPr>
              <w:t>开标当日，投标人无需到达开标现场，仅需在任意地点通过 PC端或移动端的“腾讯会议”及相应的配套硬件设备参加开标会议</w:t>
            </w:r>
            <w:r>
              <w:rPr>
                <w:rFonts w:hint="eastAsia" w:ascii="宋体" w:hAnsi="宋体"/>
                <w:color w:val="auto"/>
                <w:szCs w:val="21"/>
                <w:highlight w:val="none"/>
                <w:lang w:eastAsia="zh-CN"/>
              </w:rPr>
              <w:t>。</w:t>
            </w:r>
          </w:p>
          <w:p>
            <w:pPr>
              <w:pageBreakBefore w:val="0"/>
              <w:widowControl w:val="0"/>
              <w:kinsoku/>
              <w:wordWrap/>
              <w:overflowPunct/>
              <w:topLinePunct w:val="0"/>
              <w:autoSpaceDE/>
              <w:autoSpaceDN/>
              <w:bidi w:val="0"/>
              <w:spacing w:line="400" w:lineRule="exact"/>
              <w:jc w:val="left"/>
              <w:textAlignment w:val="auto"/>
              <w:rPr>
                <w:rFonts w:hint="eastAsia" w:ascii="宋体" w:hAnsi="宋体"/>
                <w:color w:val="auto"/>
                <w:szCs w:val="21"/>
                <w:highlight w:val="none"/>
              </w:rPr>
            </w:pPr>
            <w:r>
              <w:rPr>
                <w:rFonts w:hint="eastAsia" w:ascii="宋体" w:hAnsi="宋体" w:eastAsia="宋体" w:cs="Times New Roman"/>
                <w:szCs w:val="21"/>
                <w:highlight w:val="none"/>
              </w:rPr>
              <w:t>参加会议的方法：电脑或智能手机可以搜索下载并安装“腾讯会议”，注册完成后点击“加入会议”，输入会议号“</w:t>
            </w:r>
            <w:r>
              <w:rPr>
                <w:rFonts w:hint="eastAsia" w:ascii="宋体" w:hAnsi="宋体" w:eastAsia="宋体" w:cs="Times New Roman"/>
                <w:szCs w:val="21"/>
                <w:highlight w:val="none"/>
                <w:u w:val="single"/>
              </w:rPr>
              <w:t xml:space="preserve"> </w:t>
            </w:r>
            <w:r>
              <w:rPr>
                <w:rFonts w:hint="eastAsia" w:ascii="宋体" w:hAnsi="宋体" w:cs="Times New Roman"/>
                <w:szCs w:val="21"/>
                <w:highlight w:val="none"/>
                <w:u w:val="single"/>
                <w:lang w:val="en-US" w:eastAsia="zh-CN"/>
              </w:rPr>
              <w:t xml:space="preserve">      </w:t>
            </w:r>
            <w:r>
              <w:rPr>
                <w:rFonts w:hint="eastAsia" w:ascii="宋体" w:hAnsi="宋体" w:eastAsia="宋体" w:cs="Times New Roman"/>
                <w:szCs w:val="21"/>
                <w:highlight w:val="none"/>
              </w:rPr>
              <w:t>”，“您的姓名”按“单位简称+授权委托人姓名”格式填写，然后点击“加入会议”。会议系统将在投标截止时间前10分钟开放，不得因未能观看到视频直播对开标会议提出质疑。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w:t>
            </w:r>
          </w:p>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是</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否，推荐1-3名中标候选人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8.3</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041" w:type="dxa"/>
            <w:shd w:val="clear" w:color="auto" w:fill="auto"/>
            <w:vAlign w:val="center"/>
          </w:tcPr>
          <w:p>
            <w:pPr>
              <w:pStyle w:val="4"/>
              <w:pageBreakBefore w:val="0"/>
              <w:widowControl w:val="0"/>
              <w:kinsoku/>
              <w:wordWrap/>
              <w:overflowPunct/>
              <w:topLinePunct w:val="0"/>
              <w:autoSpaceDE/>
              <w:autoSpaceDN/>
              <w:bidi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合同订立的同时，</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提交合同总价10%的履约保证金，履约保证金在项目完成并经</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验收合格且</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无违约情形后，于20个工作日内退还（不计息）；</w:t>
            </w:r>
          </w:p>
          <w:p>
            <w:pPr>
              <w:pStyle w:val="4"/>
              <w:pageBreakBefore w:val="0"/>
              <w:widowControl w:val="0"/>
              <w:kinsoku/>
              <w:wordWrap/>
              <w:overflowPunct/>
              <w:topLinePunct w:val="0"/>
              <w:autoSpaceDE/>
              <w:autoSpaceDN/>
              <w:bidi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.提交方式：银行转帐、电汇、网汇、支票、汇票、本票、保函等非现金形式。</w:t>
            </w:r>
          </w:p>
          <w:p>
            <w:pPr>
              <w:pStyle w:val="4"/>
              <w:pageBreakBefore w:val="0"/>
              <w:widowControl w:val="0"/>
              <w:kinsoku/>
              <w:wordWrap/>
              <w:overflowPunct/>
              <w:topLinePunct w:val="0"/>
              <w:autoSpaceDE/>
              <w:autoSpaceDN/>
              <w:bidi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.退还方式：银行转帐、电汇、网汇、支票、汇票、本票、保函等非现金形式。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收费标准</w:t>
            </w:r>
          </w:p>
        </w:tc>
        <w:tc>
          <w:tcPr>
            <w:tcW w:w="6041" w:type="dxa"/>
            <w:vAlign w:val="center"/>
          </w:tcPr>
          <w:p>
            <w:pPr>
              <w:pStyle w:val="4"/>
              <w:pageBreakBefore w:val="0"/>
              <w:widowControl w:val="0"/>
              <w:kinsoku/>
              <w:wordWrap/>
              <w:overflowPunct/>
              <w:topLinePunct w:val="0"/>
              <w:autoSpaceDE/>
              <w:autoSpaceDN/>
              <w:bidi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本项目招标代理费向中标单位收取，招标代理费</w:t>
            </w:r>
            <w:r>
              <w:rPr>
                <w:rFonts w:hint="eastAsia" w:ascii="宋体" w:hAnsi="宋体" w:eastAsia="宋体" w:cs="宋体"/>
                <w:color w:val="auto"/>
                <w:sz w:val="21"/>
                <w:szCs w:val="21"/>
                <w:highlight w:val="none"/>
                <w:lang w:val="en-US" w:eastAsia="zh-CN"/>
              </w:rPr>
              <w:t>参照</w:t>
            </w:r>
            <w:r>
              <w:rPr>
                <w:rFonts w:hint="eastAsia" w:ascii="宋体" w:hAnsi="宋体" w:eastAsia="宋体" w:cs="宋体"/>
                <w:color w:val="auto"/>
                <w:sz w:val="21"/>
                <w:szCs w:val="21"/>
                <w:highlight w:val="none"/>
              </w:rPr>
              <w:t>苏招协【2022】002号文件规定的</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招标标准缴纳；请投标人考虑在投标报价中，但不单列，自行分摊至投标报价单价、合价中。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6041" w:type="dxa"/>
            <w:vAlign w:val="center"/>
          </w:tcPr>
          <w:p>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Cs w:val="21"/>
                <w:highlight w:val="none"/>
              </w:rPr>
            </w:pPr>
            <w:r>
              <w:rPr>
                <w:rFonts w:hint="eastAsia" w:ascii="宋体" w:hAnsi="宋体" w:cs="宋体"/>
                <w:szCs w:val="21"/>
                <w:highlight w:val="none"/>
                <w:lang w:val="en-US" w:eastAsia="zh-CN"/>
              </w:rPr>
              <w:t>本项目无预付款</w:t>
            </w:r>
            <w:r>
              <w:rPr>
                <w:rFonts w:hint="eastAsia" w:ascii="宋体" w:hAnsi="宋体" w:eastAsia="宋体" w:cs="宋体"/>
                <w:szCs w:val="21"/>
                <w:highlight w:val="none"/>
              </w:rPr>
              <w:t>，</w:t>
            </w:r>
            <w:r>
              <w:rPr>
                <w:rFonts w:hint="eastAsia" w:ascii="宋体" w:hAnsi="宋体" w:cs="宋体"/>
                <w:szCs w:val="21"/>
                <w:highlight w:val="none"/>
                <w:lang w:val="en-US" w:eastAsia="zh-CN"/>
              </w:rPr>
              <w:t>供货</w:t>
            </w:r>
            <w:r>
              <w:rPr>
                <w:rFonts w:hint="eastAsia" w:ascii="宋体" w:hAnsi="宋体" w:eastAsia="宋体" w:cs="宋体"/>
                <w:szCs w:val="21"/>
                <w:highlight w:val="none"/>
              </w:rPr>
              <w:t>安装调试完成经验收合格后付至结算价款的60%，验收合格满</w:t>
            </w:r>
            <w:r>
              <w:rPr>
                <w:rFonts w:hint="eastAsia" w:ascii="宋体" w:hAnsi="宋体" w:cs="宋体"/>
                <w:szCs w:val="21"/>
                <w:highlight w:val="none"/>
                <w:lang w:val="en-US" w:eastAsia="zh-CN"/>
              </w:rPr>
              <w:t>一</w:t>
            </w:r>
            <w:r>
              <w:rPr>
                <w:rFonts w:hint="eastAsia" w:ascii="宋体" w:hAnsi="宋体" w:eastAsia="宋体" w:cs="宋体"/>
                <w:szCs w:val="21"/>
                <w:highlight w:val="none"/>
              </w:rPr>
              <w:t>年付至结算价款的9</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%，余款</w:t>
            </w:r>
            <w:r>
              <w:rPr>
                <w:rFonts w:hint="eastAsia" w:ascii="宋体" w:hAnsi="宋体" w:eastAsia="宋体" w:cs="宋体"/>
                <w:szCs w:val="21"/>
                <w:highlight w:val="none"/>
                <w:lang w:val="en-US" w:eastAsia="zh-CN"/>
              </w:rPr>
              <w:t>待质保期满后无任何问题一次性</w:t>
            </w:r>
            <w:r>
              <w:rPr>
                <w:rFonts w:hint="eastAsia" w:ascii="宋体" w:hAnsi="宋体" w:eastAsia="宋体" w:cs="宋体"/>
                <w:szCs w:val="21"/>
                <w:highlight w:val="none"/>
              </w:rPr>
              <w:t>无息结清。</w:t>
            </w:r>
          </w:p>
          <w:p>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注：按以上进度付款无任何利息补偿。</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en-US" w:eastAsia="zh-CN"/>
              </w:rPr>
              <w:t>申请付款前</w:t>
            </w:r>
            <w:r>
              <w:rPr>
                <w:rFonts w:hint="eastAsia" w:ascii="宋体" w:hAnsi="宋体" w:eastAsia="宋体" w:cs="宋体"/>
                <w:color w:val="auto"/>
                <w:sz w:val="21"/>
                <w:szCs w:val="21"/>
                <w:highlight w:val="none"/>
              </w:rPr>
              <w:t>应出具在税务部门开具的正式税票。</w:t>
            </w:r>
            <w:r>
              <w:rPr>
                <w:rFonts w:hint="eastAsia" w:ascii="宋体" w:hAnsi="宋体" w:eastAsia="宋体" w:cs="宋体"/>
                <w:szCs w:val="21"/>
                <w:highlight w:val="none"/>
              </w:rPr>
              <w:t xml:space="preserve"> </w:t>
            </w:r>
          </w:p>
          <w:p>
            <w:pPr>
              <w:pStyle w:val="4"/>
              <w:pageBreakBefore w:val="0"/>
              <w:widowControl w:val="0"/>
              <w:kinsoku/>
              <w:wordWrap/>
              <w:overflowPunct/>
              <w:topLinePunct w:val="0"/>
              <w:autoSpaceDE/>
              <w:autoSpaceDN/>
              <w:bidi w:val="0"/>
              <w:spacing w:line="400" w:lineRule="exact"/>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kern w:val="2"/>
                <w:sz w:val="21"/>
                <w:szCs w:val="21"/>
                <w:highlight w:val="none"/>
                <w:lang w:val="en-US" w:eastAsia="zh-CN" w:bidi="ar-SA"/>
              </w:rPr>
              <w:t>货款一律通过银行非现金结算，结算方式：转账。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lang w:val="en-US" w:eastAsia="zh-CN"/>
              </w:rPr>
            </w:pPr>
            <w:bookmarkStart w:id="27" w:name="_Toc184635071"/>
            <w:bookmarkStart w:id="28" w:name="_Toc363329370"/>
            <w:bookmarkStart w:id="29" w:name="_Toc367894798"/>
            <w:bookmarkStart w:id="30" w:name="_Toc368759375"/>
            <w:bookmarkStart w:id="31" w:name="_Toc387526283"/>
            <w:bookmarkStart w:id="32" w:name="_Toc387526375"/>
            <w:bookmarkStart w:id="33" w:name="_Toc369077561"/>
            <w:bookmarkStart w:id="34" w:name="_Toc387526179"/>
            <w:bookmarkStart w:id="35" w:name="_Toc18948"/>
            <w:bookmarkStart w:id="36" w:name="_Toc397928549"/>
            <w:bookmarkStart w:id="37" w:name="_Toc368760427"/>
            <w:r>
              <w:rPr>
                <w:rFonts w:hint="eastAsia" w:ascii="宋体" w:hAnsi="宋体" w:eastAsia="宋体" w:cs="宋体"/>
                <w:color w:val="auto"/>
                <w:szCs w:val="21"/>
                <w:highlight w:val="none"/>
                <w:lang w:val="en-US" w:eastAsia="zh-CN"/>
              </w:rPr>
              <w:t>11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highlight w:val="none"/>
              </w:rPr>
              <w:t>投诉接受和处理主体</w:t>
            </w:r>
          </w:p>
        </w:tc>
        <w:tc>
          <w:tcPr>
            <w:tcW w:w="6041" w:type="dxa"/>
            <w:vAlign w:val="center"/>
          </w:tcPr>
          <w:p>
            <w:pPr>
              <w:pStyle w:val="4"/>
              <w:pageBreakBefore w:val="0"/>
              <w:widowControl w:val="0"/>
              <w:kinsoku/>
              <w:wordWrap/>
              <w:overflowPunct/>
              <w:topLinePunct w:val="0"/>
              <w:autoSpaceDE/>
              <w:autoSpaceDN/>
              <w:bidi w:val="0"/>
              <w:spacing w:line="400" w:lineRule="exact"/>
              <w:ind w:firstLine="0"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本项目投诉接收和处理主体为：江苏大中农场集团有限公司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9017" w:type="dxa"/>
            <w:gridSpan w:val="2"/>
            <w:vAlign w:val="center"/>
          </w:tcPr>
          <w:p>
            <w:pPr>
              <w:adjustRightInd w:val="0"/>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解释权：构成本招标文件的各个组成文件应互为解释，互为说明。当发现的不明确或不一致，在招标文件中有明确规定的，评标委员会应按已明确的规定评标；当发现的不明确或不一致，在招标文件中没有明确规定时：</w:t>
            </w:r>
          </w:p>
          <w:p>
            <w:pPr>
              <w:adjustRightInd w:val="0"/>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⑴凡是构成合同文件组成内容的不明确或不一致，以合同文件约定内容为准，且以专用合同条款约定的合同文件优先顺序解释；</w:t>
            </w:r>
          </w:p>
          <w:p>
            <w:pPr>
              <w:adjustRightInd w:val="0"/>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⑵凡不是构成合同文件组成内容的不明确或不一致，除招标文件中有特别规定外，仅适用于招标投标阶段的规定，按招标公告（投标邀请书）、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pPr>
              <w:pStyle w:val="4"/>
              <w:pageBreakBefore w:val="0"/>
              <w:widowControl w:val="0"/>
              <w:kinsoku/>
              <w:wordWrap/>
              <w:overflowPunct/>
              <w:topLinePunct w:val="0"/>
              <w:autoSpaceDE/>
              <w:autoSpaceDN/>
              <w:bidi w:val="0"/>
              <w:spacing w:line="400" w:lineRule="exact"/>
              <w:ind w:firstLine="0"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⑶按本款前述规定仍不能形成结论的，由招标人负责解释。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9017" w:type="dxa"/>
            <w:gridSpan w:val="2"/>
            <w:vAlign w:val="center"/>
          </w:tcPr>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1、本招标文件时间均以中华人民共和国北京时间为准，所涉及金额的币种均为人民币。</w:t>
            </w:r>
          </w:p>
          <w:p>
            <w:pPr>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2、凡参与本项目投标的投标人，视同已踏勘过项目现场和研究了本招标文件的所有内容，并无保留地接受招标文件的所有条款（含招标答疑、补充通知等）。</w:t>
            </w:r>
          </w:p>
        </w:tc>
      </w:tr>
    </w:tbl>
    <w:p>
      <w:pPr>
        <w:pageBreakBefore w:val="0"/>
        <w:kinsoku/>
        <w:wordWrap/>
        <w:overflowPunct/>
        <w:topLinePunct w:val="0"/>
        <w:bidi w:val="0"/>
        <w:spacing w:line="360" w:lineRule="auto"/>
        <w:ind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br w:type="page"/>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24"/>
          <w:szCs w:val="24"/>
          <w:highlight w:val="none"/>
        </w:rPr>
        <w:t>1.总则</w:t>
      </w:r>
      <w:bookmarkEnd w:id="27"/>
      <w:bookmarkEnd w:id="28"/>
      <w:bookmarkEnd w:id="29"/>
      <w:bookmarkEnd w:id="30"/>
      <w:bookmarkEnd w:id="31"/>
      <w:bookmarkEnd w:id="32"/>
      <w:bookmarkEnd w:id="33"/>
      <w:bookmarkEnd w:id="34"/>
      <w:bookmarkEnd w:id="35"/>
      <w:bookmarkEnd w:id="36"/>
      <w:bookmarkEnd w:id="37"/>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8" w:name="_Toc387526376"/>
      <w:bookmarkStart w:id="39" w:name="_Toc5365"/>
      <w:bookmarkStart w:id="40" w:name="_Toc387526180"/>
      <w:bookmarkStart w:id="41" w:name="_Toc36140070"/>
      <w:bookmarkStart w:id="42" w:name="_Toc387526284"/>
      <w:bookmarkStart w:id="43" w:name="_Toc397928550"/>
      <w:r>
        <w:rPr>
          <w:rFonts w:hint="eastAsia" w:ascii="宋体" w:hAnsi="宋体" w:eastAsia="宋体" w:cs="宋体"/>
          <w:color w:val="auto"/>
          <w:sz w:val="24"/>
          <w:szCs w:val="24"/>
          <w:highlight w:val="none"/>
        </w:rPr>
        <w:t>1.1 项目概况</w:t>
      </w:r>
      <w:bookmarkEnd w:id="38"/>
      <w:bookmarkEnd w:id="39"/>
      <w:bookmarkEnd w:id="40"/>
      <w:bookmarkEnd w:id="41"/>
      <w:bookmarkEnd w:id="42"/>
      <w:bookmarkEnd w:id="43"/>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1.1.1根据有关法律、法规和规章的规定，本招标项目已具备招标条件，现对本项目进行招标。</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1.1.2本招标项目招标人：见投标人须知前附表。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1.1.3本招标项目招标代理机构：见投标人须知前附表。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1.1.4本招标项目名称：见投标人须知前附表。</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4" w:name="_Toc387526377"/>
      <w:bookmarkStart w:id="45" w:name="_Toc387526181"/>
      <w:bookmarkStart w:id="46" w:name="_Toc387526285"/>
      <w:bookmarkStart w:id="47" w:name="_Toc397928551"/>
      <w:bookmarkStart w:id="48" w:name="_Toc11796"/>
      <w:bookmarkStart w:id="49" w:name="_Toc36140071"/>
      <w:r>
        <w:rPr>
          <w:rFonts w:hint="eastAsia" w:ascii="宋体" w:hAnsi="宋体" w:eastAsia="宋体" w:cs="宋体"/>
          <w:color w:val="auto"/>
          <w:sz w:val="24"/>
          <w:szCs w:val="24"/>
          <w:highlight w:val="none"/>
        </w:rPr>
        <w:t>1.2 资金来源和落实情况</w:t>
      </w:r>
      <w:bookmarkEnd w:id="44"/>
      <w:bookmarkEnd w:id="45"/>
      <w:bookmarkEnd w:id="46"/>
      <w:bookmarkEnd w:id="47"/>
      <w:bookmarkEnd w:id="48"/>
      <w:bookmarkEnd w:id="49"/>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1.2.1本招标项目的资金来源：见投标人须知前附表。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1.2.2本招标项目的出资比例：见投标人须知前附表。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1.2.3本招标项目的资金落实情况：见投标人须知前附表。</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50" w:name="_Toc387526182"/>
      <w:bookmarkStart w:id="51" w:name="_Toc387526286"/>
      <w:bookmarkStart w:id="52" w:name="_Toc387526378"/>
      <w:bookmarkStart w:id="53" w:name="_Toc397928552"/>
      <w:bookmarkStart w:id="54" w:name="_Toc853"/>
      <w:bookmarkStart w:id="55" w:name="_Toc36140072"/>
      <w:r>
        <w:rPr>
          <w:rFonts w:hint="eastAsia" w:ascii="宋体" w:hAnsi="宋体" w:eastAsia="宋体" w:cs="宋体"/>
          <w:color w:val="auto"/>
          <w:sz w:val="24"/>
          <w:szCs w:val="24"/>
          <w:highlight w:val="none"/>
        </w:rPr>
        <w:t>1.3 招标范围、服务期限、质量要求</w:t>
      </w:r>
      <w:bookmarkEnd w:id="50"/>
      <w:bookmarkEnd w:id="51"/>
      <w:bookmarkEnd w:id="52"/>
      <w:bookmarkEnd w:id="53"/>
      <w:bookmarkEnd w:id="54"/>
      <w:r>
        <w:rPr>
          <w:rFonts w:hint="eastAsia" w:ascii="宋体" w:hAnsi="宋体" w:eastAsia="宋体" w:cs="宋体"/>
          <w:color w:val="auto"/>
          <w:sz w:val="24"/>
          <w:szCs w:val="24"/>
          <w:highlight w:val="none"/>
        </w:rPr>
        <w:t>及验收规范</w:t>
      </w:r>
      <w:bookmarkEnd w:id="55"/>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1.3.1本次招标范围：见投标人须知前附表。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1.3.2本招标项目的服务期限：见投标人须知前附表。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1.3.3本招标项目的质量要求及验收标准：见投标人须知前附表。</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56" w:name="_Toc397928553"/>
      <w:bookmarkStart w:id="57" w:name="_Toc387526183"/>
      <w:bookmarkStart w:id="58" w:name="_Toc13930"/>
      <w:bookmarkStart w:id="59" w:name="_Toc36140073"/>
      <w:bookmarkStart w:id="60" w:name="_Toc387526379"/>
      <w:bookmarkStart w:id="61" w:name="_Toc387526287"/>
      <w:r>
        <w:rPr>
          <w:rFonts w:hint="eastAsia" w:ascii="宋体" w:hAnsi="宋体" w:eastAsia="宋体" w:cs="宋体"/>
          <w:color w:val="auto"/>
          <w:sz w:val="24"/>
          <w:szCs w:val="24"/>
          <w:highlight w:val="none"/>
        </w:rPr>
        <w:t>1.4 投标人资格要求</w:t>
      </w:r>
      <w:bookmarkEnd w:id="56"/>
      <w:bookmarkEnd w:id="57"/>
      <w:bookmarkEnd w:id="58"/>
      <w:bookmarkEnd w:id="59"/>
      <w:bookmarkEnd w:id="60"/>
      <w:bookmarkEnd w:id="61"/>
    </w:p>
    <w:p>
      <w:pPr>
        <w:pageBreakBefore w:val="0"/>
        <w:kinsoku/>
        <w:wordWrap/>
        <w:overflowPunct/>
        <w:topLinePunct w:val="0"/>
        <w:autoSpaceDE w:val="0"/>
        <w:autoSpaceDN w:val="0"/>
        <w:bidi w:val="0"/>
        <w:adjustRightInd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投标人应具备的资格要求见投标人须知前附表。</w:t>
      </w:r>
    </w:p>
    <w:p>
      <w:pPr>
        <w:pageBreakBefore w:val="0"/>
        <w:kinsoku/>
        <w:wordWrap/>
        <w:overflowPunct/>
        <w:topLinePunct w:val="0"/>
        <w:autoSpaceDE w:val="0"/>
        <w:autoSpaceDN w:val="0"/>
        <w:bidi w:val="0"/>
        <w:adjustRightInd w:val="0"/>
        <w:spacing w:line="360" w:lineRule="auto"/>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1.4.2 本项目招标人不接受联合体投标。</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1.4.3 投标人不得存在下列情形之一：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62" w:name="_Toc1684"/>
      <w:bookmarkStart w:id="63" w:name="_Toc387526184"/>
      <w:bookmarkStart w:id="64" w:name="_Toc387526380"/>
      <w:bookmarkStart w:id="65" w:name="_Toc387526288"/>
      <w:r>
        <w:rPr>
          <w:rFonts w:hint="eastAsia" w:ascii="宋体" w:hAnsi="宋体" w:eastAsia="宋体" w:cs="宋体"/>
          <w:color w:val="auto"/>
          <w:sz w:val="24"/>
          <w:szCs w:val="24"/>
          <w:highlight w:val="none"/>
        </w:rPr>
        <w:t xml:space="preserve">（1）为招标人的附属机构（单位）；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（2）为本标段的监理人；</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（3）为本标段的代建人；</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（4）为本标段提供招标代理服务的；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（5）与本标段的监理人或代建人或招标代理机构的单位负责人为同一个人的；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（6）与本标段的监理人或代建人或招标代理机构相互控股或参股的；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（7）与本标段的其他申请人的单位负责人为同一个人的；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（8）与本标段的其他申请人之间存在控股、管理关系或母公司、全资子公司关系的；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（9）法律法规规定的其他情形。</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66" w:name="_Toc397928554"/>
      <w:bookmarkStart w:id="67" w:name="_Toc36140074"/>
      <w:r>
        <w:rPr>
          <w:rFonts w:hint="eastAsia" w:ascii="宋体" w:hAnsi="宋体" w:eastAsia="宋体" w:cs="宋体"/>
          <w:color w:val="auto"/>
          <w:sz w:val="24"/>
          <w:szCs w:val="24"/>
          <w:highlight w:val="none"/>
        </w:rPr>
        <w:t>1.5 费用承担</w:t>
      </w:r>
      <w:bookmarkEnd w:id="62"/>
      <w:bookmarkEnd w:id="63"/>
      <w:bookmarkEnd w:id="64"/>
      <w:bookmarkEnd w:id="65"/>
      <w:bookmarkEnd w:id="66"/>
      <w:bookmarkEnd w:id="67"/>
    </w:p>
    <w:p>
      <w:pPr>
        <w:pageBreakBefore w:val="0"/>
        <w:kinsoku/>
        <w:wordWrap/>
        <w:overflowPunct/>
        <w:topLinePunct w:val="0"/>
        <w:autoSpaceDE w:val="0"/>
        <w:autoSpaceDN w:val="0"/>
        <w:bidi w:val="0"/>
        <w:adjustRightInd w:val="0"/>
        <w:spacing w:line="360" w:lineRule="auto"/>
        <w:ind w:left="0" w:leftChars="0" w:right="0"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投标人准备和参加投标活动发生的费用自理。</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68" w:name="_Toc387526185"/>
      <w:bookmarkStart w:id="69" w:name="_Toc387526381"/>
      <w:bookmarkStart w:id="70" w:name="_Toc387526289"/>
      <w:bookmarkStart w:id="71" w:name="_Toc36140075"/>
      <w:bookmarkStart w:id="72" w:name="_Toc397928555"/>
      <w:bookmarkStart w:id="73" w:name="_Toc5130"/>
      <w:r>
        <w:rPr>
          <w:rFonts w:hint="eastAsia" w:ascii="宋体" w:hAnsi="宋体" w:eastAsia="宋体" w:cs="宋体"/>
          <w:color w:val="auto"/>
          <w:sz w:val="24"/>
          <w:szCs w:val="24"/>
          <w:highlight w:val="none"/>
        </w:rPr>
        <w:t>1.6 保密</w:t>
      </w:r>
      <w:bookmarkEnd w:id="68"/>
      <w:bookmarkEnd w:id="69"/>
      <w:bookmarkEnd w:id="70"/>
      <w:bookmarkEnd w:id="71"/>
      <w:bookmarkEnd w:id="72"/>
      <w:bookmarkEnd w:id="73"/>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参与招标投标活动的各方应对招标文件和投标文件中的商业和技术等秘密保密，违者应对由此造成的后果承担法律责任。</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74" w:name="_Toc822"/>
      <w:bookmarkStart w:id="75" w:name="_Toc387526186"/>
      <w:bookmarkStart w:id="76" w:name="_Toc397928556"/>
      <w:bookmarkStart w:id="77" w:name="_Toc387526382"/>
      <w:bookmarkStart w:id="78" w:name="_Toc387526290"/>
      <w:bookmarkStart w:id="79" w:name="_Toc36140076"/>
      <w:r>
        <w:rPr>
          <w:rFonts w:hint="eastAsia" w:ascii="宋体" w:hAnsi="宋体" w:eastAsia="宋体" w:cs="宋体"/>
          <w:color w:val="auto"/>
          <w:sz w:val="24"/>
          <w:szCs w:val="24"/>
          <w:highlight w:val="none"/>
        </w:rPr>
        <w:t>1.7 语言文字</w:t>
      </w:r>
      <w:bookmarkEnd w:id="74"/>
      <w:bookmarkEnd w:id="75"/>
      <w:bookmarkEnd w:id="76"/>
      <w:bookmarkEnd w:id="77"/>
      <w:bookmarkEnd w:id="78"/>
      <w:bookmarkEnd w:id="79"/>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除专用术语外，与招标投标有关的语言均使用中文。必要时专用术语应附有中文注释。</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80" w:name="_Toc387526383"/>
      <w:bookmarkStart w:id="81" w:name="_Toc36140077"/>
      <w:bookmarkStart w:id="82" w:name="_Toc387526291"/>
      <w:bookmarkStart w:id="83" w:name="_Toc397928557"/>
      <w:bookmarkStart w:id="84" w:name="_Toc387526187"/>
      <w:bookmarkStart w:id="85" w:name="_Toc31413"/>
      <w:r>
        <w:rPr>
          <w:rFonts w:hint="eastAsia" w:ascii="宋体" w:hAnsi="宋体" w:eastAsia="宋体" w:cs="宋体"/>
          <w:color w:val="auto"/>
          <w:sz w:val="24"/>
          <w:szCs w:val="24"/>
          <w:highlight w:val="none"/>
        </w:rPr>
        <w:t>1.8 计量单位</w:t>
      </w:r>
      <w:bookmarkEnd w:id="80"/>
      <w:bookmarkEnd w:id="81"/>
      <w:bookmarkEnd w:id="82"/>
      <w:bookmarkEnd w:id="83"/>
      <w:bookmarkEnd w:id="84"/>
      <w:bookmarkEnd w:id="85"/>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86" w:name="_Toc36140078"/>
      <w:bookmarkStart w:id="87" w:name="_Toc387526188"/>
      <w:bookmarkStart w:id="88" w:name="_Toc387526384"/>
      <w:bookmarkStart w:id="89" w:name="_Toc387526292"/>
      <w:bookmarkStart w:id="90" w:name="_Toc25122"/>
      <w:bookmarkStart w:id="91" w:name="_Toc397928558"/>
      <w:r>
        <w:rPr>
          <w:rFonts w:hint="eastAsia" w:ascii="宋体" w:hAnsi="宋体" w:eastAsia="宋体" w:cs="宋体"/>
          <w:color w:val="auto"/>
          <w:sz w:val="24"/>
          <w:szCs w:val="24"/>
          <w:highlight w:val="none"/>
        </w:rPr>
        <w:t>1.9 踏勘现场</w:t>
      </w:r>
      <w:bookmarkEnd w:id="86"/>
      <w:bookmarkEnd w:id="87"/>
      <w:bookmarkEnd w:id="88"/>
      <w:bookmarkEnd w:id="89"/>
      <w:bookmarkEnd w:id="90"/>
      <w:bookmarkEnd w:id="91"/>
    </w:p>
    <w:p>
      <w:pPr>
        <w:pageBreakBefore w:val="0"/>
        <w:kinsoku/>
        <w:wordWrap/>
        <w:overflowPunct/>
        <w:topLinePunct w:val="0"/>
        <w:autoSpaceDE w:val="0"/>
        <w:autoSpaceDN w:val="0"/>
        <w:bidi w:val="0"/>
        <w:adjustRightInd w:val="0"/>
        <w:spacing w:line="360" w:lineRule="auto"/>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1.9.1招标人不组织投标人踏勘现场，投标人可以自行对工程施工现场和周围环境进行勘察，以获取编制投标文件和签署合同所需的所有资料。施工现场的联系方式见须知前附表。</w:t>
      </w:r>
    </w:p>
    <w:p>
      <w:pPr>
        <w:pageBreakBefore w:val="0"/>
        <w:kinsoku/>
        <w:wordWrap/>
        <w:overflowPunct/>
        <w:topLinePunct w:val="0"/>
        <w:autoSpaceDE w:val="0"/>
        <w:autoSpaceDN w:val="0"/>
        <w:bidi w:val="0"/>
        <w:adjustRightInd w:val="0"/>
        <w:spacing w:line="360" w:lineRule="auto"/>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1.9.2 投标人踏勘现场发生的费用自理。</w:t>
      </w:r>
    </w:p>
    <w:p>
      <w:pPr>
        <w:pageBreakBefore w:val="0"/>
        <w:kinsoku/>
        <w:wordWrap/>
        <w:overflowPunct/>
        <w:topLinePunct w:val="0"/>
        <w:autoSpaceDE w:val="0"/>
        <w:autoSpaceDN w:val="0"/>
        <w:bidi w:val="0"/>
        <w:adjustRightInd w:val="0"/>
        <w:spacing w:line="360" w:lineRule="auto"/>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1.9.3 除招标人的原因外，投标人自行负责在踏勘现场中所发生的人员伤亡和财产损失。</w:t>
      </w:r>
    </w:p>
    <w:p>
      <w:pPr>
        <w:pageBreakBefore w:val="0"/>
        <w:kinsoku/>
        <w:wordWrap/>
        <w:overflowPunct/>
        <w:topLinePunct w:val="0"/>
        <w:autoSpaceDE w:val="0"/>
        <w:autoSpaceDN w:val="0"/>
        <w:bidi w:val="0"/>
        <w:adjustRightInd w:val="0"/>
        <w:spacing w:line="360" w:lineRule="auto"/>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1.9.4 招标人向投标人提供的有关施工现场的资料和数据是招标人现有的能使投标人利用的资料。招标人对投标人由此而做出的推论、理解和结论概不负责。</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92" w:name="_Toc387526385"/>
      <w:bookmarkStart w:id="93" w:name="_Toc11088"/>
      <w:bookmarkStart w:id="94" w:name="_Toc397928559"/>
      <w:bookmarkStart w:id="95" w:name="_Toc387526189"/>
      <w:bookmarkStart w:id="96" w:name="_Toc387526293"/>
      <w:bookmarkStart w:id="97" w:name="_Toc36140079"/>
      <w:r>
        <w:rPr>
          <w:rFonts w:hint="eastAsia" w:ascii="宋体" w:hAnsi="宋体" w:eastAsia="宋体" w:cs="宋体"/>
          <w:color w:val="auto"/>
          <w:sz w:val="24"/>
          <w:szCs w:val="24"/>
          <w:highlight w:val="none"/>
        </w:rPr>
        <w:t>1.10 投标预备会</w:t>
      </w:r>
      <w:bookmarkEnd w:id="92"/>
      <w:bookmarkEnd w:id="93"/>
      <w:bookmarkEnd w:id="94"/>
      <w:bookmarkEnd w:id="95"/>
      <w:bookmarkEnd w:id="96"/>
      <w:bookmarkEnd w:id="97"/>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本项目不召开投标预备会。</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98" w:name="_Toc36140080"/>
      <w:bookmarkStart w:id="99" w:name="_Toc21970"/>
      <w:bookmarkStart w:id="100" w:name="_Toc366679673"/>
      <w:bookmarkStart w:id="101" w:name="_Toc387526386"/>
      <w:bookmarkStart w:id="102" w:name="_Toc387526294"/>
      <w:bookmarkStart w:id="103" w:name="_Toc397928560"/>
      <w:bookmarkStart w:id="104" w:name="_Toc387526190"/>
      <w:bookmarkStart w:id="105" w:name="_Toc363329371"/>
      <w:bookmarkStart w:id="106" w:name="_Toc367894799"/>
      <w:r>
        <w:rPr>
          <w:rFonts w:hint="eastAsia" w:ascii="宋体" w:hAnsi="宋体" w:eastAsia="宋体" w:cs="宋体"/>
          <w:color w:val="auto"/>
          <w:sz w:val="24"/>
          <w:szCs w:val="24"/>
          <w:highlight w:val="none"/>
        </w:rPr>
        <w:t>1.11 偏离</w:t>
      </w:r>
      <w:bookmarkEnd w:id="98"/>
      <w:bookmarkEnd w:id="99"/>
      <w:bookmarkEnd w:id="100"/>
      <w:bookmarkEnd w:id="101"/>
      <w:bookmarkEnd w:id="102"/>
      <w:bookmarkEnd w:id="103"/>
      <w:bookmarkEnd w:id="104"/>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投标人须知前附表允许投标文件偏离招标文件某些要求的，偏离应当符合招标文件规定的偏离范围和幅度。</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107" w:name="_Toc36140081"/>
      <w:r>
        <w:rPr>
          <w:rFonts w:hint="eastAsia" w:ascii="宋体" w:hAnsi="宋体" w:eastAsia="宋体" w:cs="宋体"/>
          <w:color w:val="auto"/>
          <w:sz w:val="24"/>
          <w:szCs w:val="24"/>
          <w:highlight w:val="none"/>
        </w:rPr>
        <w:t>1.12 转包与分包</w:t>
      </w:r>
      <w:bookmarkEnd w:id="107"/>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本项目不允许转包及分包。</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108" w:name="_Toc373048775"/>
      <w:bookmarkStart w:id="109" w:name="_Toc36140082"/>
      <w:r>
        <w:rPr>
          <w:rFonts w:hint="eastAsia" w:ascii="宋体" w:hAnsi="宋体" w:eastAsia="宋体" w:cs="宋体"/>
          <w:color w:val="auto"/>
          <w:sz w:val="24"/>
          <w:szCs w:val="24"/>
          <w:highlight w:val="none"/>
        </w:rPr>
        <w:t>1.13特别说明：</w:t>
      </w:r>
      <w:bookmarkEnd w:id="108"/>
      <w:bookmarkEnd w:id="109"/>
    </w:p>
    <w:p>
      <w:pPr>
        <w:pageBreakBefore w:val="0"/>
        <w:widowControl/>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法定代表人为同一个人的两个及两个以上的法人、母公司、全资子公司及其控股公司，都不得在同一招标项目中同时投标。</w:t>
      </w:r>
    </w:p>
    <w:p>
      <w:pPr>
        <w:pStyle w:val="25"/>
        <w:pageBreakBefore w:val="0"/>
        <w:kinsoku/>
        <w:wordWrap/>
        <w:overflowPunct/>
        <w:topLinePunct w:val="0"/>
        <w:bidi w:val="0"/>
        <w:snapToGrid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▲2.投标人应仔细阅读招标文件的所有内容，按照招标文件的要求提交投标文件，并对所提供的全部资料的真实性承担法律责任。</w:t>
      </w:r>
    </w:p>
    <w:p>
      <w:pPr>
        <w:pStyle w:val="25"/>
        <w:pageBreakBefore w:val="0"/>
        <w:kinsoku/>
        <w:wordWrap/>
        <w:overflowPunct/>
        <w:topLinePunct w:val="0"/>
        <w:bidi w:val="0"/>
        <w:snapToGrid w:val="0"/>
        <w:spacing w:line="360" w:lineRule="auto"/>
        <w:ind w:left="0" w:leftChars="0" w:right="0"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40"/>
        <w:pageBreakBefore w:val="0"/>
        <w:kinsoku/>
        <w:wordWrap/>
        <w:overflowPunct/>
        <w:topLinePunct w:val="0"/>
        <w:bidi w:val="0"/>
        <w:spacing w:before="0" w:after="0"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110" w:name="_Toc30422"/>
      <w:bookmarkStart w:id="111" w:name="_Toc387526387"/>
      <w:bookmarkStart w:id="112" w:name="_Toc368760428"/>
      <w:bookmarkStart w:id="113" w:name="_Toc36140083"/>
      <w:bookmarkStart w:id="114" w:name="_Toc369077562"/>
      <w:bookmarkStart w:id="115" w:name="_Toc368759376"/>
      <w:bookmarkStart w:id="116" w:name="_Toc387526295"/>
      <w:bookmarkStart w:id="117" w:name="_Toc387526191"/>
      <w:bookmarkStart w:id="118" w:name="_Toc397928561"/>
      <w:r>
        <w:rPr>
          <w:rFonts w:hint="eastAsia" w:ascii="宋体" w:hAnsi="宋体" w:eastAsia="宋体" w:cs="宋体"/>
          <w:color w:val="auto"/>
          <w:sz w:val="24"/>
          <w:szCs w:val="24"/>
          <w:highlight w:val="none"/>
        </w:rPr>
        <w:t>2. 招标文件</w:t>
      </w:r>
      <w:bookmarkEnd w:id="105"/>
      <w:bookmarkEnd w:id="106"/>
      <w:bookmarkEnd w:id="110"/>
      <w:bookmarkEnd w:id="111"/>
      <w:bookmarkEnd w:id="112"/>
      <w:bookmarkEnd w:id="113"/>
      <w:bookmarkEnd w:id="114"/>
      <w:bookmarkEnd w:id="115"/>
      <w:bookmarkEnd w:id="116"/>
      <w:bookmarkEnd w:id="117"/>
      <w:bookmarkEnd w:id="118"/>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119" w:name="_Toc387526388"/>
      <w:bookmarkStart w:id="120" w:name="_Toc387526296"/>
      <w:bookmarkStart w:id="121" w:name="_Toc397928562"/>
      <w:bookmarkStart w:id="122" w:name="_Toc23070"/>
      <w:bookmarkStart w:id="123" w:name="_Toc387526192"/>
      <w:bookmarkStart w:id="124" w:name="_Toc36140084"/>
      <w:r>
        <w:rPr>
          <w:rFonts w:hint="eastAsia" w:ascii="宋体" w:hAnsi="宋体" w:eastAsia="宋体" w:cs="宋体"/>
          <w:color w:val="auto"/>
          <w:sz w:val="24"/>
          <w:szCs w:val="24"/>
          <w:highlight w:val="none"/>
        </w:rPr>
        <w:t>2.1 招标文件组成</w:t>
      </w:r>
      <w:bookmarkEnd w:id="119"/>
      <w:bookmarkEnd w:id="120"/>
      <w:bookmarkEnd w:id="121"/>
      <w:bookmarkEnd w:id="122"/>
      <w:bookmarkEnd w:id="123"/>
      <w:bookmarkEnd w:id="124"/>
    </w:p>
    <w:p>
      <w:pPr>
        <w:pageBreakBefore w:val="0"/>
        <w:shd w:val="clear" w:color="auto" w:fill="FFFFFF"/>
        <w:kinsoku/>
        <w:wordWrap/>
        <w:overflowPunct/>
        <w:topLinePunct w:val="0"/>
        <w:autoSpaceDE w:val="0"/>
        <w:autoSpaceDN w:val="0"/>
        <w:bidi w:val="0"/>
        <w:adjustRightInd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本招标文件包括：</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（5）采购需求；</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（7）投标人须知前附表规定的其他材料。</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2.1.2根据本章第1.10款、第2.2款和第2.3款对招标文件所作的澄清、修改，构成招标文件的组成部分。当招标文件相互之间发生矛盾时，以后发出的文件为准。</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125" w:name="_Toc387526193"/>
      <w:bookmarkStart w:id="126" w:name="_Toc152042320"/>
      <w:bookmarkStart w:id="127" w:name="_Toc36140085"/>
      <w:bookmarkStart w:id="128" w:name="_Toc152045544"/>
      <w:bookmarkStart w:id="129" w:name="_Toc144974512"/>
      <w:bookmarkStart w:id="130" w:name="_Toc247085703"/>
      <w:bookmarkStart w:id="131" w:name="_Toc387526297"/>
      <w:bookmarkStart w:id="132" w:name="_Toc366679676"/>
      <w:bookmarkStart w:id="133" w:name="_Toc9593"/>
      <w:bookmarkStart w:id="134" w:name="_Toc246996932"/>
      <w:bookmarkStart w:id="135" w:name="_Toc179632562"/>
      <w:bookmarkStart w:id="136" w:name="_Toc387526389"/>
      <w:bookmarkStart w:id="137" w:name="_Toc397928563"/>
      <w:bookmarkStart w:id="138" w:name="_Toc246996189"/>
      <w:r>
        <w:rPr>
          <w:rFonts w:hint="eastAsia" w:ascii="宋体" w:hAnsi="宋体" w:eastAsia="宋体" w:cs="宋体"/>
          <w:color w:val="auto"/>
          <w:sz w:val="24"/>
          <w:szCs w:val="24"/>
          <w:highlight w:val="none"/>
        </w:rPr>
        <w:t>2.2 招标文件的澄清</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hint="eastAsia" w:ascii="宋体" w:hAnsi="宋体" w:eastAsia="宋体" w:cs="宋体"/>
          <w:color w:val="auto"/>
          <w:sz w:val="24"/>
          <w:szCs w:val="24"/>
          <w:highlight w:val="none"/>
        </w:rPr>
        <w:t xml:space="preserve"> </w:t>
      </w:r>
    </w:p>
    <w:p>
      <w:pPr>
        <w:pageBreakBefore w:val="0"/>
        <w:shd w:val="clear" w:color="auto" w:fill="FFFFFF"/>
        <w:kinsoku/>
        <w:wordWrap/>
        <w:overflowPunct/>
        <w:topLinePunct w:val="0"/>
        <w:autoSpaceDE w:val="0"/>
        <w:autoSpaceDN w:val="0"/>
        <w:bidi w:val="0"/>
        <w:adjustRightInd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应当在3</w:t>
      </w:r>
      <w:r>
        <w:rPr>
          <w:rFonts w:hint="eastAsia" w:ascii="宋体" w:hAnsi="宋体" w:cs="宋体"/>
          <w:color w:val="auto"/>
          <w:sz w:val="24"/>
          <w:szCs w:val="24"/>
          <w:highlight w:val="none"/>
          <w:lang w:val="en-US" w:eastAsia="zh-CN"/>
        </w:rPr>
        <w:t>日</w:t>
      </w:r>
      <w:r>
        <w:rPr>
          <w:rFonts w:hint="eastAsia" w:ascii="宋体" w:hAnsi="宋体" w:eastAsia="宋体" w:cs="宋体"/>
          <w:color w:val="auto"/>
          <w:sz w:val="24"/>
          <w:szCs w:val="24"/>
          <w:highlight w:val="none"/>
        </w:rPr>
        <w:t>内对供应商依法提出的询问作出答复。</w:t>
      </w:r>
    </w:p>
    <w:p>
      <w:pPr>
        <w:pageBreakBefore w:val="0"/>
        <w:shd w:val="clear" w:color="auto" w:fill="FFFFFF"/>
        <w:kinsoku/>
        <w:wordWrap/>
        <w:overflowPunct/>
        <w:topLinePunct w:val="0"/>
        <w:autoSpaceDE w:val="0"/>
        <w:autoSpaceDN w:val="0"/>
        <w:bidi w:val="0"/>
        <w:adjustRightInd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招标文件的澄清将在投标人须知前附表规定的投标截止时间15天前以“补充答疑”的形式在</w:t>
      </w:r>
      <w:r>
        <w:rPr>
          <w:rFonts w:hint="eastAsia" w:ascii="宋体" w:hAnsi="宋体" w:cs="宋体"/>
          <w:color w:val="auto"/>
          <w:sz w:val="24"/>
          <w:szCs w:val="24"/>
          <w:highlight w:val="none"/>
          <w:lang w:eastAsia="zh-CN"/>
        </w:rPr>
        <w:t>江苏省招标投标公共服务平台（https://www.jszbtb.com/#/newindex）</w:t>
      </w:r>
      <w:r>
        <w:rPr>
          <w:rFonts w:hint="eastAsia" w:ascii="宋体" w:hAnsi="宋体" w:eastAsia="宋体" w:cs="宋体"/>
          <w:color w:val="auto"/>
          <w:sz w:val="24"/>
          <w:szCs w:val="24"/>
          <w:highlight w:val="none"/>
          <w:u w:val="none"/>
        </w:rPr>
        <w:t>上</w:t>
      </w:r>
      <w:r>
        <w:rPr>
          <w:rFonts w:hint="eastAsia" w:ascii="宋体" w:hAnsi="宋体" w:eastAsia="宋体" w:cs="宋体"/>
          <w:color w:val="auto"/>
          <w:sz w:val="24"/>
          <w:szCs w:val="24"/>
          <w:highlight w:val="none"/>
        </w:rPr>
        <w:t>公开发布，但不指明澄清问题的来源。如果澄清发出的时间距投标截止时间不足15天，且澄清内容影响投标文件编制的，相应延长投标截止时间。</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139" w:name="_Toc246996190"/>
      <w:bookmarkStart w:id="140" w:name="_Toc19263"/>
      <w:bookmarkStart w:id="141" w:name="_Toc246996933"/>
      <w:bookmarkStart w:id="142" w:name="_Toc397928564"/>
      <w:bookmarkStart w:id="143" w:name="_Toc36140086"/>
      <w:bookmarkStart w:id="144" w:name="_Toc366679677"/>
      <w:bookmarkStart w:id="145" w:name="_Toc387526390"/>
      <w:bookmarkStart w:id="146" w:name="_Toc387526194"/>
      <w:bookmarkStart w:id="147" w:name="_Toc179632563"/>
      <w:bookmarkStart w:id="148" w:name="_Toc387526298"/>
      <w:bookmarkStart w:id="149" w:name="_Toc247085704"/>
      <w:r>
        <w:rPr>
          <w:rFonts w:hint="eastAsia" w:ascii="宋体" w:hAnsi="宋体" w:eastAsia="宋体" w:cs="宋体"/>
          <w:color w:val="auto"/>
          <w:sz w:val="24"/>
          <w:szCs w:val="24"/>
          <w:highlight w:val="none"/>
        </w:rPr>
        <w:t>2.3 招标文件的修改</w:t>
      </w:r>
      <w:bookmarkEnd w:id="139"/>
      <w:bookmarkEnd w:id="140"/>
      <w:bookmarkEnd w:id="141"/>
      <w:bookmarkEnd w:id="142"/>
      <w:bookmarkEnd w:id="143"/>
      <w:bookmarkEnd w:id="144"/>
      <w:bookmarkEnd w:id="145"/>
      <w:bookmarkEnd w:id="146"/>
      <w:bookmarkEnd w:id="147"/>
      <w:bookmarkEnd w:id="148"/>
      <w:bookmarkEnd w:id="149"/>
    </w:p>
    <w:p>
      <w:pPr>
        <w:pageBreakBefore w:val="0"/>
        <w:shd w:val="clear" w:color="auto" w:fill="FFFFFF"/>
        <w:kinsoku/>
        <w:wordWrap/>
        <w:overflowPunct/>
        <w:topLinePunct w:val="0"/>
        <w:autoSpaceDE w:val="0"/>
        <w:autoSpaceDN w:val="0"/>
        <w:bidi w:val="0"/>
        <w:adjustRightInd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在投标截止时间15天前，招标人可以以“补充答疑”的形式在</w:t>
      </w:r>
      <w:r>
        <w:rPr>
          <w:rFonts w:hint="eastAsia" w:ascii="宋体" w:hAnsi="宋体" w:cs="宋体"/>
          <w:color w:val="auto"/>
          <w:sz w:val="24"/>
          <w:szCs w:val="24"/>
          <w:highlight w:val="none"/>
          <w:lang w:eastAsia="zh-CN"/>
        </w:rPr>
        <w:t>江苏省招标投标公共服务平台（https://www.jszbtb.com/#/newindex）</w:t>
      </w:r>
      <w:r>
        <w:rPr>
          <w:rFonts w:hint="eastAsia" w:ascii="宋体" w:hAnsi="宋体" w:eastAsia="宋体" w:cs="宋体"/>
          <w:color w:val="auto"/>
          <w:sz w:val="24"/>
          <w:szCs w:val="24"/>
          <w:highlight w:val="none"/>
        </w:rPr>
        <w:t>上修改招标文件。如果修改招标文件的时间距投标截止时间不足15天，且修改内容影响投标文件编制的，相应延长投标截止时间。</w:t>
      </w:r>
    </w:p>
    <w:p>
      <w:pPr>
        <w:pStyle w:val="140"/>
        <w:pageBreakBefore w:val="0"/>
        <w:kinsoku/>
        <w:wordWrap/>
        <w:overflowPunct/>
        <w:topLinePunct w:val="0"/>
        <w:bidi w:val="0"/>
        <w:spacing w:before="0" w:after="0"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150" w:name="_Toc387526195"/>
      <w:bookmarkStart w:id="151" w:name="_Toc36140087"/>
      <w:bookmarkStart w:id="152" w:name="_Toc19481"/>
      <w:bookmarkStart w:id="153" w:name="_Toc363329372"/>
      <w:bookmarkStart w:id="154" w:name="_Toc368760429"/>
      <w:bookmarkStart w:id="155" w:name="_Toc368759377"/>
      <w:bookmarkStart w:id="156" w:name="_Toc387526391"/>
      <w:bookmarkStart w:id="157" w:name="_Toc369077563"/>
      <w:bookmarkStart w:id="158" w:name="_Toc397928565"/>
      <w:bookmarkStart w:id="159" w:name="_Toc367894800"/>
      <w:bookmarkStart w:id="160" w:name="_Toc387526299"/>
      <w:bookmarkStart w:id="161" w:name="_Toc119718089"/>
      <w:r>
        <w:rPr>
          <w:rFonts w:hint="eastAsia" w:ascii="宋体" w:hAnsi="宋体" w:eastAsia="宋体" w:cs="宋体"/>
          <w:color w:val="auto"/>
          <w:sz w:val="24"/>
          <w:szCs w:val="24"/>
          <w:highlight w:val="none"/>
        </w:rPr>
        <w:t>3. 投标文件</w:t>
      </w:r>
      <w:bookmarkEnd w:id="150"/>
      <w:bookmarkEnd w:id="151"/>
      <w:bookmarkEnd w:id="152"/>
      <w:bookmarkEnd w:id="153"/>
      <w:bookmarkEnd w:id="154"/>
      <w:bookmarkEnd w:id="155"/>
      <w:bookmarkEnd w:id="156"/>
      <w:bookmarkEnd w:id="157"/>
      <w:bookmarkEnd w:id="158"/>
      <w:bookmarkEnd w:id="159"/>
      <w:bookmarkEnd w:id="160"/>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162" w:name="_Toc5625"/>
      <w:bookmarkStart w:id="163" w:name="_Toc397928566"/>
      <w:bookmarkStart w:id="164" w:name="_Toc387526300"/>
      <w:bookmarkStart w:id="165" w:name="_Toc387526196"/>
      <w:bookmarkStart w:id="166" w:name="_Toc36140088"/>
      <w:bookmarkStart w:id="167" w:name="_Toc387526392"/>
      <w:r>
        <w:rPr>
          <w:rFonts w:hint="eastAsia" w:ascii="宋体" w:hAnsi="宋体" w:eastAsia="宋体" w:cs="宋体"/>
          <w:color w:val="auto"/>
          <w:sz w:val="24"/>
          <w:szCs w:val="24"/>
          <w:highlight w:val="none"/>
        </w:rPr>
        <w:t>3.1 投标文件</w:t>
      </w:r>
      <w:bookmarkEnd w:id="161"/>
      <w:r>
        <w:rPr>
          <w:rFonts w:hint="eastAsia" w:ascii="宋体" w:hAnsi="宋体" w:eastAsia="宋体" w:cs="宋体"/>
          <w:color w:val="auto"/>
          <w:sz w:val="24"/>
          <w:szCs w:val="24"/>
          <w:highlight w:val="none"/>
        </w:rPr>
        <w:t>的组成</w:t>
      </w:r>
      <w:bookmarkEnd w:id="162"/>
      <w:bookmarkEnd w:id="163"/>
      <w:bookmarkEnd w:id="164"/>
      <w:bookmarkEnd w:id="165"/>
      <w:bookmarkEnd w:id="166"/>
      <w:bookmarkEnd w:id="167"/>
    </w:p>
    <w:p>
      <w:pPr>
        <w:pageBreakBefore w:val="0"/>
        <w:kinsoku/>
        <w:wordWrap/>
        <w:overflowPunct/>
        <w:topLinePunct w:val="0"/>
        <w:bidi w:val="0"/>
        <w:spacing w:line="360" w:lineRule="auto"/>
        <w:ind w:left="0" w:leftChars="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3.1.1投标文件包括资信文件、商务文件、技术文件及开标一览表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b/>
          <w:color w:val="auto"/>
          <w:sz w:val="24"/>
          <w:szCs w:val="24"/>
          <w:highlight w:val="none"/>
        </w:rPr>
        <w:t>资信文件</w:t>
      </w:r>
      <w:r>
        <w:rPr>
          <w:rFonts w:hint="eastAsia" w:ascii="宋体" w:hAnsi="宋体" w:eastAsia="宋体" w:cs="宋体"/>
          <w:color w:val="auto"/>
          <w:sz w:val="24"/>
          <w:szCs w:val="24"/>
          <w:highlight w:val="none"/>
        </w:rPr>
        <w:t>包括下述材料（复印件须加盖投标单位公章并装订在投标文件中）</w:t>
      </w:r>
      <w:r>
        <w:rPr>
          <w:rFonts w:hint="eastAsia" w:ascii="宋体" w:hAnsi="宋体" w:eastAsia="宋体" w:cs="宋体"/>
          <w:color w:val="auto"/>
          <w:sz w:val="24"/>
          <w:szCs w:val="24"/>
          <w:highlight w:val="none"/>
          <w:lang w:eastAsia="zh-CN"/>
        </w:rPr>
        <w:t>：</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投标时需提供的证书和资料：</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a、法人或者其他组织的营业执照等证明文件。</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color w:val="auto"/>
          <w:sz w:val="24"/>
          <w:szCs w:val="24"/>
          <w:highlight w:val="none"/>
        </w:rPr>
        <w:t>商务文件</w:t>
      </w:r>
      <w:r>
        <w:rPr>
          <w:rFonts w:hint="eastAsia" w:ascii="宋体" w:hAnsi="宋体" w:eastAsia="宋体" w:cs="宋体"/>
          <w:color w:val="auto"/>
          <w:sz w:val="24"/>
          <w:szCs w:val="24"/>
          <w:highlight w:val="none"/>
        </w:rPr>
        <w:t>应包括如下内容：</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a、投标人的法定代表人身份证明书；</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b、投标人的法定代表人授权委托书(如有授权)；</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c、投标函；</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d、诚信投标承诺书；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e、投标报价明细表；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f、商务条款偏离表；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w:t>
      </w:r>
      <w:r>
        <w:rPr>
          <w:rFonts w:hint="eastAsia" w:ascii="宋体" w:hAnsi="宋体" w:eastAsia="宋体" w:cs="宋体"/>
          <w:color w:val="auto"/>
          <w:sz w:val="24"/>
          <w:szCs w:val="24"/>
          <w:highlight w:val="none"/>
          <w:lang w:eastAsia="zh-CN"/>
        </w:rPr>
        <w:t>技术参数响应表</w:t>
      </w:r>
      <w:r>
        <w:rPr>
          <w:rFonts w:hint="eastAsia" w:ascii="宋体" w:hAnsi="宋体" w:eastAsia="宋体" w:cs="宋体"/>
          <w:color w:val="auto"/>
          <w:sz w:val="24"/>
          <w:szCs w:val="24"/>
          <w:highlight w:val="none"/>
        </w:rPr>
        <w:t>；</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w:t>
      </w:r>
      <w:r>
        <w:rPr>
          <w:rFonts w:hint="eastAsia" w:ascii="宋体" w:hAnsi="宋体" w:cs="宋体"/>
          <w:b w:val="0"/>
          <w:bCs w:val="0"/>
          <w:color w:val="auto"/>
          <w:sz w:val="24"/>
          <w:szCs w:val="24"/>
          <w:highlight w:val="none"/>
          <w:lang w:eastAsia="zh-CN"/>
        </w:rPr>
        <w:t>技术参数响应承诺函</w:t>
      </w:r>
      <w:r>
        <w:rPr>
          <w:rFonts w:hint="eastAsia" w:ascii="宋体" w:hAnsi="宋体" w:eastAsia="宋体" w:cs="宋体"/>
          <w:color w:val="auto"/>
          <w:sz w:val="24"/>
          <w:szCs w:val="24"/>
          <w:highlight w:val="none"/>
        </w:rPr>
        <w:t>；</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i、人员情况；</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j</w:t>
      </w:r>
      <w:r>
        <w:rPr>
          <w:rFonts w:hint="eastAsia" w:ascii="宋体" w:hAnsi="宋体" w:eastAsia="宋体" w:cs="宋体"/>
          <w:color w:val="auto"/>
          <w:sz w:val="24"/>
          <w:szCs w:val="24"/>
          <w:highlight w:val="none"/>
        </w:rPr>
        <w:t>、投标人根据评标办法认为应该提供的其它资料。</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（3）技术文件应包括如下内容：</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内容由投标人根据招标文件及招标文件采购需求及评标办法自行编制。</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（4）开标一览表</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168" w:name="_Toc387526393"/>
      <w:bookmarkStart w:id="169" w:name="_Toc387526197"/>
      <w:bookmarkStart w:id="170" w:name="_Toc36140089"/>
      <w:bookmarkStart w:id="171" w:name="_Toc387526301"/>
      <w:bookmarkStart w:id="172" w:name="_Toc397928567"/>
      <w:bookmarkStart w:id="173" w:name="_Toc10820"/>
      <w:r>
        <w:rPr>
          <w:rFonts w:hint="eastAsia" w:ascii="宋体" w:hAnsi="宋体" w:eastAsia="宋体" w:cs="宋体"/>
          <w:color w:val="auto"/>
          <w:sz w:val="24"/>
          <w:szCs w:val="24"/>
          <w:highlight w:val="none"/>
        </w:rPr>
        <w:t>3.2 投标报价</w:t>
      </w:r>
      <w:bookmarkEnd w:id="168"/>
      <w:bookmarkEnd w:id="169"/>
      <w:bookmarkEnd w:id="170"/>
      <w:bookmarkEnd w:id="171"/>
      <w:bookmarkEnd w:id="172"/>
      <w:bookmarkEnd w:id="173"/>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3.2.1投标报价应包含本招标文件中的全部内容所需的所有费用。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3.2.2投标人按投标人须知前附表的具体规定进行报价。</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3.2.3招标人设有最高投标限价的，投标人的投标报价不得超过最高投标限价，最高投标限价见投标人须知前附表。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3.2.4计价方式</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固定单价”报价，投标报价是履行合同的最终价格（如招标需求发生变化，采购数量按实结算，中标单价不变），其应包括为完成本项目招标文件所确定的招标范围内的全部内容，所需要支付的一切费用和拟获得的利润、税金，并考虑了应承担的风险。投标人应充分考虑为完成上述内容所必须的备材料费(含辅助配置、备品备件、专用工具、技术资料等)、人工费、机械费、安装费、调试费、运输费、验收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检测费</w:t>
      </w:r>
      <w:r>
        <w:rPr>
          <w:rFonts w:hint="eastAsia" w:ascii="宋体" w:hAnsi="宋体" w:eastAsia="宋体" w:cs="宋体"/>
          <w:sz w:val="24"/>
          <w:szCs w:val="24"/>
          <w:highlight w:val="none"/>
        </w:rPr>
        <w:t>、人员培训费、售前售后服务费、保管费、保险费、保修费、风险费、管理费、利润、税金以及政策性文件规定的各项所需的全部费用。除非因特殊原因并经买卖双方协商同意，投标人不得再要求追加任何费用。同时，除非合同条款中另有规定，否则，投标人所报价格在合同实施期间不因市场变化因素而变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投标人应承担其参加本次招标活动自身所涉及的一切费用，无论投标结果如何，招标人对上述费用不负任何责任。</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投标所报单价为最终结算单价，因特殊原因并经买卖双方协商同意，投标人不得再要求追加任何费用。同时，除非合同条款中另有规定，否则，投标单位所报单价在合同实施期间不因市场变化因素而变动。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非招标人对招标文件予以修改，投标人应按招标人提供的招标需求中列出的项目填报单价和合价。每一项目只允许有一个报价。任何有选择的报价将不予接受。投标人未填报项目清单中列出的项目的单价或合价的项目，在项目实施后，招标人将不予支付，并视为该项费用已包括在其它有价款的单价或合价内。</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投标人应自行到项目现场踏勘以充分了解项目实施地点位置、情况以及任何其他足以影响合同价的情况，任何因忽视或误解项目情况而导致的索赔或工期延长申请将不被批准。</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174" w:name="_Toc387526394"/>
      <w:bookmarkStart w:id="175" w:name="_Toc397928568"/>
      <w:bookmarkStart w:id="176" w:name="_Toc387526198"/>
      <w:bookmarkStart w:id="177" w:name="_Toc21008"/>
      <w:bookmarkStart w:id="178" w:name="_Toc387526302"/>
      <w:bookmarkStart w:id="179" w:name="_Toc36140090"/>
      <w:r>
        <w:rPr>
          <w:rFonts w:hint="eastAsia" w:ascii="宋体" w:hAnsi="宋体" w:eastAsia="宋体" w:cs="宋体"/>
          <w:color w:val="auto"/>
          <w:sz w:val="24"/>
          <w:szCs w:val="24"/>
          <w:highlight w:val="none"/>
        </w:rPr>
        <w:t>3.3 投标有效期</w:t>
      </w:r>
      <w:bookmarkEnd w:id="174"/>
      <w:bookmarkEnd w:id="175"/>
      <w:bookmarkEnd w:id="176"/>
      <w:bookmarkEnd w:id="177"/>
      <w:bookmarkEnd w:id="178"/>
      <w:bookmarkEnd w:id="179"/>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在投标人须知前附表第3.3.1条规定的投标有效期内，投标人不得要求撤销或修改其投标文件。</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3.3.2出现特殊情况需要延长投标有效期的，招标人应通知所有投标人延长投标有效期。 </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bCs/>
          <w:color w:val="auto"/>
          <w:sz w:val="24"/>
          <w:szCs w:val="24"/>
          <w:highlight w:val="none"/>
        </w:rPr>
      </w:pPr>
      <w:bookmarkStart w:id="180" w:name="_Toc24952"/>
      <w:bookmarkStart w:id="181" w:name="_Toc36140092"/>
      <w:bookmarkStart w:id="182" w:name="_Toc397928570"/>
      <w:bookmarkStart w:id="183" w:name="_Toc339359765"/>
      <w:bookmarkStart w:id="184" w:name="_Toc324255909"/>
      <w:bookmarkStart w:id="185" w:name="_Toc269310939"/>
      <w:r>
        <w:rPr>
          <w:rFonts w:hint="eastAsia" w:ascii="宋体" w:hAnsi="宋体" w:eastAsia="宋体" w:cs="宋体"/>
          <w:bCs/>
          <w:color w:val="auto"/>
          <w:sz w:val="24"/>
          <w:szCs w:val="24"/>
          <w:highlight w:val="none"/>
        </w:rPr>
        <w:t>3.4投标保证金</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本项目不需要缴纳投标保证金。</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 资格审查资料</w:t>
      </w:r>
      <w:bookmarkEnd w:id="180"/>
      <w:bookmarkEnd w:id="181"/>
      <w:bookmarkEnd w:id="182"/>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投标人在编制投标文件时，应按照本章3.1的要求提供资料。</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186" w:name="_Toc397928571"/>
      <w:bookmarkStart w:id="187" w:name="_Toc22895"/>
      <w:bookmarkStart w:id="188" w:name="_Toc387526200"/>
      <w:bookmarkStart w:id="189" w:name="_Toc387526396"/>
      <w:bookmarkStart w:id="190" w:name="_Toc36140093"/>
      <w:bookmarkStart w:id="191" w:name="_Toc387526304"/>
      <w:r>
        <w:rPr>
          <w:rFonts w:hint="eastAsia" w:ascii="宋体" w:hAnsi="宋体" w:eastAsia="宋体" w:cs="宋体"/>
          <w:color w:val="auto"/>
          <w:sz w:val="24"/>
          <w:szCs w:val="24"/>
          <w:highlight w:val="none"/>
        </w:rPr>
        <w:t>3.6备选投标方案</w:t>
      </w:r>
      <w:bookmarkEnd w:id="183"/>
      <w:bookmarkEnd w:id="184"/>
      <w:bookmarkEnd w:id="185"/>
      <w:bookmarkEnd w:id="186"/>
      <w:bookmarkEnd w:id="187"/>
      <w:bookmarkEnd w:id="188"/>
      <w:bookmarkEnd w:id="189"/>
      <w:bookmarkEnd w:id="190"/>
      <w:bookmarkEnd w:id="191"/>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除投标人须知前附表另有规定外，投标人不得提交备选投标方案。</w:t>
      </w:r>
      <w:bookmarkStart w:id="192" w:name="_Toc36140094"/>
      <w:bookmarkStart w:id="193" w:name="_Toc16855"/>
      <w:bookmarkStart w:id="194" w:name="_Toc397928572"/>
      <w:bookmarkStart w:id="195" w:name="_Toc387526201"/>
      <w:bookmarkStart w:id="196" w:name="_Toc387526305"/>
      <w:bookmarkStart w:id="197" w:name="_Toc387526397"/>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3.7投标文件的编制</w:t>
      </w:r>
      <w:bookmarkEnd w:id="192"/>
      <w:bookmarkEnd w:id="193"/>
      <w:bookmarkEnd w:id="194"/>
      <w:bookmarkEnd w:id="195"/>
      <w:bookmarkEnd w:id="196"/>
      <w:bookmarkEnd w:id="197"/>
      <w:bookmarkStart w:id="198" w:name="_Toc184635074"/>
      <w:bookmarkStart w:id="199" w:name="_Toc397928573"/>
      <w:bookmarkStart w:id="200" w:name="_Toc367894801"/>
      <w:bookmarkStart w:id="201" w:name="_Toc36140095"/>
      <w:bookmarkStart w:id="202" w:name="_Toc368759378"/>
      <w:bookmarkStart w:id="203" w:name="_Toc387526306"/>
      <w:bookmarkStart w:id="204" w:name="_Toc387526398"/>
      <w:bookmarkStart w:id="205" w:name="_Toc363329373"/>
      <w:bookmarkStart w:id="206" w:name="_Toc24421"/>
      <w:bookmarkStart w:id="207" w:name="_Toc368760430"/>
      <w:bookmarkStart w:id="208" w:name="_Toc387526202"/>
      <w:bookmarkStart w:id="209" w:name="_Toc369077564"/>
      <w:bookmarkStart w:id="210" w:name="_Toc368759379"/>
      <w:bookmarkStart w:id="211" w:name="_Toc367894802"/>
      <w:bookmarkStart w:id="212" w:name="_Toc184635075"/>
      <w:bookmarkStart w:id="213" w:name="_Toc363329374"/>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3.7.1 投标文件应按“投标文件格式”进行编写，如有必要，可以增加附页，作为投标文件的组成部分。</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3.7.2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3.7.3 投标文件正本一份，副本份数见投标人须知前附表。正本和副本的封面上应清楚地标记“正本”或“副本”的字样。当副本和正本不一致时，以正本为准。</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3.7.4 投标文件的正本与副本应分别装订成册，并编制目录，具体装订要求见投标人须知前附表规定。</w:t>
      </w:r>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sz w:val="24"/>
          <w:szCs w:val="24"/>
          <w:highlight w:val="none"/>
        </w:rPr>
      </w:pPr>
      <w:r>
        <w:rPr>
          <w:rFonts w:hint="eastAsia" w:ascii="宋体" w:hAnsi="宋体" w:eastAsia="宋体" w:cs="宋体"/>
          <w:b w:val="0"/>
          <w:bCs w:val="0"/>
          <w:kern w:val="2"/>
          <w:sz w:val="24"/>
          <w:szCs w:val="24"/>
          <w:highlight w:val="none"/>
          <w:lang w:val="en-US" w:eastAsia="zh-CN" w:bidi="ar-SA"/>
        </w:rPr>
        <w:t>对违反上述规定者将按无效标书处理。</w:t>
      </w:r>
    </w:p>
    <w:p>
      <w:pPr>
        <w:pStyle w:val="140"/>
        <w:pageBreakBefore w:val="0"/>
        <w:kinsoku/>
        <w:wordWrap/>
        <w:overflowPunct/>
        <w:topLinePunct w:val="0"/>
        <w:bidi w:val="0"/>
        <w:spacing w:before="0" w:after="0" w:line="360" w:lineRule="auto"/>
        <w:ind w:left="0" w:leftChars="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投标</w:t>
      </w:r>
      <w:bookmarkEnd w:id="198"/>
      <w:bookmarkEnd w:id="199"/>
      <w:bookmarkEnd w:id="200"/>
      <w:bookmarkEnd w:id="201"/>
      <w:bookmarkEnd w:id="202"/>
      <w:bookmarkEnd w:id="203"/>
      <w:bookmarkEnd w:id="204"/>
      <w:bookmarkEnd w:id="205"/>
      <w:bookmarkEnd w:id="206"/>
      <w:bookmarkEnd w:id="207"/>
      <w:bookmarkEnd w:id="208"/>
      <w:bookmarkEnd w:id="209"/>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bookmarkStart w:id="214" w:name="_Toc27481"/>
      <w:bookmarkStart w:id="215" w:name="_Toc387526399"/>
      <w:bookmarkStart w:id="216" w:name="_Toc36140096"/>
      <w:bookmarkStart w:id="217" w:name="_Toc397928574"/>
      <w:bookmarkStart w:id="218" w:name="_Toc387526203"/>
      <w:bookmarkStart w:id="219" w:name="_Toc387526307"/>
      <w:r>
        <w:rPr>
          <w:rFonts w:hint="eastAsia" w:ascii="宋体" w:hAnsi="宋体" w:eastAsia="宋体" w:cs="宋体"/>
          <w:b w:val="0"/>
          <w:bCs w:val="0"/>
          <w:kern w:val="2"/>
          <w:sz w:val="24"/>
          <w:szCs w:val="24"/>
          <w:highlight w:val="none"/>
          <w:lang w:val="en-US" w:eastAsia="zh-CN" w:bidi="ar-SA"/>
        </w:rPr>
        <w:t>4.1 投标文件的密封和标记</w:t>
      </w:r>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4.1.1 投标文件应清楚地标记“正本”、“副本”字样，并包装密封提交；封套上分别写明投标人名称、投标项目名称、项目编号、“开标时启封”字样，并加盖投标人公章。</w:t>
      </w:r>
      <w:bookmarkStart w:id="220" w:name="_Toc387526308"/>
      <w:bookmarkStart w:id="221" w:name="_Toc7888"/>
      <w:bookmarkStart w:id="222" w:name="_Toc387526204"/>
      <w:bookmarkStart w:id="223" w:name="_Toc387526400"/>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bookmarkStart w:id="224" w:name="_Toc36140097"/>
      <w:bookmarkStart w:id="225" w:name="_Toc397928575"/>
      <w:r>
        <w:rPr>
          <w:rFonts w:hint="eastAsia" w:ascii="宋体" w:hAnsi="宋体" w:eastAsia="宋体" w:cs="宋体"/>
          <w:b w:val="0"/>
          <w:bCs w:val="0"/>
          <w:kern w:val="2"/>
          <w:sz w:val="24"/>
          <w:szCs w:val="24"/>
          <w:highlight w:val="none"/>
          <w:lang w:val="en-US" w:eastAsia="zh-CN" w:bidi="ar-SA"/>
        </w:rPr>
        <w:t>4.2 投标文件的递交</w:t>
      </w:r>
      <w:bookmarkEnd w:id="220"/>
      <w:bookmarkEnd w:id="221"/>
      <w:bookmarkEnd w:id="222"/>
      <w:bookmarkEnd w:id="223"/>
      <w:bookmarkEnd w:id="224"/>
      <w:bookmarkEnd w:id="225"/>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4.2.1 投标人应在投标人须知前附表规定的投标截止时间前递交投标文件。</w:t>
      </w:r>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4.2.2 投标人递交投标文件的地点：见投标人须知前附表。</w:t>
      </w:r>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4.2.3 除投标人须知前附表另有规定外，投标人所递交的投标文件不予退还。</w:t>
      </w:r>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bookmarkStart w:id="226" w:name="_Toc387526401"/>
      <w:bookmarkStart w:id="227" w:name="_Toc36140098"/>
      <w:bookmarkStart w:id="228" w:name="_Toc387526309"/>
      <w:bookmarkStart w:id="229" w:name="_Toc12008"/>
      <w:bookmarkStart w:id="230" w:name="_Toc397928576"/>
      <w:bookmarkStart w:id="231" w:name="_Toc387526205"/>
      <w:r>
        <w:rPr>
          <w:rFonts w:hint="eastAsia" w:ascii="宋体" w:hAnsi="宋体" w:eastAsia="宋体" w:cs="宋体"/>
          <w:b w:val="0"/>
          <w:bCs w:val="0"/>
          <w:kern w:val="2"/>
          <w:sz w:val="24"/>
          <w:szCs w:val="24"/>
          <w:highlight w:val="none"/>
          <w:lang w:val="en-US" w:eastAsia="zh-CN" w:bidi="ar-SA"/>
        </w:rPr>
        <w:t>4.3 投标文件的修改与撤回</w:t>
      </w:r>
      <w:bookmarkEnd w:id="226"/>
      <w:bookmarkEnd w:id="227"/>
      <w:bookmarkEnd w:id="228"/>
      <w:bookmarkEnd w:id="229"/>
      <w:bookmarkEnd w:id="230"/>
      <w:bookmarkEnd w:id="231"/>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4.3.1 在投标人须知前附表规定的投标截止时间前，投标人可以修改或撤回已递交的投标文件，但应以书面形式通知招标人。</w:t>
      </w:r>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4.3.2 投标人修改或撤回已递交投标文件的书面通知应按照本章第3.7.2项的要求签字或盖章</w:t>
      </w:r>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4.3.3 修改的内容为投标文件的组成部分。修改的投标文件应按照本章第3 条、第4 条规定进行编制、密封、标记和递交，并标明“修改”字样。</w:t>
      </w:r>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bookmarkStart w:id="232" w:name="_Toc11740"/>
      <w:bookmarkStart w:id="233" w:name="_Toc36140099"/>
      <w:bookmarkStart w:id="234" w:name="_Toc397928577"/>
      <w:r>
        <w:rPr>
          <w:rFonts w:hint="eastAsia" w:ascii="宋体" w:hAnsi="宋体" w:eastAsia="宋体" w:cs="宋体"/>
          <w:b w:val="0"/>
          <w:bCs w:val="0"/>
          <w:kern w:val="2"/>
          <w:sz w:val="24"/>
          <w:szCs w:val="24"/>
          <w:highlight w:val="none"/>
          <w:lang w:val="en-US" w:eastAsia="zh-CN" w:bidi="ar-SA"/>
        </w:rPr>
        <w:t>4.4 不予接收的投标文件</w:t>
      </w:r>
      <w:bookmarkEnd w:id="232"/>
      <w:bookmarkEnd w:id="233"/>
      <w:bookmarkEnd w:id="234"/>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4.4.1未按本章第4.1.1款规定密封的投标文件，招标人有权不予接收。</w:t>
      </w:r>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4.4.2未按规定获取招标文件而来投标的，招标人有权不予接收。</w:t>
      </w:r>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val="0"/>
          <w:bCs w:val="0"/>
          <w:kern w:val="2"/>
          <w:sz w:val="24"/>
          <w:szCs w:val="24"/>
          <w:highlight w:val="none"/>
          <w:lang w:val="en-US" w:eastAsia="zh-CN" w:bidi="ar-SA"/>
        </w:rPr>
        <w:t>4.4.3逾期送达或者未送达指定地点的投标文件，招标人不予接收；对在争议时间点接收的投标文件，后被认定逾期送达的，视同不予接收。</w:t>
      </w:r>
    </w:p>
    <w:bookmarkEnd w:id="214"/>
    <w:bookmarkEnd w:id="215"/>
    <w:bookmarkEnd w:id="216"/>
    <w:bookmarkEnd w:id="217"/>
    <w:bookmarkEnd w:id="218"/>
    <w:bookmarkEnd w:id="219"/>
    <w:p>
      <w:pPr>
        <w:pStyle w:val="140"/>
        <w:pageBreakBefore w:val="0"/>
        <w:kinsoku/>
        <w:wordWrap/>
        <w:overflowPunct/>
        <w:topLinePunct w:val="0"/>
        <w:bidi w:val="0"/>
        <w:spacing w:before="0" w:after="0"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235" w:name="_Toc36140100"/>
      <w:bookmarkStart w:id="236" w:name="_Toc387526310"/>
      <w:bookmarkStart w:id="237" w:name="_Toc22329"/>
      <w:bookmarkStart w:id="238" w:name="_Toc387526206"/>
      <w:bookmarkStart w:id="239" w:name="_Toc397928578"/>
      <w:bookmarkStart w:id="240" w:name="_Toc387526402"/>
      <w:bookmarkStart w:id="241" w:name="_Toc368760431"/>
      <w:bookmarkStart w:id="242" w:name="_Toc369077565"/>
      <w:bookmarkStart w:id="243" w:name="_Toc368759381"/>
      <w:bookmarkStart w:id="244" w:name="_Toc152045566"/>
      <w:bookmarkStart w:id="245" w:name="_Toc179632584"/>
      <w:bookmarkStart w:id="246" w:name="_Toc247085724"/>
      <w:bookmarkStart w:id="247" w:name="_Toc246996210"/>
      <w:bookmarkStart w:id="248" w:name="_Toc152042342"/>
      <w:bookmarkStart w:id="249" w:name="_Toc246996953"/>
      <w:bookmarkStart w:id="250" w:name="_Toc366679697"/>
      <w:bookmarkStart w:id="251" w:name="_Toc144974534"/>
      <w:r>
        <w:rPr>
          <w:rFonts w:hint="eastAsia" w:ascii="宋体" w:hAnsi="宋体" w:eastAsia="宋体" w:cs="宋体"/>
          <w:color w:val="auto"/>
          <w:sz w:val="24"/>
          <w:szCs w:val="24"/>
          <w:highlight w:val="none"/>
        </w:rPr>
        <w:t>5. 开标</w:t>
      </w:r>
      <w:bookmarkEnd w:id="235"/>
      <w:bookmarkEnd w:id="236"/>
      <w:bookmarkEnd w:id="237"/>
      <w:bookmarkEnd w:id="238"/>
      <w:bookmarkEnd w:id="239"/>
      <w:bookmarkEnd w:id="240"/>
      <w:bookmarkEnd w:id="241"/>
      <w:bookmarkEnd w:id="242"/>
    </w:p>
    <w:p>
      <w:pPr>
        <w:pStyle w:val="44"/>
        <w:pageBreakBefore w:val="0"/>
        <w:widowControl w:val="0"/>
        <w:kinsoku/>
        <w:wordWrap/>
        <w:overflowPunct/>
        <w:topLinePunct w:val="0"/>
        <w:autoSpaceDE/>
        <w:autoSpaceDN/>
        <w:bidi w:val="0"/>
        <w:adjustRightInd/>
        <w:snapToGrid w:val="0"/>
        <w:spacing w:after="0" w:line="360" w:lineRule="auto"/>
        <w:ind w:left="0" w:firstLine="480" w:firstLineChars="200"/>
        <w:jc w:val="left"/>
        <w:textAlignment w:val="auto"/>
        <w:rPr>
          <w:rFonts w:hint="eastAsia" w:ascii="宋体" w:hAnsi="宋体" w:eastAsia="宋体" w:cs="宋体"/>
          <w:color w:val="auto"/>
          <w:sz w:val="24"/>
          <w:szCs w:val="24"/>
          <w:highlight w:val="none"/>
        </w:rPr>
      </w:pPr>
      <w:bookmarkStart w:id="252" w:name="_Toc387526209"/>
      <w:bookmarkStart w:id="253" w:name="_Toc368760432"/>
      <w:bookmarkStart w:id="254" w:name="_Toc368759380"/>
      <w:bookmarkStart w:id="255" w:name="_Toc22517"/>
      <w:bookmarkStart w:id="256" w:name="_Toc36140103"/>
      <w:bookmarkStart w:id="257" w:name="_Toc184635076"/>
      <w:bookmarkStart w:id="258" w:name="_Toc363329375"/>
      <w:bookmarkStart w:id="259" w:name="_Toc387526405"/>
      <w:bookmarkStart w:id="260" w:name="_Toc397928581"/>
      <w:bookmarkStart w:id="261" w:name="_Toc367894803"/>
      <w:bookmarkStart w:id="262" w:name="_Toc369077566"/>
      <w:bookmarkStart w:id="263" w:name="_Toc387526313"/>
      <w:r>
        <w:rPr>
          <w:rFonts w:hint="eastAsia" w:ascii="宋体" w:hAnsi="宋体" w:eastAsia="宋体" w:cs="宋体"/>
          <w:color w:val="auto"/>
          <w:sz w:val="24"/>
          <w:szCs w:val="24"/>
          <w:highlight w:val="none"/>
        </w:rPr>
        <w:t>5.1.1 招标人在本章第 4.2.1 项规定的投标截止时间（开标时间）和投标人须知前附表规定的地点公开开标。开标时，投标人不需出现在开标现场，仅需在任意地点通过 PC 端或移动端的“腾讯会议”及相应的配套硬件设备参加开标会议。</w:t>
      </w:r>
    </w:p>
    <w:p>
      <w:pPr>
        <w:pStyle w:val="44"/>
        <w:pageBreakBefore w:val="0"/>
        <w:widowControl w:val="0"/>
        <w:kinsoku/>
        <w:wordWrap/>
        <w:overflowPunct/>
        <w:topLinePunct w:val="0"/>
        <w:autoSpaceDE/>
        <w:autoSpaceDN/>
        <w:bidi w:val="0"/>
        <w:adjustRightInd/>
        <w:snapToGrid w:val="0"/>
        <w:spacing w:after="0"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 参加开标会议的方法：</w:t>
      </w:r>
    </w:p>
    <w:p>
      <w:pPr>
        <w:pStyle w:val="44"/>
        <w:pageBreakBefore w:val="0"/>
        <w:widowControl w:val="0"/>
        <w:kinsoku/>
        <w:wordWrap/>
        <w:overflowPunct/>
        <w:topLinePunct w:val="0"/>
        <w:autoSpaceDE/>
        <w:autoSpaceDN/>
        <w:bidi w:val="0"/>
        <w:adjustRightInd/>
        <w:snapToGrid w:val="0"/>
        <w:spacing w:after="0"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（1）投标人投标截止时间前须通过电脑或智能手机搜索下载并安装“腾讯会议”，完成注册。</w:t>
      </w:r>
    </w:p>
    <w:p>
      <w:pPr>
        <w:pStyle w:val="44"/>
        <w:pageBreakBefore w:val="0"/>
        <w:widowControl w:val="0"/>
        <w:kinsoku/>
        <w:wordWrap/>
        <w:overflowPunct/>
        <w:topLinePunct w:val="0"/>
        <w:autoSpaceDE/>
        <w:autoSpaceDN/>
        <w:bidi w:val="0"/>
        <w:adjustRightInd/>
        <w:snapToGrid w:val="0"/>
        <w:spacing w:after="0"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（2）投标截止时间前10分钟，招标代理工作人员将开启会议系统，各投标人登入腾讯会议后点击“加入会议”，输入会议号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”，“您的姓名”按“单位简称+授权委托人姓名”格式填写，然后点击“加入会议”。</w:t>
      </w:r>
    </w:p>
    <w:p>
      <w:pPr>
        <w:pStyle w:val="44"/>
        <w:pageBreakBefore w:val="0"/>
        <w:widowControl w:val="0"/>
        <w:kinsoku/>
        <w:wordWrap/>
        <w:overflowPunct/>
        <w:topLinePunct w:val="0"/>
        <w:autoSpaceDE/>
        <w:autoSpaceDN/>
        <w:bidi w:val="0"/>
        <w:adjustRightInd/>
        <w:snapToGrid w:val="0"/>
        <w:spacing w:after="0"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 因本项目采用不见面开标模式，故招标人特别说明如下：</w:t>
      </w:r>
    </w:p>
    <w:p>
      <w:pPr>
        <w:pStyle w:val="44"/>
        <w:pageBreakBefore w:val="0"/>
        <w:widowControl w:val="0"/>
        <w:kinsoku/>
        <w:wordWrap/>
        <w:overflowPunct/>
        <w:topLinePunct w:val="0"/>
        <w:autoSpaceDE/>
        <w:autoSpaceDN/>
        <w:bidi w:val="0"/>
        <w:adjustRightInd/>
        <w:snapToGrid w:val="0"/>
        <w:spacing w:after="0"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投标文件的编制和递交，应依照招标文件的规定进行。如未按招标文件要求编制、递交投标文件，将可能导致废标，其后果由投标人自负。特别说明：由于本项目时间紧、任务重，因某种原因无法在规定的时间内递交投标文件的，视同放弃此次投标机会，不得向招标人、监管部门、招标代理机构等所有相关部门追责。</w:t>
      </w:r>
    </w:p>
    <w:p>
      <w:pPr>
        <w:pStyle w:val="44"/>
        <w:pageBreakBefore w:val="0"/>
        <w:widowControl w:val="0"/>
        <w:kinsoku/>
        <w:wordWrap/>
        <w:overflowPunct/>
        <w:topLinePunct w:val="0"/>
        <w:autoSpaceDE/>
        <w:autoSpaceDN/>
        <w:bidi w:val="0"/>
        <w:adjustRightInd/>
        <w:snapToGrid w:val="0"/>
        <w:spacing w:after="0"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（2）开标时间前 10 分钟，招标人、招标代理机构提前进入开标会议系统，播放测试音频，各投标人的授权委托人或法人代表于规定时间内进入开标会议系统收听观看实时音视频交互并及时在讨论组中反馈，未按时加入开标会议系统的或未能在开标会议系统内全程参与交互的，视为放弃交互和放弃对开标全过程提疑的权利，投标人无法看到唱标、开标结果等实时情况，导致的一切后果由投标人承担。</w:t>
      </w:r>
    </w:p>
    <w:p>
      <w:pPr>
        <w:pStyle w:val="44"/>
        <w:pageBreakBefore w:val="0"/>
        <w:widowControl w:val="0"/>
        <w:kinsoku/>
        <w:wordWrap/>
        <w:overflowPunct/>
        <w:topLinePunct w:val="0"/>
        <w:autoSpaceDE/>
        <w:autoSpaceDN/>
        <w:bidi w:val="0"/>
        <w:adjustRightInd/>
        <w:snapToGrid w:val="0"/>
        <w:spacing w:after="0"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全过程中，各投标人参与远程交互的授权委托人或法人代表应始终为同一个人，中途不得更换，在废标、澄清、提疑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pStyle w:val="44"/>
        <w:pageBreakBefore w:val="0"/>
        <w:widowControl w:val="0"/>
        <w:kinsoku/>
        <w:wordWrap/>
        <w:overflowPunct/>
        <w:topLinePunct w:val="0"/>
        <w:autoSpaceDE/>
        <w:autoSpaceDN/>
        <w:bidi w:val="0"/>
        <w:adjustRightInd/>
        <w:snapToGrid w:val="0"/>
        <w:spacing w:after="0"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（4）为顺利实现本项目开评标的远程交互，建议投标人配置能够实现远程音视频通话的高配置笔记本电脑或手机， 进入开标会议后确保网络通畅、稳定，为保证交互效果，建议投标人选择封闭安静的地点参与远程交互。因投标人自身软硬件配备不齐全或发生故障等问题而导致在交互过程中出现不稳定或中断等情况的，由投标人自身承担一切后果。</w:t>
      </w:r>
    </w:p>
    <w:p>
      <w:pPr>
        <w:pStyle w:val="44"/>
        <w:pageBreakBefore w:val="0"/>
        <w:widowControl w:val="0"/>
        <w:kinsoku/>
        <w:wordWrap/>
        <w:overflowPunct/>
        <w:topLinePunct w:val="0"/>
        <w:autoSpaceDE/>
        <w:autoSpaceDN/>
        <w:bidi w:val="0"/>
        <w:adjustRightInd/>
        <w:snapToGrid w:val="0"/>
        <w:spacing w:after="0"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（5）友情提醒：投标人如对上述腾讯会议软件等有疑问的，请尽早和软件公司的服务人员或其他专业人员联系，他们会根据投标人要求，提供必要的培训和技术支持。</w:t>
      </w:r>
    </w:p>
    <w:p>
      <w:pPr>
        <w:pStyle w:val="44"/>
        <w:pageBreakBefore w:val="0"/>
        <w:widowControl w:val="0"/>
        <w:kinsoku/>
        <w:wordWrap/>
        <w:overflowPunct/>
        <w:topLinePunct w:val="0"/>
        <w:autoSpaceDE/>
        <w:autoSpaceDN/>
        <w:bidi w:val="0"/>
        <w:adjustRightInd/>
        <w:snapToGrid w:val="0"/>
        <w:spacing w:after="0" w:line="360" w:lineRule="auto"/>
        <w:ind w:lef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腾讯客服联系方式： 0755-83765566</w:t>
      </w:r>
    </w:p>
    <w:p>
      <w:pPr>
        <w:pStyle w:val="44"/>
        <w:pageBreakBefore w:val="0"/>
        <w:widowControl w:val="0"/>
        <w:kinsoku/>
        <w:wordWrap/>
        <w:overflowPunct/>
        <w:topLinePunct w:val="0"/>
        <w:autoSpaceDE/>
        <w:autoSpaceDN/>
        <w:bidi w:val="0"/>
        <w:adjustRightInd/>
        <w:snapToGrid w:val="0"/>
        <w:spacing w:after="0" w:line="360" w:lineRule="auto"/>
        <w:ind w:lef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招标代理业务技术支持联系人：王桂强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联系电话：0515-66882258-9-840</w:t>
      </w:r>
    </w:p>
    <w:p>
      <w:pPr>
        <w:pStyle w:val="4"/>
        <w:pageBreakBefore w:val="0"/>
        <w:widowControl w:val="0"/>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color w:val="auto"/>
          <w:sz w:val="24"/>
          <w:szCs w:val="24"/>
          <w:highlight w:val="none"/>
        </w:rPr>
      </w:pPr>
      <w:bookmarkStart w:id="264" w:name="_Toc397928580"/>
      <w:bookmarkStart w:id="265" w:name="_Toc11103"/>
      <w:bookmarkStart w:id="266" w:name="_Toc387526208"/>
      <w:bookmarkStart w:id="267" w:name="_Toc445046839"/>
      <w:bookmarkStart w:id="268" w:name="_Toc387526312"/>
      <w:bookmarkStart w:id="269" w:name="_Toc36140102"/>
      <w:bookmarkStart w:id="270" w:name="_Toc387526404"/>
      <w:r>
        <w:rPr>
          <w:rFonts w:hint="eastAsia" w:ascii="宋体" w:hAnsi="宋体" w:eastAsia="宋体" w:cs="宋体"/>
          <w:color w:val="auto"/>
          <w:sz w:val="24"/>
          <w:szCs w:val="24"/>
          <w:highlight w:val="none"/>
        </w:rPr>
        <w:t>5.2 开标程序</w:t>
      </w:r>
      <w:bookmarkEnd w:id="264"/>
      <w:bookmarkEnd w:id="265"/>
      <w:bookmarkEnd w:id="266"/>
      <w:bookmarkEnd w:id="267"/>
      <w:bookmarkEnd w:id="268"/>
      <w:bookmarkEnd w:id="269"/>
      <w:bookmarkEnd w:id="270"/>
    </w:p>
    <w:p>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 主持人按下列程序进行开标：</w:t>
      </w:r>
    </w:p>
    <w:p>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（1）宣布开标纪律；</w:t>
      </w:r>
    </w:p>
    <w:p>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（2）公布在投标截止时间前递交投标文件的投标人名称；</w:t>
      </w:r>
    </w:p>
    <w:p>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（3）宣布相关参会人员姓名；</w:t>
      </w:r>
    </w:p>
    <w:p>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（4）检查投标文件的密封情况；</w:t>
      </w:r>
    </w:p>
    <w:p>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（5）拆封投标文件并唱标；</w:t>
      </w:r>
    </w:p>
    <w:p>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（6）开标会议结束。</w:t>
      </w:r>
    </w:p>
    <w:p>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 投标人对开标有异议的，应当在开标会议系统内提出，招标人应当当场作出答复，并作好记录；如无法现场答复的，可转交评标委员会予以解决。未提出异议的视为认同。任何单位和个人在开标结束后就开标提出的异议或投诉将不予受理。</w:t>
      </w:r>
    </w:p>
    <w:p>
      <w:pPr>
        <w:pStyle w:val="140"/>
        <w:pageBreakBefore w:val="0"/>
        <w:kinsoku/>
        <w:wordWrap/>
        <w:overflowPunct/>
        <w:topLinePunct w:val="0"/>
        <w:bidi w:val="0"/>
        <w:spacing w:before="0" w:after="0" w:line="360" w:lineRule="auto"/>
        <w:ind w:left="0" w:leftChars="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评标</w:t>
      </w:r>
      <w:bookmarkEnd w:id="252"/>
      <w:bookmarkEnd w:id="253"/>
      <w:bookmarkEnd w:id="254"/>
      <w:bookmarkEnd w:id="255"/>
      <w:bookmarkEnd w:id="256"/>
      <w:bookmarkEnd w:id="257"/>
      <w:bookmarkEnd w:id="258"/>
      <w:bookmarkEnd w:id="259"/>
      <w:bookmarkEnd w:id="260"/>
      <w:bookmarkEnd w:id="261"/>
      <w:bookmarkEnd w:id="262"/>
      <w:bookmarkEnd w:id="263"/>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271" w:name="_Toc387526210"/>
      <w:bookmarkStart w:id="272" w:name="_Toc9909"/>
      <w:bookmarkStart w:id="273" w:name="_Toc397928582"/>
      <w:bookmarkStart w:id="274" w:name="_Toc36140104"/>
      <w:bookmarkStart w:id="275" w:name="_Toc387526406"/>
      <w:bookmarkStart w:id="276" w:name="_Toc387526314"/>
      <w:r>
        <w:rPr>
          <w:rFonts w:hint="eastAsia" w:ascii="宋体" w:hAnsi="宋体" w:eastAsia="宋体" w:cs="宋体"/>
          <w:color w:val="auto"/>
          <w:sz w:val="24"/>
          <w:szCs w:val="24"/>
          <w:highlight w:val="none"/>
        </w:rPr>
        <w:t>6.1 评标委员会</w:t>
      </w:r>
      <w:bookmarkEnd w:id="271"/>
      <w:bookmarkEnd w:id="272"/>
      <w:bookmarkEnd w:id="273"/>
      <w:bookmarkEnd w:id="274"/>
      <w:bookmarkEnd w:id="275"/>
      <w:bookmarkEnd w:id="276"/>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277" w:name="_Toc324255922"/>
      <w:bookmarkStart w:id="278" w:name="_Toc339359778"/>
      <w:bookmarkStart w:id="279" w:name="_Toc269310951"/>
      <w:r>
        <w:rPr>
          <w:rFonts w:hint="eastAsia" w:ascii="宋体" w:hAnsi="宋体" w:eastAsia="宋体" w:cs="宋体"/>
          <w:color w:val="auto"/>
          <w:sz w:val="24"/>
          <w:szCs w:val="24"/>
          <w:highlight w:val="none"/>
        </w:rPr>
        <w:t>6.1.1 评标由招标人依法组建的评标委员会负责。评标委员会由招标人代表以及有关技术、经济等方面的专家组成。</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评标委员会成员有下列情形之一的，应当回避：</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（1）投标人或投标人主要负责人的近亲属；</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（3）与投标人有经济利益关系；</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（4）曾因在招标、评标以及其他与招标投标有关活动中从事违法行为而受过行政处罚或刑事处罚的，且在处罚期内。</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280" w:name="_Toc387526315"/>
      <w:bookmarkStart w:id="281" w:name="_Toc397928583"/>
      <w:bookmarkStart w:id="282" w:name="_Toc387526211"/>
      <w:bookmarkStart w:id="283" w:name="_Toc36140105"/>
      <w:bookmarkStart w:id="284" w:name="_Toc387526407"/>
      <w:bookmarkStart w:id="285" w:name="_Toc12316"/>
      <w:r>
        <w:rPr>
          <w:rFonts w:hint="eastAsia" w:ascii="宋体" w:hAnsi="宋体" w:eastAsia="宋体" w:cs="宋体"/>
          <w:color w:val="auto"/>
          <w:sz w:val="24"/>
          <w:szCs w:val="24"/>
          <w:highlight w:val="none"/>
        </w:rPr>
        <w:t>6.2</w:t>
      </w:r>
      <w:bookmarkEnd w:id="277"/>
      <w:bookmarkEnd w:id="278"/>
      <w:bookmarkEnd w:id="279"/>
      <w:r>
        <w:rPr>
          <w:rFonts w:hint="eastAsia" w:ascii="宋体" w:hAnsi="宋体" w:eastAsia="宋体" w:cs="宋体"/>
          <w:color w:val="auto"/>
          <w:sz w:val="24"/>
          <w:szCs w:val="24"/>
          <w:highlight w:val="none"/>
        </w:rPr>
        <w:t xml:space="preserve"> 评标原则</w:t>
      </w:r>
      <w:bookmarkEnd w:id="280"/>
      <w:bookmarkEnd w:id="281"/>
      <w:bookmarkEnd w:id="282"/>
      <w:bookmarkEnd w:id="283"/>
      <w:bookmarkEnd w:id="284"/>
      <w:bookmarkEnd w:id="285"/>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286" w:name="_Toc246996209"/>
      <w:bookmarkStart w:id="287" w:name="_Toc366679696"/>
      <w:bookmarkStart w:id="288" w:name="_Toc152045565"/>
      <w:bookmarkStart w:id="289" w:name="_Toc397928584"/>
      <w:bookmarkStart w:id="290" w:name="_Toc6500"/>
      <w:bookmarkStart w:id="291" w:name="_Toc387526408"/>
      <w:bookmarkStart w:id="292" w:name="_Toc144974533"/>
      <w:bookmarkStart w:id="293" w:name="_Toc36140106"/>
      <w:bookmarkStart w:id="294" w:name="_Toc152042341"/>
      <w:bookmarkStart w:id="295" w:name="_Toc246996952"/>
      <w:bookmarkStart w:id="296" w:name="_Toc179632583"/>
      <w:bookmarkStart w:id="297" w:name="_Toc387526316"/>
      <w:bookmarkStart w:id="298" w:name="_Toc387526212"/>
      <w:bookmarkStart w:id="299" w:name="_Toc247085723"/>
      <w:r>
        <w:rPr>
          <w:rFonts w:hint="eastAsia" w:ascii="宋体" w:hAnsi="宋体" w:eastAsia="宋体" w:cs="宋体"/>
          <w:color w:val="auto"/>
          <w:sz w:val="24"/>
          <w:szCs w:val="24"/>
          <w:highlight w:val="none"/>
        </w:rPr>
        <w:t>6.3 评标</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评标委员会按照第三章“评标办法”规定的方法、评审因素、标准和程序对投标文件进行评审。第三章“评标办法”没有规定的方法、评审因素和标准，不作为评标依据。</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00" w:name="_Toc36140107"/>
      <w:bookmarkStart w:id="301" w:name="_Toc397928585"/>
      <w:r>
        <w:rPr>
          <w:rFonts w:hint="eastAsia" w:ascii="宋体" w:hAnsi="宋体" w:eastAsia="宋体" w:cs="宋体"/>
          <w:color w:val="auto"/>
          <w:sz w:val="24"/>
          <w:szCs w:val="24"/>
          <w:highlight w:val="none"/>
        </w:rPr>
        <w:t>6.4 多个标段推荐中标候选人顺序</w:t>
      </w:r>
      <w:bookmarkEnd w:id="300"/>
      <w:bookmarkEnd w:id="301"/>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见投标人须知前附表</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02" w:name="_Toc36140108"/>
      <w:r>
        <w:rPr>
          <w:rFonts w:hint="eastAsia" w:ascii="宋体" w:hAnsi="宋体" w:eastAsia="宋体" w:cs="宋体"/>
          <w:color w:val="auto"/>
          <w:sz w:val="24"/>
          <w:szCs w:val="24"/>
          <w:highlight w:val="none"/>
        </w:rPr>
        <w:t>6.5无效标书条款</w:t>
      </w:r>
      <w:bookmarkEnd w:id="302"/>
    </w:p>
    <w:p>
      <w:pPr>
        <w:pageBreakBefore w:val="0"/>
        <w:shd w:val="clear" w:color="auto" w:fill="FFFFFF"/>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投标文件有下列情况之一的，属于重大偏差，视为未能对招标文件作出实质性响应，应当作为无效投标予以否决：</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（1）投标文件中的投标函未加盖投标人的公章；</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（2）投标文件中的投标函无企业法定代表人（或企业法定代表人委托代理人）印章（或签字）的；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（3）如投标函由企业法定代表人委托代理人加盖印章（或签字）的，企业法定代表人委托代理人没有合法、有效的委托书（原件）的；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（4）投标人资格条件不符合国家有关规定或招标文件要求的；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（5）组成联合体投标未提供联合体各方共同投标协议的；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（6）在同一招标项目中，联合体成员以自己名义单独投标或者参加其他联合体投标的；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（7）投标人名称与资格预审时不一致且未提供有效证明的；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（8）投标文件技术规格中一般参数超出招标文件允许偏离的最大范围或最高项数的；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（9）投标报价高于招标文件设定的最高投标限价的；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（10）投标文件的组成不符合招标文件要求的；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（11）投标人递交两份或多份内容不同的投标文件，或在一份投标文件中对同一招标货物报有两个或多个报价，且未声明哪一个为最终报价的，按招标文件规定提交备选投标方案的除外；</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（12）与招标文件提供的</w:t>
      </w:r>
      <w:r>
        <w:rPr>
          <w:rFonts w:hint="eastAsia" w:ascii="宋体" w:hAnsi="宋体" w:eastAsia="宋体" w:cs="宋体"/>
          <w:color w:val="auto"/>
          <w:sz w:val="24"/>
          <w:szCs w:val="24"/>
          <w:highlight w:val="none"/>
          <w:lang w:val="en-US" w:eastAsia="zh-CN"/>
        </w:rPr>
        <w:t>采购需求内容的不响应或无法满足</w:t>
      </w:r>
      <w:r>
        <w:rPr>
          <w:rFonts w:hint="eastAsia" w:ascii="宋体" w:hAnsi="宋体" w:eastAsia="宋体" w:cs="宋体"/>
          <w:color w:val="auto"/>
          <w:sz w:val="24"/>
          <w:szCs w:val="24"/>
          <w:highlight w:val="none"/>
        </w:rPr>
        <w:t xml:space="preserve">的；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（13）投标文件载明的招标项目完成期限超过招标文件规定的期限的，或交货期达不到招标文件规定期限的要求；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（14）明显不符合技术规范、技术标准的要求的；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）投标文件提出的</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服务响应</w:t>
      </w:r>
      <w:r>
        <w:rPr>
          <w:rFonts w:hint="eastAsia" w:ascii="宋体" w:hAnsi="宋体" w:eastAsia="宋体" w:cs="宋体"/>
          <w:color w:val="auto"/>
          <w:sz w:val="24"/>
          <w:szCs w:val="24"/>
          <w:highlight w:val="none"/>
        </w:rPr>
        <w:t>、价款结算和付款方式不能满足招标文件要求或招标人不能接受；</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）不同投标人的投标文件出现了评标委员会认为不应当雷同的情况的；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）以他人的名义投标、串通投标、以行贿手段谋取中标或者以其他弄虚作假方式投标的；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）不符合招标文件有关电子标书要求的。</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03" w:name="_Toc36140109"/>
      <w:r>
        <w:rPr>
          <w:rFonts w:hint="eastAsia" w:ascii="宋体" w:hAnsi="宋体" w:eastAsia="宋体" w:cs="宋体"/>
          <w:color w:val="auto"/>
          <w:sz w:val="24"/>
          <w:szCs w:val="24"/>
          <w:highlight w:val="none"/>
        </w:rPr>
        <w:t>6.6重新招标</w:t>
      </w:r>
      <w:bookmarkEnd w:id="303"/>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04" w:name="_Toc397928586"/>
      <w:bookmarkStart w:id="305" w:name="_Toc22985"/>
      <w:bookmarkStart w:id="306" w:name="_Toc387526409"/>
      <w:bookmarkStart w:id="307" w:name="_Toc387526213"/>
      <w:bookmarkStart w:id="308" w:name="_Toc387526317"/>
      <w:bookmarkStart w:id="309" w:name="_Toc369077567"/>
      <w:bookmarkStart w:id="310" w:name="_Toc368760433"/>
      <w:r>
        <w:rPr>
          <w:rFonts w:hint="eastAsia" w:ascii="宋体" w:hAnsi="宋体" w:eastAsia="宋体" w:cs="宋体"/>
          <w:color w:val="auto"/>
          <w:sz w:val="24"/>
          <w:szCs w:val="24"/>
          <w:highlight w:val="none"/>
        </w:rPr>
        <w:t>依法必须进行招标的项目，提交投标文件的投标人少于三个的，招标人在分析招标失败的原因并采取相应措施后，应当依法重新招标。重新招标后投标人仍少于三个的，按国家有关规定需要履行审批、核准手续的依法必须进行招标的项目，报项目审批、核准部门审批、核准后可以不再进行招标。</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必须招标的项目评标委员会否决所有投标的，或者评标委员会否决一部分投标后其他有效投标不足三个使得投标明显缺乏竞争，决定否决全部投标的，招标人在分析招标失败的原因并采取相应措施后，应当重新招标。</w:t>
      </w:r>
    </w:p>
    <w:p>
      <w:pPr>
        <w:pStyle w:val="140"/>
        <w:pageBreakBefore w:val="0"/>
        <w:kinsoku/>
        <w:wordWrap/>
        <w:overflowPunct/>
        <w:topLinePunct w:val="0"/>
        <w:bidi w:val="0"/>
        <w:spacing w:before="0" w:after="0"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311" w:name="_Toc36140110"/>
      <w:r>
        <w:rPr>
          <w:rFonts w:hint="eastAsia" w:ascii="宋体" w:hAnsi="宋体" w:eastAsia="宋体" w:cs="宋体"/>
          <w:color w:val="auto"/>
          <w:sz w:val="24"/>
          <w:szCs w:val="24"/>
          <w:highlight w:val="none"/>
        </w:rPr>
        <w:t>7. 评标结果</w:t>
      </w:r>
      <w:bookmarkEnd w:id="304"/>
      <w:bookmarkEnd w:id="305"/>
      <w:bookmarkEnd w:id="306"/>
      <w:bookmarkEnd w:id="307"/>
      <w:bookmarkEnd w:id="308"/>
      <w:bookmarkEnd w:id="311"/>
      <w:r>
        <w:rPr>
          <w:rFonts w:hint="eastAsia" w:ascii="宋体" w:hAnsi="宋体" w:eastAsia="宋体" w:cs="宋体"/>
          <w:color w:val="auto"/>
          <w:sz w:val="24"/>
          <w:szCs w:val="24"/>
          <w:highlight w:val="none"/>
        </w:rPr>
        <w:t>公告</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12" w:name="_Toc387526410"/>
      <w:bookmarkStart w:id="313" w:name="_Toc397928587"/>
      <w:bookmarkStart w:id="314" w:name="_Toc387526214"/>
      <w:bookmarkStart w:id="315" w:name="_Toc387526318"/>
      <w:bookmarkStart w:id="316" w:name="_Toc15824"/>
      <w:bookmarkStart w:id="317" w:name="_Toc36140111"/>
      <w:r>
        <w:rPr>
          <w:rFonts w:hint="eastAsia" w:ascii="宋体" w:hAnsi="宋体" w:cs="宋体"/>
          <w:color w:val="auto"/>
          <w:sz w:val="24"/>
          <w:szCs w:val="24"/>
          <w:highlight w:val="none"/>
          <w:lang w:val="en-US" w:eastAsia="zh-CN"/>
        </w:rPr>
        <w:t>7.1</w:t>
      </w:r>
      <w:r>
        <w:rPr>
          <w:rFonts w:hint="eastAsia" w:ascii="宋体" w:hAnsi="宋体" w:eastAsia="宋体" w:cs="宋体"/>
          <w:color w:val="auto"/>
          <w:sz w:val="24"/>
          <w:szCs w:val="24"/>
          <w:highlight w:val="none"/>
        </w:rPr>
        <w:t>招标人在收到评标报告之日起3日内在本招标项目招标公告发布的同一媒介发布评标结果公示，公示期不少于3个工作日。</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7.2</w:t>
      </w:r>
      <w:r>
        <w:rPr>
          <w:rFonts w:hint="eastAsia" w:ascii="宋体" w:hAnsi="宋体" w:eastAsia="宋体" w:cs="宋体"/>
          <w:color w:val="auto"/>
          <w:sz w:val="24"/>
          <w:szCs w:val="24"/>
          <w:highlight w:val="none"/>
        </w:rPr>
        <w:t>投标人或者其他利害关系人对评标结果有异议的，应当在公示期间提出。招标人自收到异议之日起3日内作出答复。对招标人答复不满意或招标人拒不答复的，投标人可按照</w:t>
      </w:r>
      <w:r>
        <w:rPr>
          <w:rFonts w:hint="eastAsia" w:ascii="宋体" w:hAnsi="宋体" w:cs="宋体"/>
          <w:color w:val="auto"/>
          <w:sz w:val="24"/>
          <w:szCs w:val="24"/>
          <w:highlight w:val="none"/>
          <w:lang w:val="en-US" w:eastAsia="zh-CN"/>
        </w:rPr>
        <w:t>相关</w:t>
      </w:r>
      <w:r>
        <w:rPr>
          <w:rFonts w:hint="eastAsia" w:ascii="宋体" w:hAnsi="宋体" w:eastAsia="宋体" w:cs="宋体"/>
          <w:color w:val="auto"/>
          <w:sz w:val="24"/>
          <w:szCs w:val="24"/>
          <w:highlight w:val="none"/>
        </w:rPr>
        <w:t>程序向有关行政监督部门投诉。</w:t>
      </w:r>
    </w:p>
    <w:p>
      <w:pPr>
        <w:pStyle w:val="140"/>
        <w:pageBreakBefore w:val="0"/>
        <w:kinsoku/>
        <w:wordWrap/>
        <w:overflowPunct/>
        <w:topLinePunct w:val="0"/>
        <w:bidi w:val="0"/>
        <w:spacing w:before="0" w:after="0" w:line="360" w:lineRule="auto"/>
        <w:ind w:left="0" w:leftChars="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合同授予</w:t>
      </w:r>
      <w:bookmarkEnd w:id="243"/>
      <w:bookmarkEnd w:id="244"/>
      <w:bookmarkEnd w:id="245"/>
      <w:bookmarkEnd w:id="246"/>
      <w:bookmarkEnd w:id="247"/>
      <w:bookmarkEnd w:id="248"/>
      <w:bookmarkEnd w:id="249"/>
      <w:bookmarkEnd w:id="250"/>
      <w:bookmarkEnd w:id="251"/>
      <w:bookmarkEnd w:id="309"/>
      <w:bookmarkEnd w:id="310"/>
      <w:bookmarkEnd w:id="312"/>
      <w:bookmarkEnd w:id="313"/>
      <w:bookmarkEnd w:id="314"/>
      <w:bookmarkEnd w:id="315"/>
      <w:bookmarkEnd w:id="316"/>
      <w:bookmarkEnd w:id="317"/>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18" w:name="_Toc144974535"/>
      <w:bookmarkStart w:id="319" w:name="_Toc36140112"/>
      <w:bookmarkStart w:id="320" w:name="_Toc152042343"/>
      <w:bookmarkStart w:id="321" w:name="_Toc397928588"/>
      <w:bookmarkStart w:id="322" w:name="_Toc246996954"/>
      <w:bookmarkStart w:id="323" w:name="_Toc387526215"/>
      <w:bookmarkStart w:id="324" w:name="_Toc387526319"/>
      <w:bookmarkStart w:id="325" w:name="_Toc179632585"/>
      <w:bookmarkStart w:id="326" w:name="_Toc247085725"/>
      <w:bookmarkStart w:id="327" w:name="_Toc246996211"/>
      <w:bookmarkStart w:id="328" w:name="_Toc5192"/>
      <w:bookmarkStart w:id="329" w:name="_Toc152045567"/>
      <w:bookmarkStart w:id="330" w:name="_Toc387526411"/>
      <w:bookmarkStart w:id="331" w:name="_Toc366679698"/>
      <w:r>
        <w:rPr>
          <w:rFonts w:hint="eastAsia" w:ascii="宋体" w:hAnsi="宋体" w:eastAsia="宋体" w:cs="宋体"/>
          <w:color w:val="auto"/>
          <w:sz w:val="24"/>
          <w:szCs w:val="24"/>
          <w:highlight w:val="none"/>
        </w:rPr>
        <w:t>8.1 定标方式</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32" w:name="_Toc387526216"/>
      <w:bookmarkStart w:id="333" w:name="_Toc29357"/>
      <w:bookmarkStart w:id="334" w:name="_Toc387526320"/>
      <w:bookmarkStart w:id="335" w:name="_Toc387526412"/>
      <w:r>
        <w:rPr>
          <w:rFonts w:hint="eastAsia" w:ascii="宋体" w:hAnsi="宋体" w:eastAsia="宋体" w:cs="宋体"/>
          <w:color w:val="auto"/>
          <w:sz w:val="24"/>
          <w:szCs w:val="24"/>
          <w:highlight w:val="none"/>
        </w:rPr>
        <w:t>除投标人须知前附表规定评标委员会直接确定中标人外，招标人依据评标委员会推荐的中标候选人确定中标人。</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36" w:name="_Toc36140113"/>
      <w:bookmarkStart w:id="337" w:name="_Toc397928589"/>
      <w:r>
        <w:rPr>
          <w:rFonts w:hint="eastAsia" w:ascii="宋体" w:hAnsi="宋体" w:eastAsia="宋体" w:cs="宋体"/>
          <w:color w:val="auto"/>
          <w:sz w:val="24"/>
          <w:szCs w:val="24"/>
          <w:highlight w:val="none"/>
        </w:rPr>
        <w:t>8.2</w:t>
      </w:r>
      <w:bookmarkEnd w:id="332"/>
      <w:bookmarkEnd w:id="333"/>
      <w:bookmarkEnd w:id="334"/>
      <w:bookmarkEnd w:id="335"/>
      <w:bookmarkStart w:id="338" w:name="_Toc387526217"/>
      <w:bookmarkStart w:id="339" w:name="_Toc179632586"/>
      <w:bookmarkStart w:id="340" w:name="_Toc13765"/>
      <w:bookmarkStart w:id="341" w:name="_Toc387526321"/>
      <w:bookmarkStart w:id="342" w:name="_Toc387526413"/>
      <w:bookmarkStart w:id="343" w:name="_Toc246996955"/>
      <w:bookmarkStart w:id="344" w:name="_Toc247085726"/>
      <w:bookmarkStart w:id="345" w:name="_Toc366679700"/>
      <w:bookmarkStart w:id="346" w:name="_Toc246996212"/>
      <w:r>
        <w:rPr>
          <w:rFonts w:hint="eastAsia" w:ascii="宋体" w:hAnsi="宋体" w:eastAsia="宋体" w:cs="宋体"/>
          <w:color w:val="auto"/>
          <w:sz w:val="24"/>
          <w:szCs w:val="24"/>
          <w:highlight w:val="none"/>
        </w:rPr>
        <w:t>中标通知</w:t>
      </w:r>
      <w:bookmarkEnd w:id="336"/>
      <w:bookmarkEnd w:id="337"/>
      <w:bookmarkEnd w:id="338"/>
      <w:bookmarkEnd w:id="339"/>
      <w:bookmarkEnd w:id="340"/>
      <w:bookmarkEnd w:id="341"/>
      <w:bookmarkEnd w:id="342"/>
      <w:bookmarkEnd w:id="343"/>
      <w:bookmarkEnd w:id="344"/>
      <w:bookmarkEnd w:id="345"/>
      <w:bookmarkEnd w:id="346"/>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47" w:name="_Toc247085727"/>
      <w:bookmarkStart w:id="348" w:name="_Toc179632587"/>
      <w:bookmarkStart w:id="349" w:name="_Toc366679701"/>
      <w:bookmarkStart w:id="350" w:name="_Toc246996213"/>
      <w:bookmarkStart w:id="351" w:name="_Toc246996956"/>
      <w:r>
        <w:rPr>
          <w:rFonts w:hint="eastAsia" w:ascii="宋体" w:hAnsi="宋体" w:eastAsia="宋体" w:cs="宋体"/>
          <w:color w:val="auto"/>
          <w:sz w:val="24"/>
          <w:szCs w:val="24"/>
          <w:highlight w:val="none"/>
        </w:rPr>
        <w:t>招标人在本招标文件规定的投标有效期内以书面形式向中标人发出中标通知书。</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52" w:name="_Toc387526322"/>
      <w:bookmarkStart w:id="353" w:name="_Toc397928590"/>
      <w:bookmarkStart w:id="354" w:name="_Toc387526218"/>
      <w:bookmarkStart w:id="355" w:name="_Toc36140114"/>
      <w:bookmarkStart w:id="356" w:name="_Toc387526414"/>
      <w:bookmarkStart w:id="357" w:name="_Toc26386"/>
      <w:r>
        <w:rPr>
          <w:rFonts w:hint="eastAsia" w:ascii="宋体" w:hAnsi="宋体" w:eastAsia="宋体" w:cs="宋体"/>
          <w:color w:val="auto"/>
          <w:sz w:val="24"/>
          <w:szCs w:val="24"/>
          <w:highlight w:val="none"/>
        </w:rPr>
        <w:t>8.3 履约保证金</w:t>
      </w:r>
      <w:bookmarkEnd w:id="347"/>
      <w:bookmarkEnd w:id="348"/>
      <w:bookmarkEnd w:id="349"/>
      <w:bookmarkEnd w:id="350"/>
      <w:bookmarkEnd w:id="351"/>
      <w:bookmarkEnd w:id="352"/>
      <w:bookmarkEnd w:id="353"/>
      <w:bookmarkEnd w:id="354"/>
      <w:bookmarkEnd w:id="355"/>
      <w:bookmarkEnd w:id="356"/>
      <w:bookmarkEnd w:id="357"/>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bookmarkStart w:id="358" w:name="_Toc10565"/>
      <w:bookmarkStart w:id="359" w:name="_Toc246996957"/>
      <w:bookmarkStart w:id="360" w:name="_Toc397928591"/>
      <w:bookmarkStart w:id="361" w:name="_Toc387526219"/>
      <w:bookmarkStart w:id="362" w:name="_Toc179632588"/>
      <w:bookmarkStart w:id="363" w:name="_Toc246996214"/>
      <w:bookmarkStart w:id="364" w:name="_Toc247085728"/>
      <w:bookmarkStart w:id="365" w:name="_Toc387526415"/>
      <w:bookmarkStart w:id="366" w:name="_Toc366679702"/>
      <w:bookmarkStart w:id="367" w:name="_Toc36140115"/>
      <w:bookmarkStart w:id="368" w:name="_Toc387526323"/>
      <w:r>
        <w:rPr>
          <w:rFonts w:hint="eastAsia" w:ascii="宋体" w:hAnsi="宋体" w:eastAsia="宋体" w:cs="宋体"/>
          <w:color w:val="auto"/>
          <w:sz w:val="24"/>
          <w:szCs w:val="24"/>
          <w:highlight w:val="none"/>
          <w:lang w:val="en-US" w:eastAsia="zh-CN"/>
        </w:rPr>
        <w:t>8.3.1合同订立的同时，中标人向招标人提交合同总价10%的履约保证金，履约保证金在项目完成并经招标人验收合格且中标人无违约情形后，于20个工作日内退还（不计息）；</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8.3.2提交方式：银行转帐、电汇、网汇、支票、汇票、本票、保函等非现金形式。</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8.3.3退还方式：银行转帐、电汇、网汇、支票、汇票、本票、保函等非现金形式。</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签订合同</w:t>
      </w:r>
      <w:bookmarkEnd w:id="358"/>
      <w:bookmarkEnd w:id="359"/>
      <w:bookmarkEnd w:id="360"/>
      <w:bookmarkEnd w:id="361"/>
      <w:bookmarkEnd w:id="362"/>
      <w:bookmarkEnd w:id="363"/>
      <w:bookmarkEnd w:id="364"/>
      <w:bookmarkEnd w:id="365"/>
      <w:bookmarkEnd w:id="366"/>
      <w:bookmarkEnd w:id="367"/>
      <w:bookmarkEnd w:id="368"/>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8.4.1招标人和中标人应当自中标通知书发出之日起</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日内，根据招标文件和中标人的投标文件订立书面合同。中标人无正当理由拒签合同的，招标人取消其中标资格。</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8.4.2 发出中标通知书后，招标人无正当理由拒签合同的，给中标人造成损失的，应当赔偿损失。</w:t>
      </w:r>
    </w:p>
    <w:bookmarkEnd w:id="210"/>
    <w:bookmarkEnd w:id="211"/>
    <w:bookmarkEnd w:id="212"/>
    <w:bookmarkEnd w:id="213"/>
    <w:p>
      <w:pPr>
        <w:pStyle w:val="140"/>
        <w:pageBreakBefore w:val="0"/>
        <w:kinsoku/>
        <w:wordWrap/>
        <w:overflowPunct/>
        <w:topLinePunct w:val="0"/>
        <w:bidi w:val="0"/>
        <w:spacing w:before="0" w:after="0"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369" w:name="_Toc36140116"/>
      <w:bookmarkStart w:id="370" w:name="_Toc387526220"/>
      <w:bookmarkStart w:id="371" w:name="_Toc30717"/>
      <w:bookmarkStart w:id="372" w:name="_Toc368760435"/>
      <w:bookmarkStart w:id="373" w:name="_Toc387526416"/>
      <w:bookmarkStart w:id="374" w:name="_Toc397928592"/>
      <w:bookmarkStart w:id="375" w:name="_Toc369077569"/>
      <w:bookmarkStart w:id="376" w:name="_Toc367894807"/>
      <w:bookmarkStart w:id="377" w:name="_Toc368759383"/>
      <w:bookmarkStart w:id="378" w:name="_Toc322503149"/>
      <w:bookmarkStart w:id="379" w:name="_Toc387526324"/>
      <w:bookmarkStart w:id="380" w:name="_Toc363329380"/>
      <w:r>
        <w:rPr>
          <w:rFonts w:hint="eastAsia" w:ascii="宋体" w:hAnsi="宋体" w:eastAsia="宋体" w:cs="宋体"/>
          <w:color w:val="auto"/>
          <w:sz w:val="24"/>
          <w:szCs w:val="24"/>
          <w:highlight w:val="none"/>
        </w:rPr>
        <w:t>9. 纪律和监督</w:t>
      </w:r>
      <w:bookmarkEnd w:id="369"/>
      <w:bookmarkEnd w:id="370"/>
      <w:bookmarkEnd w:id="371"/>
      <w:bookmarkEnd w:id="372"/>
      <w:bookmarkEnd w:id="373"/>
      <w:bookmarkEnd w:id="374"/>
      <w:bookmarkEnd w:id="375"/>
      <w:bookmarkEnd w:id="376"/>
      <w:bookmarkEnd w:id="377"/>
      <w:bookmarkEnd w:id="378"/>
      <w:bookmarkEnd w:id="379"/>
      <w:bookmarkEnd w:id="380"/>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81" w:name="_Toc322503150"/>
      <w:bookmarkStart w:id="382" w:name="_Toc387526221"/>
      <w:bookmarkStart w:id="383" w:name="_Toc36140117"/>
      <w:bookmarkStart w:id="384" w:name="_Toc269310963"/>
      <w:bookmarkStart w:id="385" w:name="_Toc29855"/>
      <w:bookmarkStart w:id="386" w:name="_Toc152042351"/>
      <w:bookmarkStart w:id="387" w:name="_Toc397928593"/>
      <w:bookmarkStart w:id="388" w:name="_Toc144974543"/>
      <w:bookmarkStart w:id="389" w:name="_Toc387526417"/>
      <w:bookmarkStart w:id="390" w:name="_Toc152045575"/>
      <w:bookmarkStart w:id="391" w:name="_Toc387526325"/>
      <w:r>
        <w:rPr>
          <w:rFonts w:hint="eastAsia" w:ascii="宋体" w:hAnsi="宋体" w:eastAsia="宋体" w:cs="宋体"/>
          <w:color w:val="auto"/>
          <w:sz w:val="24"/>
          <w:szCs w:val="24"/>
          <w:highlight w:val="none"/>
        </w:rPr>
        <w:t>9.1 对招标人的纪律要求</w:t>
      </w:r>
      <w:bookmarkEnd w:id="381"/>
      <w:bookmarkEnd w:id="382"/>
      <w:bookmarkEnd w:id="383"/>
      <w:bookmarkEnd w:id="384"/>
      <w:bookmarkEnd w:id="385"/>
      <w:bookmarkEnd w:id="386"/>
      <w:bookmarkEnd w:id="387"/>
      <w:bookmarkEnd w:id="388"/>
      <w:bookmarkEnd w:id="389"/>
      <w:bookmarkEnd w:id="390"/>
      <w:bookmarkEnd w:id="391"/>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招标人不得泄露招标投标活动中应当保密的情况和资料，不得与投标人串通损害国家利益、社会公众利益或者他人合法权益。</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92" w:name="_Toc36140118"/>
      <w:bookmarkStart w:id="393" w:name="_Toc1420"/>
      <w:bookmarkStart w:id="394" w:name="_Toc322503151"/>
      <w:bookmarkStart w:id="395" w:name="_Toc144974544"/>
      <w:bookmarkStart w:id="396" w:name="_Toc387526418"/>
      <w:bookmarkStart w:id="397" w:name="_Toc269310964"/>
      <w:bookmarkStart w:id="398" w:name="_Toc397928594"/>
      <w:bookmarkStart w:id="399" w:name="_Toc387526326"/>
      <w:bookmarkStart w:id="400" w:name="_Toc387526222"/>
      <w:bookmarkStart w:id="401" w:name="_Toc152045576"/>
      <w:bookmarkStart w:id="402" w:name="_Toc152042352"/>
      <w:r>
        <w:rPr>
          <w:rFonts w:hint="eastAsia" w:ascii="宋体" w:hAnsi="宋体" w:eastAsia="宋体" w:cs="宋体"/>
          <w:color w:val="auto"/>
          <w:sz w:val="24"/>
          <w:szCs w:val="24"/>
          <w:highlight w:val="none"/>
        </w:rPr>
        <w:t>9.2 对投标人的纪律要求</w:t>
      </w:r>
      <w:bookmarkEnd w:id="392"/>
      <w:bookmarkEnd w:id="393"/>
      <w:bookmarkEnd w:id="394"/>
      <w:bookmarkEnd w:id="395"/>
      <w:bookmarkEnd w:id="396"/>
      <w:bookmarkEnd w:id="397"/>
      <w:bookmarkEnd w:id="398"/>
      <w:bookmarkEnd w:id="399"/>
      <w:bookmarkEnd w:id="400"/>
      <w:bookmarkEnd w:id="401"/>
      <w:bookmarkEnd w:id="402"/>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03" w:name="_Toc322503152"/>
      <w:bookmarkStart w:id="404" w:name="_Toc152045577"/>
      <w:bookmarkStart w:id="405" w:name="_Toc269310965"/>
      <w:bookmarkStart w:id="406" w:name="_Toc152042353"/>
      <w:bookmarkStart w:id="407" w:name="_Toc144974545"/>
      <w:r>
        <w:rPr>
          <w:rFonts w:hint="eastAsia" w:ascii="宋体" w:hAnsi="宋体" w:eastAsia="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08" w:name="_Toc397928595"/>
      <w:bookmarkStart w:id="409" w:name="_Toc387526223"/>
      <w:bookmarkStart w:id="410" w:name="_Toc36140119"/>
      <w:bookmarkStart w:id="411" w:name="_Toc387526419"/>
      <w:bookmarkStart w:id="412" w:name="_Toc16374"/>
      <w:bookmarkStart w:id="413" w:name="_Toc387526327"/>
      <w:r>
        <w:rPr>
          <w:rFonts w:hint="eastAsia" w:ascii="宋体" w:hAnsi="宋体" w:eastAsia="宋体" w:cs="宋体"/>
          <w:color w:val="auto"/>
          <w:sz w:val="24"/>
          <w:szCs w:val="24"/>
          <w:highlight w:val="none"/>
        </w:rPr>
        <w:t>9.3 对评标委员会成员的纪律要求</w:t>
      </w:r>
      <w:bookmarkEnd w:id="403"/>
      <w:bookmarkEnd w:id="404"/>
      <w:bookmarkEnd w:id="405"/>
      <w:bookmarkEnd w:id="406"/>
      <w:bookmarkEnd w:id="407"/>
      <w:bookmarkEnd w:id="408"/>
      <w:bookmarkEnd w:id="409"/>
      <w:bookmarkEnd w:id="410"/>
      <w:bookmarkEnd w:id="411"/>
      <w:bookmarkEnd w:id="412"/>
      <w:bookmarkEnd w:id="413"/>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14" w:name="_Toc152042354"/>
      <w:bookmarkStart w:id="415" w:name="_Toc247085736"/>
      <w:bookmarkStart w:id="416" w:name="_Toc366679707"/>
      <w:bookmarkStart w:id="417" w:name="_Toc246996965"/>
      <w:bookmarkStart w:id="418" w:name="_Toc152045578"/>
      <w:bookmarkStart w:id="419" w:name="_Toc246996222"/>
      <w:bookmarkStart w:id="420" w:name="_Toc179632596"/>
      <w:bookmarkStart w:id="421" w:name="_Toc144974546"/>
      <w:r>
        <w:rPr>
          <w:rFonts w:hint="eastAsia" w:ascii="宋体" w:hAnsi="宋体" w:eastAsia="宋体" w:cs="宋体"/>
          <w:color w:val="auto"/>
          <w:sz w:val="24"/>
          <w:szCs w:val="24"/>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22" w:name="_Toc387526328"/>
      <w:bookmarkStart w:id="423" w:name="_Toc397928596"/>
      <w:bookmarkStart w:id="424" w:name="_Toc1042"/>
      <w:bookmarkStart w:id="425" w:name="_Toc387526420"/>
      <w:bookmarkStart w:id="426" w:name="_Toc387526224"/>
      <w:bookmarkStart w:id="427" w:name="_Toc36140120"/>
      <w:r>
        <w:rPr>
          <w:rFonts w:hint="eastAsia" w:ascii="宋体" w:hAnsi="宋体" w:eastAsia="宋体" w:cs="宋体"/>
          <w:color w:val="auto"/>
          <w:sz w:val="24"/>
          <w:szCs w:val="24"/>
          <w:highlight w:val="none"/>
        </w:rPr>
        <w:t>9.4 对与评标活动有关的工作人员的纪律要求</w:t>
      </w:r>
      <w:bookmarkEnd w:id="414"/>
      <w:bookmarkEnd w:id="415"/>
      <w:bookmarkEnd w:id="416"/>
      <w:bookmarkEnd w:id="417"/>
      <w:bookmarkEnd w:id="418"/>
      <w:bookmarkEnd w:id="419"/>
      <w:bookmarkEnd w:id="420"/>
      <w:bookmarkEnd w:id="422"/>
      <w:bookmarkEnd w:id="423"/>
      <w:bookmarkEnd w:id="424"/>
      <w:bookmarkEnd w:id="425"/>
      <w:bookmarkEnd w:id="426"/>
      <w:bookmarkEnd w:id="427"/>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28" w:name="_Toc152042355"/>
      <w:bookmarkStart w:id="429" w:name="_Toc366679708"/>
      <w:bookmarkStart w:id="430" w:name="_Toc247085737"/>
      <w:bookmarkStart w:id="431" w:name="_Toc152045579"/>
      <w:bookmarkStart w:id="432" w:name="_Toc179632597"/>
      <w:bookmarkStart w:id="433" w:name="_Toc152042356"/>
      <w:bookmarkStart w:id="434" w:name="_Toc246996223"/>
      <w:bookmarkStart w:id="435" w:name="_Toc246996966"/>
      <w:r>
        <w:rPr>
          <w:rFonts w:hint="eastAsia" w:ascii="宋体" w:hAnsi="宋体" w:eastAsia="宋体" w:cs="宋体"/>
          <w:color w:val="auto"/>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28"/>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36" w:name="_Toc387526329"/>
      <w:bookmarkStart w:id="437" w:name="_Toc397928597"/>
      <w:bookmarkStart w:id="438" w:name="_Toc36140121"/>
      <w:bookmarkStart w:id="439" w:name="_Toc387526421"/>
      <w:bookmarkStart w:id="440" w:name="_Toc387526225"/>
      <w:bookmarkStart w:id="441" w:name="_Toc27873"/>
      <w:r>
        <w:rPr>
          <w:rFonts w:hint="eastAsia" w:ascii="宋体" w:hAnsi="宋体" w:eastAsia="宋体" w:cs="宋体"/>
          <w:color w:val="auto"/>
          <w:sz w:val="24"/>
          <w:szCs w:val="24"/>
          <w:highlight w:val="none"/>
        </w:rPr>
        <w:t>9.5 投诉</w:t>
      </w:r>
      <w:bookmarkEnd w:id="421"/>
      <w:bookmarkEnd w:id="429"/>
      <w:bookmarkEnd w:id="430"/>
      <w:bookmarkEnd w:id="431"/>
      <w:bookmarkEnd w:id="432"/>
      <w:bookmarkEnd w:id="433"/>
      <w:bookmarkEnd w:id="434"/>
      <w:bookmarkEnd w:id="435"/>
      <w:bookmarkEnd w:id="436"/>
      <w:bookmarkEnd w:id="437"/>
      <w:bookmarkEnd w:id="438"/>
      <w:bookmarkEnd w:id="439"/>
      <w:bookmarkEnd w:id="440"/>
      <w:bookmarkEnd w:id="441"/>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42" w:name="_Toc387526422"/>
      <w:bookmarkStart w:id="443" w:name="_Toc9600"/>
      <w:bookmarkStart w:id="444" w:name="_Toc387526226"/>
      <w:bookmarkStart w:id="445" w:name="_Toc387526330"/>
      <w:r>
        <w:rPr>
          <w:rFonts w:hint="eastAsia" w:ascii="宋体" w:hAnsi="宋体" w:eastAsia="宋体" w:cs="宋体"/>
          <w:color w:val="auto"/>
          <w:sz w:val="24"/>
          <w:szCs w:val="24"/>
          <w:highlight w:val="none"/>
        </w:rPr>
        <w:t>9.5.1 本项目的招投标工作在</w:t>
      </w:r>
      <w:r>
        <w:rPr>
          <w:rFonts w:hint="eastAsia" w:ascii="宋体" w:hAnsi="宋体" w:eastAsia="宋体" w:cs="宋体"/>
          <w:b w:val="0"/>
          <w:bCs w:val="0"/>
          <w:color w:val="auto"/>
          <w:sz w:val="24"/>
          <w:szCs w:val="24"/>
          <w:highlight w:val="none"/>
        </w:rPr>
        <w:t>江苏大中农场集团有限公司</w:t>
      </w:r>
      <w:r>
        <w:rPr>
          <w:rFonts w:hint="eastAsia" w:ascii="宋体" w:hAnsi="宋体" w:eastAsia="宋体" w:cs="宋体"/>
          <w:color w:val="auto"/>
          <w:sz w:val="24"/>
          <w:szCs w:val="24"/>
          <w:highlight w:val="none"/>
        </w:rPr>
        <w:t>的监督下进行，并接受社会监督。</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9.5.2 投标人和其他利害关系人如认为本次招标投标活动不符合法律、法规和规章规定的，依法先向招标人提出质疑，对质疑回复不满意的，向</w:t>
      </w:r>
      <w:r>
        <w:rPr>
          <w:rFonts w:hint="eastAsia" w:ascii="宋体" w:hAnsi="宋体" w:eastAsia="宋体" w:cs="宋体"/>
          <w:b w:val="0"/>
          <w:bCs w:val="0"/>
          <w:color w:val="auto"/>
          <w:sz w:val="24"/>
          <w:szCs w:val="24"/>
          <w:highlight w:val="none"/>
        </w:rPr>
        <w:t>江苏大中农场集团有限公司</w:t>
      </w:r>
      <w:r>
        <w:rPr>
          <w:rFonts w:hint="eastAsia" w:ascii="宋体" w:hAnsi="宋体" w:eastAsia="宋体" w:cs="宋体"/>
          <w:color w:val="auto"/>
          <w:sz w:val="24"/>
          <w:szCs w:val="24"/>
          <w:highlight w:val="none"/>
        </w:rPr>
        <w:t>投诉。任何以口头形式提出的询问、质疑、投诉等，都不予答复。</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质疑：投标人对招标活动提出疑义，在开标前若质疑招标文件的相关条款，不得超出质疑期，若超出质疑期对招标文件提出疑义，招标采购单位将不予受理；</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在评标结束（中标结果公示后）质疑范围为除招标文件以外的招标活动，若在中标结果公示后，对招标文件提出质疑，招标采购单位、招标采购监管部门将不予受理；</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投诉方面：具体投诉期限及处理办法，请</w:t>
      </w:r>
      <w:r>
        <w:rPr>
          <w:rFonts w:hint="eastAsia" w:ascii="宋体" w:hAnsi="宋体" w:cs="宋体"/>
          <w:color w:val="auto"/>
          <w:sz w:val="24"/>
          <w:szCs w:val="24"/>
          <w:highlight w:val="none"/>
          <w:lang w:val="en-US" w:eastAsia="zh-CN"/>
        </w:rPr>
        <w:t>与招标代理公司联系或者查询参考相关法律法规</w:t>
      </w:r>
      <w:r>
        <w:rPr>
          <w:rFonts w:hint="eastAsia" w:ascii="宋体" w:hAnsi="宋体" w:eastAsia="宋体" w:cs="宋体"/>
          <w:color w:val="auto"/>
          <w:sz w:val="24"/>
          <w:szCs w:val="24"/>
          <w:highlight w:val="none"/>
        </w:rPr>
        <w:t>。</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w:t>
      </w: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投诉须先向采购单位（业主）提供质疑，若对采购单位（业主）的答复不满意，再进入投诉程序。</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46" w:name="_Toc36140122"/>
      <w:r>
        <w:rPr>
          <w:rFonts w:hint="eastAsia" w:ascii="宋体" w:hAnsi="宋体" w:eastAsia="宋体" w:cs="宋体"/>
          <w:color w:val="auto"/>
          <w:sz w:val="24"/>
          <w:szCs w:val="24"/>
          <w:highlight w:val="none"/>
        </w:rPr>
        <w:t>9.6差别待遇或者歧视待遇现象</w:t>
      </w:r>
      <w:bookmarkEnd w:id="446"/>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采购人或者采购代理机构有下列情形之一的，属于以不合理的条件对供应商实行差别待遇或者歧视待遇：</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（一）就同一采购项目向供应商提供有差别的项目信息；</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（二）设定的资格、技术、商务条件与采购项目的具体特点和实际需要不相适应或者与合同履行无关；</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（三）采购需求中的技术、服务等要求指向特定供应商、特定产品；</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（四）以特定行政区域或者特定行业的业绩、奖项作为加分条件或者中标、成交条件；</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（五）对供应商采取不同的资格审查或者评审标准；</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（六）限定或者指定特定的专利、商标、品牌或者供应商；</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（七）非法限定供应商的所有制形式、组织形式或者所在地；</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（八）以其他不合理条件限制或者排斥潜在供应商。</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若有以上现象，评委将本招标文件相关条款执行。</w:t>
      </w:r>
    </w:p>
    <w:p>
      <w:pPr>
        <w:pStyle w:val="140"/>
        <w:pageBreakBefore w:val="0"/>
        <w:kinsoku/>
        <w:wordWrap/>
        <w:overflowPunct/>
        <w:topLinePunct w:val="0"/>
        <w:bidi w:val="0"/>
        <w:spacing w:before="0" w:after="0"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447" w:name="_Toc397928598"/>
      <w:bookmarkStart w:id="448" w:name="_Toc36140123"/>
      <w:r>
        <w:rPr>
          <w:rFonts w:hint="eastAsia" w:ascii="宋体" w:hAnsi="宋体" w:eastAsia="宋体" w:cs="宋体"/>
          <w:color w:val="auto"/>
          <w:sz w:val="24"/>
          <w:szCs w:val="24"/>
          <w:highlight w:val="none"/>
        </w:rPr>
        <w:t>10. 招标人需要补充的其他内容</w:t>
      </w:r>
      <w:bookmarkEnd w:id="442"/>
      <w:bookmarkEnd w:id="443"/>
      <w:bookmarkEnd w:id="444"/>
      <w:bookmarkEnd w:id="445"/>
      <w:bookmarkEnd w:id="447"/>
      <w:bookmarkEnd w:id="448"/>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49" w:name="_Toc36140124"/>
      <w:r>
        <w:rPr>
          <w:rFonts w:hint="eastAsia" w:ascii="宋体" w:hAnsi="宋体" w:eastAsia="宋体" w:cs="宋体"/>
          <w:color w:val="auto"/>
          <w:sz w:val="24"/>
          <w:szCs w:val="24"/>
          <w:highlight w:val="none"/>
        </w:rPr>
        <w:t>10.1重新招标与不再招标</w:t>
      </w:r>
      <w:bookmarkEnd w:id="449"/>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A、重新招标</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有下列情形之一的，招标人应当采取改进措施后重新招标：</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（1）获取招标文件的潜在投标人少于3个的；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（2）通过符合性评审的投标申请人少于3个的。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B、不再招标</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重新招标后，仍存在上述A条情形的，属于经相关部门核准后可不再进行招标，招标人可以采取竞争性谈判方式”、“单一来源采购方式”等条款评审、确定潜在的中标人。</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10.2招标人在发出中标通知书前将根据需要组织相关部门或单位对中标候选人进行全面考察，如发现投标人有不列情形的（包括但不限于），将被取消中标资格：</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（1）投标人在近3年实施的项目中有不按规定履行合同或无故拖延工期或发生安全事故造成社会不良影响的。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（2）投标文件所提交的材料经查实存在虚假情形的。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（3）投标人不具备本项目供货或安装能力的。</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50" w:name="_Toc44510130"/>
      <w:r>
        <w:rPr>
          <w:rFonts w:hint="eastAsia" w:ascii="宋体" w:hAnsi="宋体" w:eastAsia="宋体" w:cs="宋体"/>
          <w:color w:val="auto"/>
          <w:sz w:val="24"/>
          <w:szCs w:val="24"/>
          <w:highlight w:val="none"/>
        </w:rPr>
        <w:t>10.3收费标准</w:t>
      </w:r>
      <w:bookmarkEnd w:id="450"/>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本项目招标代理费向中标单位收取，招标代理费</w:t>
      </w:r>
      <w:r>
        <w:rPr>
          <w:rFonts w:hint="eastAsia" w:ascii="宋体" w:hAnsi="宋体" w:eastAsia="宋体" w:cs="宋体"/>
          <w:color w:val="auto"/>
          <w:sz w:val="24"/>
          <w:szCs w:val="24"/>
          <w:highlight w:val="none"/>
          <w:lang w:val="en-US" w:eastAsia="zh-CN"/>
        </w:rPr>
        <w:t>参照</w:t>
      </w:r>
      <w:r>
        <w:rPr>
          <w:rFonts w:hint="eastAsia" w:ascii="宋体" w:hAnsi="宋体" w:eastAsia="宋体" w:cs="宋体"/>
          <w:color w:val="auto"/>
          <w:sz w:val="24"/>
          <w:szCs w:val="24"/>
          <w:highlight w:val="none"/>
        </w:rPr>
        <w:t>苏招协【2022】002号文件规定的</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招标标准缴纳；请投标人考虑在投标报价中，但不单列，自行分摊至投标报价单价、合价中。</w:t>
      </w:r>
    </w:p>
    <w:p>
      <w:pPr>
        <w:pStyle w:val="4"/>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51" w:name="_Toc509394623"/>
      <w:bookmarkStart w:id="452" w:name="_Toc36140126"/>
      <w:r>
        <w:rPr>
          <w:rFonts w:hint="eastAsia" w:ascii="宋体" w:hAnsi="宋体" w:eastAsia="宋体" w:cs="宋体"/>
          <w:color w:val="auto"/>
          <w:sz w:val="24"/>
          <w:szCs w:val="24"/>
          <w:highlight w:val="none"/>
        </w:rPr>
        <w:t>10.4</w:t>
      </w:r>
      <w:bookmarkEnd w:id="451"/>
      <w:bookmarkEnd w:id="452"/>
      <w:r>
        <w:rPr>
          <w:rFonts w:hint="eastAsia" w:ascii="宋体" w:hAnsi="宋体" w:eastAsia="宋体" w:cs="宋体"/>
          <w:color w:val="auto"/>
          <w:sz w:val="24"/>
          <w:szCs w:val="24"/>
          <w:highlight w:val="none"/>
        </w:rPr>
        <w:t>其他需要补充的其他内容：见投标人须知前附表。</w:t>
      </w:r>
    </w:p>
    <w:p>
      <w:pPr>
        <w:rPr>
          <w:rFonts w:hint="eastAsia" w:ascii="宋体" w:hAnsi="宋体" w:eastAsia="宋体" w:cs="宋体"/>
          <w:color w:val="auto"/>
          <w:highlight w:val="none"/>
        </w:rPr>
      </w:pPr>
    </w:p>
    <w:p>
      <w:pPr>
        <w:pStyle w:val="2"/>
        <w:spacing w:before="0" w:after="0" w:line="500" w:lineRule="exact"/>
        <w:rPr>
          <w:rFonts w:hint="eastAsia" w:ascii="宋体" w:hAnsi="宋体" w:eastAsia="宋体" w:cs="宋体"/>
          <w:color w:val="auto"/>
          <w:highlight w:val="none"/>
        </w:rPr>
      </w:pPr>
      <w:bookmarkStart w:id="453" w:name="_Toc397928599"/>
      <w:bookmarkStart w:id="454" w:name="_Toc36140127"/>
      <w:r>
        <w:rPr>
          <w:rFonts w:hint="eastAsia" w:ascii="宋体" w:hAnsi="宋体" w:eastAsia="宋体" w:cs="宋体"/>
          <w:color w:val="auto"/>
          <w:highlight w:val="none"/>
        </w:rPr>
        <w:br w:type="page"/>
      </w:r>
      <w:r>
        <w:rPr>
          <w:rFonts w:hint="eastAsia" w:ascii="宋体" w:hAnsi="宋体" w:eastAsia="宋体" w:cs="宋体"/>
          <w:color w:val="auto"/>
          <w:highlight w:val="none"/>
        </w:rPr>
        <w:t>第三章 评标办法（综合评分法）</w:t>
      </w:r>
      <w:bookmarkEnd w:id="453"/>
      <w:bookmarkEnd w:id="454"/>
    </w:p>
    <w:p>
      <w:pPr>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p>
    <w:p>
      <w:pPr>
        <w:pStyle w:val="3"/>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rPr>
          <w:rFonts w:hint="eastAsia" w:ascii="宋体" w:hAnsi="宋体" w:eastAsia="宋体" w:cs="宋体"/>
          <w:color w:val="auto"/>
          <w:sz w:val="24"/>
          <w:szCs w:val="24"/>
          <w:highlight w:val="none"/>
        </w:rPr>
      </w:pPr>
      <w:bookmarkStart w:id="455" w:name="_Toc12629"/>
      <w:bookmarkStart w:id="456" w:name="_Toc36140128"/>
      <w:bookmarkStart w:id="457" w:name="_Toc397928601"/>
      <w:bookmarkStart w:id="458" w:name="_Toc184635093"/>
      <w:r>
        <w:rPr>
          <w:rFonts w:hint="eastAsia" w:ascii="宋体" w:hAnsi="宋体" w:eastAsia="宋体" w:cs="宋体"/>
          <w:color w:val="auto"/>
          <w:sz w:val="24"/>
          <w:szCs w:val="24"/>
          <w:highlight w:val="none"/>
        </w:rPr>
        <w:t>1．评标方法</w:t>
      </w:r>
      <w:bookmarkEnd w:id="455"/>
      <w:bookmarkEnd w:id="456"/>
      <w:bookmarkEnd w:id="457"/>
      <w:bookmarkEnd w:id="458"/>
    </w:p>
    <w:p>
      <w:pPr>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本次评标采用综合评分法。评标委员会对满足招标文件实质性要求的投标文件，按照本招标文件规定的评分标准进行打分，并按得分由高到低顺序推荐1-3名中标候选人。综合评分相等时，以投标报价低的优先；投标报价也相等的，由招标人采用抽签的方式确定。最低报价及任何单项因素的最优均不是中标的必要条件</w:t>
      </w:r>
      <w:r>
        <w:rPr>
          <w:rFonts w:hint="eastAsia" w:ascii="宋体" w:hAnsi="宋体" w:eastAsia="宋体" w:cs="宋体"/>
          <w:b/>
          <w:color w:val="auto"/>
          <w:sz w:val="24"/>
          <w:szCs w:val="24"/>
          <w:highlight w:val="none"/>
        </w:rPr>
        <w:t>。</w:t>
      </w:r>
    </w:p>
    <w:tbl>
      <w:tblPr>
        <w:tblStyle w:val="50"/>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2851"/>
        <w:gridCol w:w="1363"/>
        <w:gridCol w:w="227"/>
        <w:gridCol w:w="819"/>
        <w:gridCol w:w="845"/>
        <w:gridCol w:w="473"/>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09" w:type="dxa"/>
            <w:gridSpan w:val="8"/>
            <w:noWrap w:val="0"/>
            <w:vAlign w:val="center"/>
          </w:tcPr>
          <w:p>
            <w:pPr>
              <w:keepNext w:val="0"/>
              <w:keepLines w:val="0"/>
              <w:pageBreakBefore w:val="0"/>
              <w:widowControl w:val="0"/>
              <w:shd w:val="clear"/>
              <w:kinsoku/>
              <w:wordWrap/>
              <w:overflowPunct/>
              <w:topLinePunct w:val="0"/>
              <w:autoSpaceDE/>
              <w:autoSpaceDN/>
              <w:bidi w:val="0"/>
              <w:spacing w:beforeAutospacing="0" w:afterAutospacing="0" w:line="240" w:lineRule="atLeast"/>
              <w:jc w:val="left"/>
              <w:rPr>
                <w:rFonts w:hint="eastAsia" w:ascii="宋体" w:hAnsi="宋体" w:eastAsia="宋体" w:cs="宋体"/>
                <w:color w:val="auto"/>
                <w:kern w:val="2"/>
                <w:sz w:val="21"/>
                <w:szCs w:val="21"/>
                <w:highlight w:val="none"/>
                <w:shd w:val="clear" w:color="auto" w:fill="FFFFFF"/>
                <w:lang w:val="en-US" w:eastAsia="zh-CN"/>
              </w:rPr>
            </w:pPr>
            <w:r>
              <w:rPr>
                <w:rFonts w:hint="eastAsia" w:ascii="宋体" w:hAnsi="宋体" w:cs="仿宋"/>
                <w:b/>
                <w:bCs/>
                <w:color w:val="auto"/>
                <w:sz w:val="21"/>
                <w:szCs w:val="21"/>
                <w:highlight w:val="none"/>
                <w:lang w:val="en-US" w:eastAsia="zh-CN" w:bidi="ar-SA"/>
              </w:rPr>
              <w:t>1、</w:t>
            </w:r>
            <w:r>
              <w:rPr>
                <w:rFonts w:hint="eastAsia" w:ascii="宋体" w:hAnsi="宋体" w:eastAsia="宋体" w:cs="仿宋"/>
                <w:b/>
                <w:bCs/>
                <w:color w:val="auto"/>
                <w:sz w:val="21"/>
                <w:szCs w:val="21"/>
                <w:highlight w:val="none"/>
                <w:lang w:val="en-US" w:eastAsia="zh-CN" w:bidi="ar-SA"/>
              </w:rPr>
              <w:t>标段划分、采购内容、最高限价详见下表：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47" w:type="dxa"/>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default" w:ascii="宋体" w:hAnsi="宋体" w:eastAsia="宋体" w:cs="宋体"/>
                <w:color w:val="auto"/>
                <w:kern w:val="2"/>
                <w:sz w:val="21"/>
                <w:szCs w:val="21"/>
                <w:highlight w:val="none"/>
                <w:shd w:val="clear" w:color="auto" w:fill="FFFFFF"/>
                <w:lang w:val="en-US" w:eastAsia="zh-CN"/>
              </w:rPr>
            </w:pPr>
            <w:r>
              <w:rPr>
                <w:rFonts w:hint="eastAsia" w:ascii="宋体" w:hAnsi="宋体" w:eastAsia="宋体" w:cs="宋体"/>
                <w:color w:val="auto"/>
                <w:kern w:val="2"/>
                <w:sz w:val="21"/>
                <w:szCs w:val="21"/>
                <w:highlight w:val="none"/>
                <w:shd w:val="clear" w:color="auto" w:fill="FFFFFF"/>
                <w:lang w:val="en-US" w:eastAsia="zh-CN"/>
              </w:rPr>
              <w:t>标段号</w:t>
            </w:r>
          </w:p>
        </w:tc>
        <w:tc>
          <w:tcPr>
            <w:tcW w:w="2851" w:type="dxa"/>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2"/>
                <w:sz w:val="21"/>
                <w:szCs w:val="21"/>
                <w:highlight w:val="none"/>
                <w:shd w:val="clear" w:color="auto" w:fill="FFFFFF"/>
              </w:rPr>
            </w:pPr>
            <w:r>
              <w:rPr>
                <w:rFonts w:hint="eastAsia" w:ascii="宋体" w:hAnsi="宋体" w:eastAsia="宋体" w:cs="宋体"/>
                <w:color w:val="auto"/>
                <w:kern w:val="2"/>
                <w:sz w:val="21"/>
                <w:szCs w:val="21"/>
                <w:highlight w:val="none"/>
                <w:shd w:val="clear" w:color="auto" w:fill="FFFFFF"/>
              </w:rPr>
              <w:t>标段名称</w:t>
            </w:r>
          </w:p>
        </w:tc>
        <w:tc>
          <w:tcPr>
            <w:tcW w:w="1363" w:type="dxa"/>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default" w:ascii="宋体" w:hAnsi="宋体" w:eastAsia="宋体" w:cs="宋体"/>
                <w:color w:val="auto"/>
                <w:kern w:val="2"/>
                <w:sz w:val="21"/>
                <w:szCs w:val="21"/>
                <w:highlight w:val="none"/>
                <w:shd w:val="clear" w:color="auto" w:fill="FFFFFF"/>
                <w:lang w:val="en-US" w:eastAsia="zh-CN"/>
              </w:rPr>
            </w:pPr>
            <w:r>
              <w:rPr>
                <w:rFonts w:hint="eastAsia" w:ascii="宋体" w:hAnsi="宋体" w:eastAsia="宋体" w:cs="宋体"/>
                <w:color w:val="auto"/>
                <w:kern w:val="2"/>
                <w:sz w:val="21"/>
                <w:szCs w:val="21"/>
                <w:highlight w:val="none"/>
                <w:shd w:val="clear" w:color="auto" w:fill="FFFFFF"/>
                <w:lang w:val="en-US" w:eastAsia="zh-CN"/>
              </w:rPr>
              <w:t>采购</w:t>
            </w:r>
            <w:r>
              <w:rPr>
                <w:rFonts w:hint="eastAsia" w:ascii="宋体" w:hAnsi="宋体" w:cs="宋体"/>
                <w:color w:val="auto"/>
                <w:kern w:val="2"/>
                <w:sz w:val="21"/>
                <w:szCs w:val="21"/>
                <w:highlight w:val="none"/>
                <w:shd w:val="clear" w:color="auto" w:fill="FFFFFF"/>
                <w:lang w:val="en-US" w:eastAsia="zh-CN"/>
              </w:rPr>
              <w:t>设备</w:t>
            </w:r>
          </w:p>
        </w:tc>
        <w:tc>
          <w:tcPr>
            <w:tcW w:w="1046"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2"/>
                <w:sz w:val="21"/>
                <w:szCs w:val="21"/>
                <w:highlight w:val="none"/>
                <w:shd w:val="clear" w:color="auto" w:fill="FFFFFF"/>
                <w:lang w:val="en-US" w:eastAsia="zh-CN"/>
              </w:rPr>
            </w:pPr>
            <w:r>
              <w:rPr>
                <w:rFonts w:hint="eastAsia" w:ascii="宋体" w:hAnsi="宋体" w:eastAsia="宋体" w:cs="宋体"/>
                <w:color w:val="auto"/>
                <w:kern w:val="2"/>
                <w:sz w:val="21"/>
                <w:szCs w:val="21"/>
                <w:highlight w:val="none"/>
                <w:shd w:val="clear" w:color="auto" w:fill="FFFFFF"/>
                <w:lang w:val="en-US" w:eastAsia="zh-CN"/>
              </w:rPr>
              <w:t>数量</w:t>
            </w:r>
          </w:p>
        </w:tc>
        <w:tc>
          <w:tcPr>
            <w:tcW w:w="1318"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2"/>
                <w:sz w:val="21"/>
                <w:szCs w:val="21"/>
                <w:highlight w:val="none"/>
                <w:shd w:val="clear" w:color="auto" w:fill="FFFFFF"/>
                <w:lang w:val="en-US" w:eastAsia="zh-CN"/>
              </w:rPr>
            </w:pPr>
            <w:r>
              <w:rPr>
                <w:rFonts w:hint="eastAsia" w:ascii="宋体" w:hAnsi="宋体" w:eastAsia="宋体" w:cs="宋体"/>
                <w:color w:val="auto"/>
                <w:kern w:val="2"/>
                <w:sz w:val="21"/>
                <w:szCs w:val="21"/>
                <w:highlight w:val="none"/>
                <w:shd w:val="clear" w:color="auto" w:fill="FFFFFF"/>
                <w:lang w:val="en-US" w:eastAsia="zh-CN"/>
              </w:rPr>
              <w:t xml:space="preserve"> 最高限价</w:t>
            </w:r>
          </w:p>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2"/>
                <w:sz w:val="21"/>
                <w:szCs w:val="21"/>
                <w:highlight w:val="none"/>
                <w:shd w:val="clear" w:color="auto" w:fill="FFFFFF"/>
                <w:lang w:eastAsia="zh-CN"/>
              </w:rPr>
            </w:pPr>
            <w:r>
              <w:rPr>
                <w:rFonts w:hint="eastAsia" w:ascii="宋体" w:hAnsi="宋体" w:eastAsia="宋体" w:cs="宋体"/>
                <w:color w:val="auto"/>
                <w:kern w:val="2"/>
                <w:sz w:val="21"/>
                <w:szCs w:val="21"/>
                <w:highlight w:val="none"/>
                <w:shd w:val="clear" w:color="auto" w:fill="FFFFFF"/>
              </w:rPr>
              <w:t>（</w:t>
            </w:r>
            <w:r>
              <w:rPr>
                <w:rFonts w:hint="eastAsia" w:ascii="宋体" w:hAnsi="宋体" w:eastAsia="宋体" w:cs="宋体"/>
                <w:color w:val="auto"/>
                <w:kern w:val="2"/>
                <w:sz w:val="21"/>
                <w:szCs w:val="21"/>
                <w:highlight w:val="none"/>
                <w:shd w:val="clear" w:color="auto" w:fill="FFFFFF"/>
                <w:lang w:val="en-US" w:eastAsia="zh-CN"/>
              </w:rPr>
              <w:t>万元</w:t>
            </w:r>
            <w:r>
              <w:rPr>
                <w:rFonts w:hint="eastAsia" w:ascii="宋体" w:hAnsi="宋体" w:eastAsia="宋体" w:cs="宋体"/>
                <w:color w:val="auto"/>
                <w:kern w:val="2"/>
                <w:sz w:val="21"/>
                <w:szCs w:val="21"/>
                <w:highlight w:val="none"/>
                <w:shd w:val="clear" w:color="auto" w:fill="FFFFFF"/>
              </w:rPr>
              <w:t>）</w:t>
            </w:r>
          </w:p>
        </w:tc>
        <w:tc>
          <w:tcPr>
            <w:tcW w:w="1384" w:type="dxa"/>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2"/>
                <w:sz w:val="21"/>
                <w:szCs w:val="21"/>
                <w:highlight w:val="none"/>
                <w:shd w:val="clear" w:color="auto" w:fill="FFFFFF"/>
                <w:lang w:val="en-US" w:eastAsia="zh-CN"/>
              </w:rPr>
            </w:pPr>
            <w:r>
              <w:rPr>
                <w:rFonts w:hint="eastAsia" w:ascii="宋体" w:hAnsi="宋体" w:eastAsia="宋体" w:cs="宋体"/>
                <w:color w:val="auto"/>
                <w:kern w:val="2"/>
                <w:sz w:val="21"/>
                <w:szCs w:val="21"/>
                <w:highlight w:val="none"/>
                <w:shd w:val="clear" w:color="auto" w:fill="FFFFFF"/>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47" w:type="dxa"/>
            <w:noWrap w:val="0"/>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color w:val="auto"/>
                <w:kern w:val="2"/>
                <w:sz w:val="21"/>
                <w:szCs w:val="21"/>
                <w:highlight w:val="none"/>
                <w:shd w:val="clear" w:color="auto" w:fill="FFFFFF"/>
                <w:lang w:val="en-US" w:eastAsia="zh-CN"/>
              </w:rPr>
            </w:pPr>
            <w:r>
              <w:rPr>
                <w:rFonts w:ascii="宋体" w:hAnsi="宋体" w:eastAsia="宋体" w:cs="宋体"/>
                <w:sz w:val="21"/>
                <w:szCs w:val="21"/>
                <w:highlight w:val="none"/>
              </w:rPr>
              <w:t>ZXHDL2025027</w:t>
            </w:r>
            <w:r>
              <w:rPr>
                <w:rFonts w:hint="eastAsia" w:ascii="宋体" w:hAnsi="宋体" w:cs="宋体"/>
                <w:sz w:val="21"/>
                <w:szCs w:val="21"/>
                <w:highlight w:val="none"/>
                <w:lang w:val="en-US" w:eastAsia="zh-CN"/>
              </w:rPr>
              <w:t>-</w:t>
            </w:r>
            <w:r>
              <w:rPr>
                <w:rFonts w:hint="eastAsia" w:ascii="宋体" w:hAnsi="宋体" w:eastAsia="宋体" w:cs="宋体"/>
                <w:color w:val="auto"/>
                <w:kern w:val="2"/>
                <w:sz w:val="21"/>
                <w:szCs w:val="21"/>
                <w:highlight w:val="none"/>
                <w:shd w:val="clear" w:color="auto" w:fill="FFFFFF"/>
                <w:lang w:val="en-US" w:eastAsia="zh-CN"/>
              </w:rPr>
              <w:t>1</w:t>
            </w:r>
          </w:p>
        </w:tc>
        <w:tc>
          <w:tcPr>
            <w:tcW w:w="28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shd w:val="clear" w:color="auto" w:fill="FFFFFF"/>
                <w:lang w:eastAsia="zh-CN"/>
              </w:rPr>
            </w:pPr>
            <w:r>
              <w:rPr>
                <w:rFonts w:hint="eastAsia" w:ascii="宋体" w:hAnsi="宋体" w:eastAsia="宋体" w:cs="宋体"/>
                <w:color w:val="auto"/>
                <w:kern w:val="0"/>
                <w:sz w:val="21"/>
                <w:szCs w:val="21"/>
                <w:highlight w:val="none"/>
                <w:lang w:val="en-US" w:eastAsia="zh-CN" w:bidi="ar"/>
              </w:rPr>
              <w:t>江苏大中农场集团有限公司75履带挖掘机采购项目</w:t>
            </w:r>
          </w:p>
        </w:tc>
        <w:tc>
          <w:tcPr>
            <w:tcW w:w="1363" w:type="dxa"/>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2"/>
                <w:sz w:val="21"/>
                <w:szCs w:val="21"/>
                <w:highlight w:val="none"/>
                <w:shd w:val="clear" w:color="auto" w:fill="FFFFFF"/>
              </w:rPr>
            </w:pPr>
            <w:r>
              <w:rPr>
                <w:rFonts w:hint="eastAsia" w:ascii="宋体" w:hAnsi="宋体" w:eastAsia="宋体" w:cs="宋体"/>
                <w:color w:val="auto"/>
                <w:kern w:val="0"/>
                <w:sz w:val="21"/>
                <w:szCs w:val="21"/>
                <w:highlight w:val="none"/>
                <w:lang w:val="en-US" w:eastAsia="zh-CN" w:bidi="ar"/>
              </w:rPr>
              <w:t>75履带挖掘机</w:t>
            </w:r>
          </w:p>
        </w:tc>
        <w:tc>
          <w:tcPr>
            <w:tcW w:w="1046"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5台</w:t>
            </w:r>
          </w:p>
        </w:tc>
        <w:tc>
          <w:tcPr>
            <w:tcW w:w="131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125</w:t>
            </w:r>
          </w:p>
        </w:tc>
        <w:tc>
          <w:tcPr>
            <w:tcW w:w="1384" w:type="dxa"/>
            <w:vMerge w:val="restart"/>
            <w:shd w:val="clear" w:color="auto" w:fill="auto"/>
            <w:noWrap w:val="0"/>
            <w:vAlign w:val="center"/>
          </w:tcPr>
          <w:p>
            <w:pPr>
              <w:keepNext w:val="0"/>
              <w:keepLines w:val="0"/>
              <w:pageBreakBefore w:val="0"/>
              <w:widowControl/>
              <w:suppressLineNumbers w:val="0"/>
              <w:kinsoku/>
              <w:wordWrap/>
              <w:overflowPunct/>
              <w:topLinePunct w:val="0"/>
              <w:autoSpaceDE/>
              <w:autoSpaceDN/>
              <w:bidi w:val="0"/>
              <w:spacing w:line="240" w:lineRule="atLeast"/>
              <w:jc w:val="both"/>
              <w:textAlignment w:val="center"/>
              <w:rPr>
                <w:rFonts w:hint="eastAsia" w:ascii="宋体" w:hAnsi="宋体" w:eastAsia="宋体" w:cs="宋体"/>
                <w:b/>
                <w:bCs/>
                <w:i w:val="0"/>
                <w:iCs w:val="0"/>
                <w:color w:val="auto"/>
                <w:kern w:val="0"/>
                <w:sz w:val="21"/>
                <w:szCs w:val="21"/>
                <w:highlight w:val="none"/>
                <w:u w:val="none"/>
                <w:lang w:val="en-US" w:eastAsia="zh-CN" w:bidi="ar-SA"/>
              </w:rPr>
            </w:pPr>
            <w:r>
              <w:rPr>
                <w:rFonts w:hint="eastAsia" w:ascii="宋体" w:hAnsi="宋体" w:cs="仿宋"/>
                <w:color w:val="auto"/>
                <w:sz w:val="21"/>
                <w:szCs w:val="21"/>
                <w:highlight w:val="none"/>
                <w:lang w:val="en-US" w:eastAsia="zh-CN"/>
              </w:rPr>
              <w:t>注：</w:t>
            </w:r>
            <w:r>
              <w:rPr>
                <w:rFonts w:hint="eastAsia" w:ascii="宋体" w:hAnsi="宋体" w:eastAsia="宋体" w:cs="仿宋"/>
                <w:color w:val="auto"/>
                <w:sz w:val="21"/>
                <w:szCs w:val="21"/>
                <w:highlight w:val="none"/>
              </w:rPr>
              <w:t>同一投标人可同时参与本项目</w:t>
            </w:r>
            <w:r>
              <w:rPr>
                <w:rFonts w:hint="eastAsia" w:ascii="宋体" w:hAnsi="宋体" w:cs="仿宋"/>
                <w:color w:val="auto"/>
                <w:sz w:val="21"/>
                <w:szCs w:val="21"/>
                <w:highlight w:val="none"/>
                <w:lang w:val="en-US" w:eastAsia="zh-CN"/>
              </w:rPr>
              <w:t>3</w:t>
            </w:r>
            <w:r>
              <w:rPr>
                <w:rFonts w:hint="eastAsia" w:ascii="宋体" w:hAnsi="宋体" w:eastAsia="宋体" w:cs="仿宋"/>
                <w:color w:val="auto"/>
                <w:sz w:val="21"/>
                <w:szCs w:val="21"/>
                <w:highlight w:val="none"/>
              </w:rPr>
              <w:t>个标段的投标，</w:t>
            </w:r>
            <w:r>
              <w:rPr>
                <w:rFonts w:hint="eastAsia" w:ascii="宋体" w:hAnsi="宋体" w:cs="仿宋"/>
                <w:color w:val="auto"/>
                <w:sz w:val="21"/>
                <w:szCs w:val="21"/>
                <w:highlight w:val="none"/>
                <w:lang w:val="en-US" w:eastAsia="zh-CN"/>
              </w:rPr>
              <w:t>可兼投兼中</w:t>
            </w:r>
            <w:r>
              <w:rPr>
                <w:rFonts w:hint="eastAsia" w:ascii="宋体" w:hAnsi="宋体" w:eastAsia="宋体"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47" w:type="dxa"/>
            <w:noWrap w:val="0"/>
            <w:vAlign w:val="center"/>
          </w:tcPr>
          <w:p>
            <w:pPr>
              <w:keepNext w:val="0"/>
              <w:keepLines w:val="0"/>
              <w:pageBreakBefore w:val="0"/>
              <w:kinsoku/>
              <w:wordWrap/>
              <w:overflowPunct/>
              <w:topLinePunct w:val="0"/>
              <w:autoSpaceDE/>
              <w:autoSpaceDN/>
              <w:bidi w:val="0"/>
              <w:spacing w:line="240" w:lineRule="atLeast"/>
              <w:jc w:val="center"/>
              <w:rPr>
                <w:rFonts w:hint="default" w:ascii="宋体" w:hAnsi="宋体" w:eastAsia="宋体" w:cs="宋体"/>
                <w:color w:val="auto"/>
                <w:kern w:val="2"/>
                <w:sz w:val="21"/>
                <w:szCs w:val="21"/>
                <w:highlight w:val="none"/>
                <w:shd w:val="clear" w:color="auto" w:fill="FFFFFF"/>
                <w:lang w:val="en-US" w:eastAsia="zh-CN"/>
              </w:rPr>
            </w:pPr>
            <w:bookmarkStart w:id="459" w:name="_Toc184635094"/>
            <w:bookmarkStart w:id="460" w:name="_Toc10088"/>
            <w:bookmarkStart w:id="461" w:name="_Toc36140129"/>
            <w:bookmarkStart w:id="462" w:name="_Toc397928602"/>
            <w:r>
              <w:rPr>
                <w:rFonts w:ascii="宋体" w:hAnsi="宋体" w:eastAsia="宋体" w:cs="宋体"/>
                <w:sz w:val="21"/>
                <w:szCs w:val="21"/>
                <w:highlight w:val="none"/>
              </w:rPr>
              <w:t>ZXHDL2025027</w:t>
            </w:r>
            <w:r>
              <w:rPr>
                <w:rFonts w:hint="eastAsia" w:ascii="宋体" w:hAnsi="宋体" w:cs="宋体"/>
                <w:sz w:val="21"/>
                <w:szCs w:val="21"/>
                <w:highlight w:val="none"/>
                <w:lang w:val="en-US" w:eastAsia="zh-CN"/>
              </w:rPr>
              <w:t>-</w:t>
            </w:r>
            <w:r>
              <w:rPr>
                <w:rFonts w:hint="eastAsia" w:ascii="宋体" w:hAnsi="宋体" w:eastAsia="宋体" w:cs="宋体"/>
                <w:color w:val="auto"/>
                <w:kern w:val="2"/>
                <w:sz w:val="21"/>
                <w:szCs w:val="21"/>
                <w:highlight w:val="none"/>
                <w:shd w:val="clear" w:color="auto" w:fill="FFFFFF"/>
                <w:lang w:val="en-US" w:eastAsia="zh-CN"/>
              </w:rPr>
              <w:t>2</w:t>
            </w:r>
          </w:p>
        </w:tc>
        <w:tc>
          <w:tcPr>
            <w:tcW w:w="2851" w:type="dxa"/>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shd w:val="clear" w:color="auto" w:fill="FFFFFF"/>
                <w:lang w:eastAsia="zh-CN"/>
              </w:rPr>
            </w:pPr>
            <w:r>
              <w:rPr>
                <w:rFonts w:hint="eastAsia" w:ascii="宋体" w:hAnsi="宋体" w:eastAsia="宋体" w:cs="宋体"/>
                <w:color w:val="auto"/>
                <w:kern w:val="0"/>
                <w:sz w:val="21"/>
                <w:szCs w:val="21"/>
                <w:highlight w:val="none"/>
                <w:lang w:val="en-US" w:eastAsia="zh-CN" w:bidi="ar"/>
              </w:rPr>
              <w:t>江苏大中农场集团有限公司翻转四铧犁采购项目</w:t>
            </w:r>
          </w:p>
        </w:tc>
        <w:tc>
          <w:tcPr>
            <w:tcW w:w="1363" w:type="dxa"/>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2"/>
                <w:sz w:val="21"/>
                <w:szCs w:val="21"/>
                <w:highlight w:val="none"/>
                <w:shd w:val="clear" w:color="auto" w:fill="FFFFFF"/>
              </w:rPr>
            </w:pPr>
            <w:r>
              <w:rPr>
                <w:rFonts w:hint="eastAsia" w:ascii="宋体" w:hAnsi="宋体" w:eastAsia="宋体" w:cs="宋体"/>
                <w:color w:val="auto"/>
                <w:kern w:val="0"/>
                <w:sz w:val="21"/>
                <w:szCs w:val="21"/>
                <w:highlight w:val="none"/>
                <w:lang w:val="en-US" w:eastAsia="zh-CN" w:bidi="ar"/>
              </w:rPr>
              <w:t>翻转四铧犁</w:t>
            </w:r>
          </w:p>
        </w:tc>
        <w:tc>
          <w:tcPr>
            <w:tcW w:w="1046"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11台</w:t>
            </w:r>
          </w:p>
        </w:tc>
        <w:tc>
          <w:tcPr>
            <w:tcW w:w="131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99</w:t>
            </w:r>
          </w:p>
        </w:tc>
        <w:tc>
          <w:tcPr>
            <w:tcW w:w="1384" w:type="dxa"/>
            <w:vMerge w:val="continue"/>
            <w:shd w:val="clear" w:color="auto" w:fill="auto"/>
            <w:noWrap w:val="0"/>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47" w:type="dxa"/>
            <w:noWrap w:val="0"/>
            <w:vAlign w:val="center"/>
          </w:tcPr>
          <w:p>
            <w:pPr>
              <w:keepNext w:val="0"/>
              <w:keepLines w:val="0"/>
              <w:pageBreakBefore w:val="0"/>
              <w:kinsoku/>
              <w:wordWrap/>
              <w:overflowPunct/>
              <w:topLinePunct w:val="0"/>
              <w:autoSpaceDE/>
              <w:autoSpaceDN/>
              <w:bidi w:val="0"/>
              <w:spacing w:line="240" w:lineRule="atLeast"/>
              <w:jc w:val="center"/>
              <w:rPr>
                <w:rFonts w:hint="default" w:ascii="宋体" w:hAnsi="宋体" w:eastAsia="宋体" w:cs="宋体"/>
                <w:color w:val="auto"/>
                <w:kern w:val="2"/>
                <w:sz w:val="21"/>
                <w:szCs w:val="21"/>
                <w:highlight w:val="none"/>
                <w:shd w:val="clear" w:color="auto" w:fill="FFFFFF"/>
                <w:lang w:val="en-US" w:eastAsia="zh-CN"/>
              </w:rPr>
            </w:pPr>
            <w:r>
              <w:rPr>
                <w:rFonts w:ascii="宋体" w:hAnsi="宋体" w:eastAsia="宋体" w:cs="宋体"/>
                <w:sz w:val="21"/>
                <w:szCs w:val="21"/>
                <w:highlight w:val="none"/>
              </w:rPr>
              <w:t>ZXHDL2025027</w:t>
            </w:r>
            <w:r>
              <w:rPr>
                <w:rFonts w:hint="eastAsia" w:ascii="宋体" w:hAnsi="宋体" w:cs="宋体"/>
                <w:sz w:val="21"/>
                <w:szCs w:val="21"/>
                <w:highlight w:val="none"/>
                <w:lang w:val="en-US" w:eastAsia="zh-CN"/>
              </w:rPr>
              <w:t>-</w:t>
            </w:r>
            <w:r>
              <w:rPr>
                <w:rFonts w:hint="eastAsia" w:ascii="宋体" w:hAnsi="宋体" w:eastAsia="宋体" w:cs="宋体"/>
                <w:color w:val="auto"/>
                <w:kern w:val="2"/>
                <w:sz w:val="21"/>
                <w:szCs w:val="21"/>
                <w:highlight w:val="none"/>
                <w:shd w:val="clear" w:color="auto" w:fill="FFFFFF"/>
                <w:lang w:val="en-US" w:eastAsia="zh-CN"/>
              </w:rPr>
              <w:t>3</w:t>
            </w:r>
          </w:p>
        </w:tc>
        <w:tc>
          <w:tcPr>
            <w:tcW w:w="2851" w:type="dxa"/>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shd w:val="clear" w:color="auto" w:fill="FFFFFF"/>
                <w:lang w:eastAsia="zh-CN"/>
              </w:rPr>
            </w:pPr>
            <w:r>
              <w:rPr>
                <w:rFonts w:hint="eastAsia" w:ascii="宋体" w:hAnsi="宋体" w:eastAsia="宋体" w:cs="宋体"/>
                <w:color w:val="auto"/>
                <w:kern w:val="0"/>
                <w:sz w:val="21"/>
                <w:szCs w:val="21"/>
                <w:highlight w:val="none"/>
                <w:lang w:val="en-US" w:eastAsia="zh-CN" w:bidi="ar"/>
              </w:rPr>
              <w:t>江苏大中农场集团有限公司深松联合整地机采购项目</w:t>
            </w:r>
          </w:p>
        </w:tc>
        <w:tc>
          <w:tcPr>
            <w:tcW w:w="1363" w:type="dxa"/>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2"/>
                <w:sz w:val="21"/>
                <w:szCs w:val="21"/>
                <w:highlight w:val="none"/>
                <w:shd w:val="clear" w:color="auto" w:fill="FFFFFF"/>
              </w:rPr>
            </w:pPr>
            <w:r>
              <w:rPr>
                <w:rFonts w:hint="eastAsia" w:ascii="宋体" w:hAnsi="宋体" w:eastAsia="宋体" w:cs="宋体"/>
                <w:color w:val="auto"/>
                <w:kern w:val="0"/>
                <w:sz w:val="21"/>
                <w:szCs w:val="21"/>
                <w:highlight w:val="none"/>
                <w:lang w:val="en-US" w:eastAsia="zh-CN" w:bidi="ar"/>
              </w:rPr>
              <w:t>深松联合整地机</w:t>
            </w:r>
          </w:p>
        </w:tc>
        <w:tc>
          <w:tcPr>
            <w:tcW w:w="1046"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5台</w:t>
            </w:r>
          </w:p>
        </w:tc>
        <w:tc>
          <w:tcPr>
            <w:tcW w:w="131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60</w:t>
            </w:r>
          </w:p>
        </w:tc>
        <w:tc>
          <w:tcPr>
            <w:tcW w:w="1384" w:type="dxa"/>
            <w:vMerge w:val="continue"/>
            <w:shd w:val="clear" w:color="auto" w:fill="auto"/>
            <w:noWrap w:val="0"/>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09" w:type="dxa"/>
            <w:gridSpan w:val="8"/>
            <w:noWrap w:val="0"/>
            <w:vAlign w:val="center"/>
          </w:tcPr>
          <w:p>
            <w:pPr>
              <w:keepNext w:val="0"/>
              <w:keepLines w:val="0"/>
              <w:pageBreakBefore w:val="0"/>
              <w:widowControl w:val="0"/>
              <w:shd w:val="clear"/>
              <w:kinsoku/>
              <w:wordWrap/>
              <w:overflowPunct/>
              <w:topLinePunct w:val="0"/>
              <w:autoSpaceDE/>
              <w:autoSpaceDN/>
              <w:bidi w:val="0"/>
              <w:spacing w:beforeAutospacing="0" w:afterAutospacing="0" w:line="240" w:lineRule="atLeast"/>
              <w:jc w:val="left"/>
              <w:rPr>
                <w:rFonts w:hint="eastAsia"/>
                <w:sz w:val="21"/>
                <w:szCs w:val="21"/>
                <w:highlight w:val="none"/>
                <w:lang w:val="en-US" w:eastAsia="zh-CN"/>
              </w:rPr>
            </w:pPr>
            <w:r>
              <w:rPr>
                <w:rFonts w:hint="eastAsia" w:ascii="宋体" w:hAnsi="宋体" w:cs="仿宋"/>
                <w:b/>
                <w:bCs/>
                <w:color w:val="auto"/>
                <w:sz w:val="21"/>
                <w:szCs w:val="21"/>
                <w:highlight w:val="none"/>
                <w:lang w:val="en-US" w:eastAsia="zh-CN" w:bidi="ar-SA"/>
              </w:rPr>
              <w:t>2、</w:t>
            </w:r>
            <w:r>
              <w:rPr>
                <w:rFonts w:hint="eastAsia" w:ascii="宋体" w:hAnsi="宋体" w:eastAsia="宋体" w:cs="仿宋"/>
                <w:b/>
                <w:bCs/>
                <w:color w:val="auto"/>
                <w:sz w:val="21"/>
                <w:szCs w:val="21"/>
                <w:highlight w:val="none"/>
                <w:lang w:val="en-US" w:eastAsia="zh-CN" w:bidi="ar-SA"/>
              </w:rPr>
              <w:t>本项目所有标段的评标、定标顺序详见下表：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47" w:type="dxa"/>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2"/>
                <w:sz w:val="21"/>
                <w:szCs w:val="21"/>
                <w:highlight w:val="none"/>
                <w:shd w:val="clear" w:color="auto" w:fill="FFFFFF"/>
                <w:lang w:val="en-US" w:eastAsia="zh-CN"/>
              </w:rPr>
            </w:pPr>
            <w:r>
              <w:rPr>
                <w:rFonts w:hint="eastAsia" w:ascii="宋体" w:hAnsi="宋体" w:eastAsia="宋体" w:cs="宋体"/>
                <w:color w:val="auto"/>
                <w:kern w:val="2"/>
                <w:sz w:val="21"/>
                <w:szCs w:val="21"/>
                <w:highlight w:val="none"/>
                <w:shd w:val="clear" w:color="auto" w:fill="FFFFFF"/>
                <w:lang w:val="en-US" w:eastAsia="zh-CN"/>
              </w:rPr>
              <w:t>标段号</w:t>
            </w:r>
          </w:p>
        </w:tc>
        <w:tc>
          <w:tcPr>
            <w:tcW w:w="2851" w:type="dxa"/>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2"/>
                <w:sz w:val="21"/>
                <w:szCs w:val="21"/>
                <w:highlight w:val="none"/>
                <w:shd w:val="clear" w:color="auto" w:fill="FFFFFF"/>
                <w:lang w:val="en-US" w:eastAsia="zh-CN"/>
              </w:rPr>
            </w:pPr>
            <w:r>
              <w:rPr>
                <w:rFonts w:hint="eastAsia" w:ascii="宋体" w:hAnsi="宋体" w:eastAsia="宋体" w:cs="宋体"/>
                <w:color w:val="auto"/>
                <w:kern w:val="2"/>
                <w:sz w:val="21"/>
                <w:szCs w:val="21"/>
                <w:highlight w:val="none"/>
                <w:shd w:val="clear" w:color="auto" w:fill="FFFFFF"/>
              </w:rPr>
              <w:t>标段名称</w:t>
            </w:r>
          </w:p>
        </w:tc>
        <w:tc>
          <w:tcPr>
            <w:tcW w:w="1590"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default" w:ascii="宋体" w:hAnsi="宋体" w:eastAsia="宋体" w:cs="宋体"/>
                <w:color w:val="auto"/>
                <w:kern w:val="2"/>
                <w:sz w:val="21"/>
                <w:szCs w:val="21"/>
                <w:highlight w:val="none"/>
                <w:shd w:val="clear" w:color="auto" w:fill="FFFFFF"/>
                <w:lang w:val="en-US" w:eastAsia="zh-CN"/>
              </w:rPr>
            </w:pPr>
            <w:r>
              <w:rPr>
                <w:rFonts w:hint="eastAsia" w:ascii="宋体" w:hAnsi="宋体" w:eastAsia="宋体" w:cs="宋体"/>
                <w:color w:val="auto"/>
                <w:kern w:val="2"/>
                <w:sz w:val="21"/>
                <w:szCs w:val="21"/>
                <w:highlight w:val="none"/>
                <w:shd w:val="clear" w:color="auto" w:fill="FFFFFF"/>
                <w:lang w:val="en-US" w:eastAsia="zh-CN"/>
              </w:rPr>
              <w:t>开标</w:t>
            </w:r>
            <w:r>
              <w:rPr>
                <w:rFonts w:hint="eastAsia" w:ascii="宋体" w:hAnsi="宋体" w:eastAsia="宋体" w:cs="宋体"/>
                <w:color w:val="auto"/>
                <w:kern w:val="2"/>
                <w:sz w:val="21"/>
                <w:szCs w:val="21"/>
                <w:highlight w:val="none"/>
                <w:shd w:val="clear" w:color="auto" w:fill="FFFFFF"/>
              </w:rPr>
              <w:t>顺序</w:t>
            </w:r>
          </w:p>
        </w:tc>
        <w:tc>
          <w:tcPr>
            <w:tcW w:w="1664"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default" w:ascii="宋体" w:hAnsi="宋体" w:eastAsia="宋体" w:cs="宋体"/>
                <w:color w:val="auto"/>
                <w:kern w:val="2"/>
                <w:sz w:val="21"/>
                <w:szCs w:val="21"/>
                <w:highlight w:val="none"/>
                <w:shd w:val="clear" w:color="auto" w:fill="FFFFFF"/>
                <w:lang w:val="en-US" w:eastAsia="zh-CN"/>
              </w:rPr>
            </w:pPr>
            <w:r>
              <w:rPr>
                <w:rFonts w:hint="eastAsia" w:ascii="宋体" w:hAnsi="宋体" w:eastAsia="宋体" w:cs="宋体"/>
                <w:color w:val="auto"/>
                <w:kern w:val="2"/>
                <w:sz w:val="21"/>
                <w:szCs w:val="21"/>
                <w:highlight w:val="none"/>
                <w:shd w:val="clear" w:color="auto" w:fill="FFFFFF"/>
                <w:lang w:val="en-US" w:eastAsia="zh-CN"/>
              </w:rPr>
              <w:t>评标</w:t>
            </w:r>
            <w:r>
              <w:rPr>
                <w:rFonts w:hint="eastAsia" w:ascii="宋体" w:hAnsi="宋体" w:eastAsia="宋体" w:cs="宋体"/>
                <w:color w:val="auto"/>
                <w:kern w:val="2"/>
                <w:sz w:val="21"/>
                <w:szCs w:val="21"/>
                <w:highlight w:val="none"/>
                <w:shd w:val="clear" w:color="auto" w:fill="FFFFFF"/>
              </w:rPr>
              <w:t>顺序</w:t>
            </w:r>
          </w:p>
        </w:tc>
        <w:tc>
          <w:tcPr>
            <w:tcW w:w="1857"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default" w:ascii="宋体" w:hAnsi="宋体" w:eastAsia="宋体" w:cs="宋体"/>
                <w:color w:val="auto"/>
                <w:kern w:val="2"/>
                <w:sz w:val="21"/>
                <w:szCs w:val="21"/>
                <w:highlight w:val="none"/>
                <w:shd w:val="clear" w:color="auto" w:fill="FFFFFF"/>
                <w:lang w:val="en-US" w:eastAsia="zh-CN"/>
              </w:rPr>
            </w:pPr>
            <w:r>
              <w:rPr>
                <w:rFonts w:hint="eastAsia" w:ascii="宋体" w:hAnsi="宋体" w:eastAsia="宋体" w:cs="宋体"/>
                <w:color w:val="auto"/>
                <w:kern w:val="2"/>
                <w:sz w:val="21"/>
                <w:szCs w:val="21"/>
                <w:highlight w:val="none"/>
                <w:shd w:val="clear" w:color="auto" w:fill="FFFFFF"/>
                <w:lang w:val="en-US" w:eastAsia="zh-CN"/>
              </w:rPr>
              <w:t>定标</w:t>
            </w:r>
            <w:r>
              <w:rPr>
                <w:rFonts w:hint="eastAsia" w:ascii="宋体" w:hAnsi="宋体" w:eastAsia="宋体" w:cs="宋体"/>
                <w:color w:val="auto"/>
                <w:kern w:val="2"/>
                <w:sz w:val="21"/>
                <w:szCs w:val="21"/>
                <w:highlight w:val="none"/>
                <w:shd w:val="clear" w:color="auto" w:fill="FFFFFF"/>
              </w:rPr>
              <w:t>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47" w:type="dxa"/>
            <w:noWrap w:val="0"/>
            <w:vAlign w:val="center"/>
          </w:tcPr>
          <w:p>
            <w:pPr>
              <w:keepNext w:val="0"/>
              <w:keepLines w:val="0"/>
              <w:pageBreakBefore w:val="0"/>
              <w:kinsoku/>
              <w:wordWrap/>
              <w:overflowPunct/>
              <w:topLinePunct w:val="0"/>
              <w:autoSpaceDE/>
              <w:autoSpaceDN/>
              <w:bidi w:val="0"/>
              <w:spacing w:line="240" w:lineRule="atLeast"/>
              <w:jc w:val="center"/>
              <w:rPr>
                <w:rFonts w:hint="default" w:ascii="宋体" w:hAnsi="宋体" w:eastAsia="宋体" w:cs="宋体"/>
                <w:color w:val="auto"/>
                <w:kern w:val="2"/>
                <w:sz w:val="21"/>
                <w:szCs w:val="21"/>
                <w:highlight w:val="none"/>
                <w:shd w:val="clear" w:color="auto" w:fill="FFFFFF"/>
                <w:lang w:val="en-US" w:eastAsia="zh-CN"/>
              </w:rPr>
            </w:pPr>
            <w:r>
              <w:rPr>
                <w:rFonts w:ascii="宋体" w:hAnsi="宋体" w:eastAsia="宋体" w:cs="宋体"/>
                <w:sz w:val="21"/>
                <w:szCs w:val="21"/>
                <w:highlight w:val="none"/>
              </w:rPr>
              <w:t>ZXHDL2025027</w:t>
            </w:r>
            <w:r>
              <w:rPr>
                <w:rFonts w:hint="eastAsia" w:ascii="宋体" w:hAnsi="宋体" w:cs="宋体"/>
                <w:sz w:val="21"/>
                <w:szCs w:val="21"/>
                <w:highlight w:val="none"/>
                <w:lang w:val="en-US" w:eastAsia="zh-CN"/>
              </w:rPr>
              <w:t>-</w:t>
            </w:r>
            <w:r>
              <w:rPr>
                <w:rFonts w:hint="eastAsia" w:ascii="宋体" w:hAnsi="宋体" w:eastAsia="宋体" w:cs="宋体"/>
                <w:color w:val="auto"/>
                <w:kern w:val="2"/>
                <w:sz w:val="21"/>
                <w:szCs w:val="21"/>
                <w:highlight w:val="none"/>
                <w:shd w:val="clear" w:color="auto" w:fill="FFFFFF"/>
                <w:lang w:val="en-US" w:eastAsia="zh-CN"/>
              </w:rPr>
              <w:t>1</w:t>
            </w:r>
          </w:p>
        </w:tc>
        <w:tc>
          <w:tcPr>
            <w:tcW w:w="28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shd w:val="clear" w:color="auto" w:fill="FFFFFF"/>
              </w:rPr>
            </w:pPr>
            <w:r>
              <w:rPr>
                <w:rFonts w:hint="eastAsia" w:ascii="宋体" w:hAnsi="宋体" w:eastAsia="宋体" w:cs="宋体"/>
                <w:color w:val="auto"/>
                <w:kern w:val="0"/>
                <w:sz w:val="21"/>
                <w:szCs w:val="21"/>
                <w:highlight w:val="none"/>
                <w:lang w:val="en-US" w:eastAsia="zh-CN" w:bidi="ar"/>
              </w:rPr>
              <w:t>江苏大中农场集团有限公司75履带挖掘机采购项目</w:t>
            </w:r>
          </w:p>
        </w:tc>
        <w:tc>
          <w:tcPr>
            <w:tcW w:w="1590"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default" w:ascii="宋体" w:hAnsi="宋体" w:eastAsia="宋体" w:cs="宋体"/>
                <w:color w:val="auto"/>
                <w:kern w:val="2"/>
                <w:sz w:val="21"/>
                <w:szCs w:val="21"/>
                <w:highlight w:val="none"/>
                <w:shd w:val="clear" w:color="auto" w:fill="FFFFFF"/>
                <w:lang w:val="en-US" w:eastAsia="zh-CN"/>
              </w:rPr>
            </w:pPr>
            <w:r>
              <w:rPr>
                <w:rFonts w:hint="eastAsia" w:ascii="宋体" w:hAnsi="宋体" w:cs="宋体"/>
                <w:color w:val="auto"/>
                <w:kern w:val="2"/>
                <w:sz w:val="21"/>
                <w:szCs w:val="21"/>
                <w:highlight w:val="none"/>
                <w:shd w:val="clear" w:color="auto" w:fill="FFFFFF"/>
                <w:lang w:val="en-US" w:eastAsia="zh-CN"/>
              </w:rPr>
              <w:t>1</w:t>
            </w:r>
          </w:p>
        </w:tc>
        <w:tc>
          <w:tcPr>
            <w:tcW w:w="1664"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default" w:ascii="宋体" w:hAnsi="宋体" w:eastAsia="宋体" w:cs="宋体"/>
                <w:color w:val="auto"/>
                <w:kern w:val="2"/>
                <w:sz w:val="21"/>
                <w:szCs w:val="21"/>
                <w:highlight w:val="none"/>
                <w:shd w:val="clear" w:color="auto" w:fill="FFFFFF"/>
                <w:lang w:val="en-US" w:eastAsia="zh-CN"/>
              </w:rPr>
            </w:pPr>
            <w:r>
              <w:rPr>
                <w:rFonts w:hint="eastAsia" w:ascii="宋体" w:hAnsi="宋体" w:cs="宋体"/>
                <w:color w:val="auto"/>
                <w:kern w:val="2"/>
                <w:sz w:val="21"/>
                <w:szCs w:val="21"/>
                <w:highlight w:val="none"/>
                <w:shd w:val="clear" w:color="auto" w:fill="FFFFFF"/>
                <w:lang w:val="en-US" w:eastAsia="zh-CN"/>
              </w:rPr>
              <w:t>1</w:t>
            </w:r>
          </w:p>
        </w:tc>
        <w:tc>
          <w:tcPr>
            <w:tcW w:w="1857"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2"/>
                <w:sz w:val="21"/>
                <w:szCs w:val="21"/>
                <w:highlight w:val="none"/>
                <w:shd w:val="clear" w:color="auto" w:fill="FFFFFF"/>
                <w:lang w:val="en-US" w:eastAsia="zh-CN"/>
              </w:rPr>
            </w:pPr>
            <w:r>
              <w:rPr>
                <w:rFonts w:hint="eastAsia" w:ascii="宋体" w:hAnsi="宋体" w:cs="宋体"/>
                <w:color w:val="auto"/>
                <w:kern w:val="2"/>
                <w:sz w:val="21"/>
                <w:szCs w:val="21"/>
                <w:highlight w:val="none"/>
                <w:shd w:val="clear" w:color="auto"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7" w:type="dxa"/>
            <w:noWrap w:val="0"/>
            <w:vAlign w:val="center"/>
          </w:tcPr>
          <w:p>
            <w:pPr>
              <w:keepNext w:val="0"/>
              <w:keepLines w:val="0"/>
              <w:pageBreakBefore w:val="0"/>
              <w:kinsoku/>
              <w:wordWrap/>
              <w:overflowPunct/>
              <w:topLinePunct w:val="0"/>
              <w:autoSpaceDE/>
              <w:autoSpaceDN/>
              <w:bidi w:val="0"/>
              <w:spacing w:line="240" w:lineRule="atLeast"/>
              <w:jc w:val="center"/>
              <w:rPr>
                <w:rFonts w:hint="default" w:ascii="宋体" w:hAnsi="宋体" w:eastAsia="宋体" w:cs="宋体"/>
                <w:color w:val="auto"/>
                <w:kern w:val="2"/>
                <w:sz w:val="21"/>
                <w:szCs w:val="21"/>
                <w:highlight w:val="none"/>
                <w:shd w:val="clear" w:color="auto" w:fill="FFFFFF"/>
                <w:lang w:val="en-US" w:eastAsia="zh-CN"/>
              </w:rPr>
            </w:pPr>
            <w:r>
              <w:rPr>
                <w:rFonts w:ascii="宋体" w:hAnsi="宋体" w:eastAsia="宋体" w:cs="宋体"/>
                <w:sz w:val="21"/>
                <w:szCs w:val="21"/>
                <w:highlight w:val="none"/>
              </w:rPr>
              <w:t>ZXHDL2025027</w:t>
            </w:r>
            <w:r>
              <w:rPr>
                <w:rFonts w:hint="eastAsia" w:ascii="宋体" w:hAnsi="宋体" w:cs="宋体"/>
                <w:sz w:val="21"/>
                <w:szCs w:val="21"/>
                <w:highlight w:val="none"/>
                <w:lang w:val="en-US" w:eastAsia="zh-CN"/>
              </w:rPr>
              <w:t>-</w:t>
            </w:r>
            <w:r>
              <w:rPr>
                <w:rFonts w:hint="eastAsia" w:ascii="宋体" w:hAnsi="宋体" w:eastAsia="宋体" w:cs="宋体"/>
                <w:color w:val="auto"/>
                <w:kern w:val="2"/>
                <w:sz w:val="21"/>
                <w:szCs w:val="21"/>
                <w:highlight w:val="none"/>
                <w:shd w:val="clear" w:color="auto" w:fill="FFFFFF"/>
                <w:lang w:val="en-US" w:eastAsia="zh-CN"/>
              </w:rPr>
              <w:t>2</w:t>
            </w:r>
          </w:p>
        </w:tc>
        <w:tc>
          <w:tcPr>
            <w:tcW w:w="2851" w:type="dxa"/>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shd w:val="clear" w:color="auto" w:fill="FFFFFF"/>
              </w:rPr>
            </w:pPr>
            <w:r>
              <w:rPr>
                <w:rFonts w:hint="eastAsia" w:ascii="宋体" w:hAnsi="宋体" w:eastAsia="宋体" w:cs="宋体"/>
                <w:color w:val="auto"/>
                <w:kern w:val="0"/>
                <w:sz w:val="21"/>
                <w:szCs w:val="21"/>
                <w:highlight w:val="none"/>
                <w:lang w:val="en-US" w:eastAsia="zh-CN" w:bidi="ar"/>
              </w:rPr>
              <w:t>江苏大中农场集团有限公司翻转四铧犁采购项目</w:t>
            </w:r>
          </w:p>
        </w:tc>
        <w:tc>
          <w:tcPr>
            <w:tcW w:w="1590"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default" w:ascii="宋体" w:hAnsi="宋体" w:eastAsia="宋体" w:cs="宋体"/>
                <w:color w:val="auto"/>
                <w:kern w:val="2"/>
                <w:sz w:val="21"/>
                <w:szCs w:val="21"/>
                <w:highlight w:val="none"/>
                <w:shd w:val="clear" w:color="auto" w:fill="FFFFFF"/>
                <w:lang w:val="en-US" w:eastAsia="zh-CN"/>
              </w:rPr>
            </w:pPr>
            <w:r>
              <w:rPr>
                <w:rFonts w:hint="eastAsia" w:ascii="宋体" w:hAnsi="宋体" w:cs="宋体"/>
                <w:color w:val="auto"/>
                <w:kern w:val="2"/>
                <w:sz w:val="21"/>
                <w:szCs w:val="21"/>
                <w:highlight w:val="none"/>
                <w:shd w:val="clear" w:color="auto" w:fill="FFFFFF"/>
                <w:lang w:val="en-US" w:eastAsia="zh-CN"/>
              </w:rPr>
              <w:t>2</w:t>
            </w:r>
          </w:p>
        </w:tc>
        <w:tc>
          <w:tcPr>
            <w:tcW w:w="1664"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2"/>
                <w:sz w:val="21"/>
                <w:szCs w:val="21"/>
                <w:highlight w:val="none"/>
                <w:shd w:val="clear" w:color="auto" w:fill="FFFFFF"/>
                <w:lang w:val="en-US" w:eastAsia="zh-CN"/>
              </w:rPr>
            </w:pPr>
            <w:r>
              <w:rPr>
                <w:rFonts w:hint="eastAsia" w:ascii="宋体" w:hAnsi="宋体" w:cs="宋体"/>
                <w:color w:val="auto"/>
                <w:kern w:val="2"/>
                <w:sz w:val="21"/>
                <w:szCs w:val="21"/>
                <w:highlight w:val="none"/>
                <w:shd w:val="clear" w:color="auto" w:fill="FFFFFF"/>
                <w:lang w:val="en-US" w:eastAsia="zh-CN"/>
              </w:rPr>
              <w:t>2</w:t>
            </w:r>
          </w:p>
        </w:tc>
        <w:tc>
          <w:tcPr>
            <w:tcW w:w="1857"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2"/>
                <w:sz w:val="21"/>
                <w:szCs w:val="21"/>
                <w:highlight w:val="none"/>
                <w:shd w:val="clear" w:color="auto" w:fill="FFFFFF"/>
                <w:lang w:val="en-US" w:eastAsia="zh-CN"/>
              </w:rPr>
            </w:pPr>
            <w:r>
              <w:rPr>
                <w:rFonts w:hint="eastAsia" w:ascii="宋体" w:hAnsi="宋体" w:cs="宋体"/>
                <w:color w:val="auto"/>
                <w:kern w:val="2"/>
                <w:sz w:val="21"/>
                <w:szCs w:val="21"/>
                <w:highlight w:val="none"/>
                <w:shd w:val="clear" w:color="auto"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47" w:type="dxa"/>
            <w:noWrap w:val="0"/>
            <w:vAlign w:val="center"/>
          </w:tcPr>
          <w:p>
            <w:pPr>
              <w:keepNext w:val="0"/>
              <w:keepLines w:val="0"/>
              <w:pageBreakBefore w:val="0"/>
              <w:kinsoku/>
              <w:wordWrap/>
              <w:overflowPunct/>
              <w:topLinePunct w:val="0"/>
              <w:autoSpaceDE/>
              <w:autoSpaceDN/>
              <w:bidi w:val="0"/>
              <w:spacing w:line="240" w:lineRule="atLeast"/>
              <w:jc w:val="center"/>
              <w:rPr>
                <w:rFonts w:hint="default" w:ascii="宋体" w:hAnsi="宋体" w:eastAsia="宋体" w:cs="宋体"/>
                <w:color w:val="auto"/>
                <w:kern w:val="2"/>
                <w:sz w:val="21"/>
                <w:szCs w:val="21"/>
                <w:highlight w:val="none"/>
                <w:shd w:val="clear" w:color="auto" w:fill="FFFFFF"/>
                <w:lang w:val="en-US" w:eastAsia="zh-CN"/>
              </w:rPr>
            </w:pPr>
            <w:r>
              <w:rPr>
                <w:rFonts w:ascii="宋体" w:hAnsi="宋体" w:eastAsia="宋体" w:cs="宋体"/>
                <w:sz w:val="21"/>
                <w:szCs w:val="21"/>
                <w:highlight w:val="none"/>
              </w:rPr>
              <w:t>ZXHDL2025027</w:t>
            </w:r>
            <w:r>
              <w:rPr>
                <w:rFonts w:hint="eastAsia" w:ascii="宋体" w:hAnsi="宋体" w:cs="宋体"/>
                <w:sz w:val="21"/>
                <w:szCs w:val="21"/>
                <w:highlight w:val="none"/>
                <w:lang w:val="en-US" w:eastAsia="zh-CN"/>
              </w:rPr>
              <w:t>-</w:t>
            </w:r>
            <w:r>
              <w:rPr>
                <w:rFonts w:hint="eastAsia" w:ascii="宋体" w:hAnsi="宋体" w:eastAsia="宋体" w:cs="宋体"/>
                <w:color w:val="auto"/>
                <w:kern w:val="2"/>
                <w:sz w:val="21"/>
                <w:szCs w:val="21"/>
                <w:highlight w:val="none"/>
                <w:shd w:val="clear" w:color="auto" w:fill="FFFFFF"/>
                <w:lang w:val="en-US" w:eastAsia="zh-CN"/>
              </w:rPr>
              <w:t>3</w:t>
            </w:r>
          </w:p>
        </w:tc>
        <w:tc>
          <w:tcPr>
            <w:tcW w:w="2851" w:type="dxa"/>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shd w:val="clear" w:color="auto" w:fill="FFFFFF"/>
              </w:rPr>
            </w:pPr>
            <w:r>
              <w:rPr>
                <w:rFonts w:hint="eastAsia" w:ascii="宋体" w:hAnsi="宋体" w:eastAsia="宋体" w:cs="宋体"/>
                <w:color w:val="auto"/>
                <w:kern w:val="0"/>
                <w:sz w:val="21"/>
                <w:szCs w:val="21"/>
                <w:highlight w:val="none"/>
                <w:lang w:val="en-US" w:eastAsia="zh-CN" w:bidi="ar"/>
              </w:rPr>
              <w:t>江苏大中农场集团有限公司深松联合整地机采购项目</w:t>
            </w:r>
          </w:p>
        </w:tc>
        <w:tc>
          <w:tcPr>
            <w:tcW w:w="1590"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default" w:ascii="宋体" w:hAnsi="宋体" w:eastAsia="宋体" w:cs="宋体"/>
                <w:color w:val="auto"/>
                <w:kern w:val="2"/>
                <w:sz w:val="21"/>
                <w:szCs w:val="21"/>
                <w:highlight w:val="none"/>
                <w:shd w:val="clear" w:color="auto" w:fill="FFFFFF"/>
                <w:lang w:val="en-US" w:eastAsia="zh-CN"/>
              </w:rPr>
            </w:pPr>
            <w:r>
              <w:rPr>
                <w:rFonts w:hint="eastAsia" w:ascii="宋体" w:hAnsi="宋体" w:cs="宋体"/>
                <w:color w:val="auto"/>
                <w:kern w:val="2"/>
                <w:sz w:val="21"/>
                <w:szCs w:val="21"/>
                <w:highlight w:val="none"/>
                <w:shd w:val="clear" w:color="auto" w:fill="FFFFFF"/>
                <w:lang w:val="en-US" w:eastAsia="zh-CN"/>
              </w:rPr>
              <w:t>3</w:t>
            </w:r>
          </w:p>
        </w:tc>
        <w:tc>
          <w:tcPr>
            <w:tcW w:w="1664"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2"/>
                <w:sz w:val="21"/>
                <w:szCs w:val="21"/>
                <w:highlight w:val="none"/>
                <w:shd w:val="clear" w:color="auto" w:fill="FFFFFF"/>
                <w:lang w:val="en-US" w:eastAsia="zh-CN"/>
              </w:rPr>
            </w:pPr>
            <w:r>
              <w:rPr>
                <w:rFonts w:hint="eastAsia" w:ascii="宋体" w:hAnsi="宋体" w:cs="宋体"/>
                <w:color w:val="auto"/>
                <w:kern w:val="2"/>
                <w:sz w:val="21"/>
                <w:szCs w:val="21"/>
                <w:highlight w:val="none"/>
                <w:shd w:val="clear" w:color="auto" w:fill="FFFFFF"/>
                <w:lang w:val="en-US" w:eastAsia="zh-CN"/>
              </w:rPr>
              <w:t>3</w:t>
            </w:r>
          </w:p>
        </w:tc>
        <w:tc>
          <w:tcPr>
            <w:tcW w:w="1857"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2"/>
                <w:sz w:val="21"/>
                <w:szCs w:val="21"/>
                <w:highlight w:val="none"/>
                <w:shd w:val="clear" w:color="auto" w:fill="FFFFFF"/>
                <w:lang w:val="en-US" w:eastAsia="zh-CN"/>
              </w:rPr>
            </w:pPr>
            <w:r>
              <w:rPr>
                <w:rFonts w:hint="eastAsia" w:ascii="宋体" w:hAnsi="宋体" w:cs="宋体"/>
                <w:color w:val="auto"/>
                <w:kern w:val="2"/>
                <w:sz w:val="21"/>
                <w:szCs w:val="21"/>
                <w:highlight w:val="none"/>
                <w:shd w:val="clear" w:color="auto" w:fill="FFFFFF"/>
                <w:lang w:val="en-US" w:eastAsia="zh-CN"/>
              </w:rPr>
              <w:t>3</w:t>
            </w:r>
          </w:p>
        </w:tc>
      </w:tr>
    </w:tbl>
    <w:p>
      <w:pPr>
        <w:pStyle w:val="3"/>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2．评审标准</w:t>
      </w:r>
      <w:bookmarkEnd w:id="459"/>
      <w:bookmarkEnd w:id="460"/>
      <w:bookmarkEnd w:id="461"/>
      <w:bookmarkEnd w:id="462"/>
    </w:p>
    <w:p>
      <w:pPr>
        <w:pStyle w:val="4"/>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bookmarkStart w:id="463" w:name="_Toc397928603"/>
      <w:bookmarkStart w:id="464" w:name="_Toc314"/>
      <w:bookmarkStart w:id="465" w:name="_Toc36140130"/>
      <w:r>
        <w:rPr>
          <w:rFonts w:hint="eastAsia" w:ascii="宋体" w:hAnsi="宋体" w:eastAsia="宋体" w:cs="宋体"/>
          <w:color w:val="auto"/>
          <w:sz w:val="24"/>
          <w:szCs w:val="24"/>
          <w:highlight w:val="none"/>
        </w:rPr>
        <w:t>2.1 初步评审标准</w:t>
      </w:r>
      <w:bookmarkEnd w:id="463"/>
      <w:bookmarkEnd w:id="464"/>
      <w:bookmarkEnd w:id="465"/>
    </w:p>
    <w:p>
      <w:pPr>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评标委员会首先对投标文件进行初步评审，审查其投标文件中的资信文件是否满足本项目要求；</w:t>
      </w:r>
    </w:p>
    <w:p>
      <w:pPr>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有无计算上的错误、文件签署是否合格、总体编排是否有序、判断其内容是否详实可靠、投标文件签字盖章、投标文件的组成、投标文件及报价唯一、交付使用期、质量要求等方面是否满足招标文件的要求，是否在实质上响应了招标文件的要求。</w:t>
      </w:r>
    </w:p>
    <w:p>
      <w:pPr>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在评审过程中，评标委员会可以书面形式要求投标人就投标文件中含义不明确的内容进行书面说明（授权代表签名有效）并提供相关资料。</w:t>
      </w:r>
    </w:p>
    <w:p>
      <w:pPr>
        <w:pStyle w:val="4"/>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bookmarkStart w:id="466" w:name="_Toc36140131"/>
      <w:bookmarkStart w:id="467" w:name="_Toc32592"/>
      <w:bookmarkStart w:id="468" w:name="_Toc397928604"/>
      <w:r>
        <w:rPr>
          <w:rFonts w:hint="eastAsia" w:ascii="宋体" w:hAnsi="宋体" w:eastAsia="宋体" w:cs="宋体"/>
          <w:color w:val="auto"/>
          <w:sz w:val="24"/>
          <w:szCs w:val="24"/>
          <w:highlight w:val="none"/>
        </w:rPr>
        <w:t>2.2详细评审分值构成与评分标准</w:t>
      </w:r>
      <w:bookmarkEnd w:id="466"/>
      <w:bookmarkEnd w:id="467"/>
      <w:bookmarkEnd w:id="468"/>
    </w:p>
    <w:tbl>
      <w:tblPr>
        <w:tblStyle w:val="50"/>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327"/>
        <w:gridCol w:w="6203"/>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8" w:type="dxa"/>
            <w:noWrap/>
            <w:vAlign w:val="center"/>
          </w:tcPr>
          <w:p>
            <w:pPr>
              <w:adjustRightInd w:val="0"/>
              <w:snapToGrid w:val="0"/>
              <w:jc w:val="center"/>
              <w:rPr>
                <w:rFonts w:hint="eastAsia" w:ascii="宋体" w:hAnsi="宋体" w:eastAsia="宋体" w:cs="宋体"/>
                <w:color w:val="000000"/>
                <w:szCs w:val="21"/>
                <w:highlight w:val="none"/>
              </w:rPr>
            </w:pPr>
            <w:bookmarkStart w:id="469" w:name="_Toc397928605"/>
            <w:bookmarkStart w:id="470" w:name="_Toc36140132"/>
            <w:bookmarkStart w:id="471" w:name="_Toc184635095"/>
            <w:bookmarkStart w:id="472" w:name="_Toc25437"/>
            <w:r>
              <w:rPr>
                <w:rFonts w:hint="eastAsia" w:ascii="宋体" w:hAnsi="宋体" w:eastAsia="宋体" w:cs="宋体"/>
                <w:color w:val="000000"/>
                <w:szCs w:val="21"/>
                <w:highlight w:val="none"/>
              </w:rPr>
              <w:t>序号</w:t>
            </w:r>
          </w:p>
        </w:tc>
        <w:tc>
          <w:tcPr>
            <w:tcW w:w="1327" w:type="dxa"/>
            <w:noWrap/>
            <w:vAlign w:val="center"/>
          </w:tcPr>
          <w:p>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评审内容</w:t>
            </w:r>
          </w:p>
        </w:tc>
        <w:tc>
          <w:tcPr>
            <w:tcW w:w="6203" w:type="dxa"/>
            <w:noWrap/>
            <w:vAlign w:val="center"/>
          </w:tcPr>
          <w:p>
            <w:pPr>
              <w:adjustRightInd w:val="0"/>
              <w:snapToGrid w:val="0"/>
              <w:jc w:val="center"/>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评分细则</w:t>
            </w:r>
          </w:p>
        </w:tc>
        <w:tc>
          <w:tcPr>
            <w:tcW w:w="946" w:type="dxa"/>
            <w:noWrap/>
            <w:vAlign w:val="center"/>
          </w:tcPr>
          <w:p>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18" w:type="dxa"/>
            <w:noWrap/>
            <w:vAlign w:val="center"/>
          </w:tcPr>
          <w:p>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327" w:type="dxa"/>
            <w:noWrap/>
            <w:vAlign w:val="center"/>
          </w:tcPr>
          <w:p>
            <w:pPr>
              <w:kinsoku w:val="0"/>
              <w:overflowPunct w:val="0"/>
              <w:autoSpaceDE w:val="0"/>
              <w:autoSpaceDN w:val="0"/>
              <w:adjustRightInd w:val="0"/>
              <w:snapToGrid w:val="0"/>
              <w:spacing w:line="280" w:lineRule="exact"/>
              <w:jc w:val="center"/>
              <w:rPr>
                <w:rFonts w:hint="eastAsia" w:ascii="宋体" w:hAnsi="宋体" w:eastAsia="宋体" w:cs="宋体"/>
                <w:color w:val="000000"/>
                <w:kern w:val="0"/>
                <w:sz w:val="24"/>
                <w:szCs w:val="21"/>
                <w:highlight w:val="none"/>
              </w:rPr>
            </w:pPr>
            <w:r>
              <w:rPr>
                <w:rFonts w:hint="eastAsia" w:ascii="宋体" w:hAnsi="宋体" w:eastAsia="宋体" w:cs="宋体"/>
                <w:kern w:val="0"/>
                <w:szCs w:val="21"/>
                <w:highlight w:val="none"/>
              </w:rPr>
              <w:t>投标报价</w:t>
            </w:r>
          </w:p>
        </w:tc>
        <w:tc>
          <w:tcPr>
            <w:tcW w:w="6203" w:type="dxa"/>
            <w:noWrap/>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Times New Roman"/>
                <w:highlight w:val="none"/>
              </w:rPr>
            </w:pPr>
            <w:r>
              <w:rPr>
                <w:rFonts w:hint="eastAsia" w:ascii="宋体" w:hAnsi="宋体" w:eastAsia="宋体" w:cs="Times New Roman"/>
                <w:highlight w:val="none"/>
              </w:rPr>
              <w:t>价格分统一采用基准价中间值法计算，即按照下列公式计算：</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ascii="宋体" w:hAnsi="宋体" w:eastAsia="宋体" w:cs="Times New Roman"/>
                <w:highlight w:val="none"/>
              </w:rPr>
            </w:pPr>
            <w:r>
              <w:rPr>
                <w:rFonts w:ascii="宋体" w:hAnsi="宋体" w:eastAsia="宋体" w:cs="Times New Roman"/>
                <w:highlight w:val="none"/>
              </w:rPr>
              <w:t>F1=F-|D1-D|*E*100/D</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Times New Roman"/>
                <w:highlight w:val="none"/>
              </w:rPr>
            </w:pPr>
            <w:r>
              <w:rPr>
                <w:rFonts w:hint="eastAsia" w:ascii="宋体" w:hAnsi="宋体" w:eastAsia="宋体" w:cs="Times New Roman"/>
                <w:highlight w:val="none"/>
              </w:rPr>
              <w:t>其中：</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Times New Roman"/>
                <w:highlight w:val="none"/>
              </w:rPr>
            </w:pPr>
            <w:r>
              <w:rPr>
                <w:rFonts w:hint="eastAsia" w:ascii="宋体" w:hAnsi="宋体" w:eastAsia="宋体" w:cs="Times New Roman"/>
                <w:highlight w:val="none"/>
              </w:rPr>
              <w:t xml:space="preserve"> F1:价格得分</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Times New Roman"/>
                <w:highlight w:val="none"/>
              </w:rPr>
            </w:pPr>
            <w:r>
              <w:rPr>
                <w:rFonts w:hint="eastAsia" w:ascii="宋体" w:hAnsi="宋体" w:eastAsia="宋体" w:cs="Times New Roman"/>
                <w:highlight w:val="none"/>
              </w:rPr>
              <w:t xml:space="preserve"> F：价格分值权重</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Times New Roman"/>
                <w:highlight w:val="none"/>
              </w:rPr>
            </w:pPr>
            <w:r>
              <w:rPr>
                <w:rFonts w:hint="eastAsia" w:ascii="宋体" w:hAnsi="宋体" w:eastAsia="宋体" w:cs="Times New Roman"/>
                <w:highlight w:val="none"/>
              </w:rPr>
              <w:t xml:space="preserve"> D1：评标价格</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Times New Roman"/>
                <w:highlight w:val="none"/>
              </w:rPr>
            </w:pPr>
            <w:r>
              <w:rPr>
                <w:rFonts w:hint="eastAsia" w:ascii="宋体" w:hAnsi="宋体" w:eastAsia="宋体" w:cs="Times New Roman"/>
                <w:highlight w:val="none"/>
              </w:rPr>
              <w:t xml:space="preserve"> D：评标基准价</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Times New Roman"/>
                <w:highlight w:val="none"/>
              </w:rPr>
            </w:pPr>
            <w:r>
              <w:rPr>
                <w:rFonts w:hint="eastAsia" w:ascii="宋体" w:hAnsi="宋体" w:eastAsia="宋体" w:cs="Times New Roman"/>
                <w:highlight w:val="none"/>
              </w:rPr>
              <w:t xml:space="preserve"> E：减分系数</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Times New Roman"/>
                <w:highlight w:val="none"/>
              </w:rPr>
            </w:pPr>
            <w:r>
              <w:rPr>
                <w:rFonts w:hint="eastAsia" w:ascii="宋体" w:hAnsi="宋体" w:eastAsia="宋体" w:cs="Times New Roman"/>
                <w:highlight w:val="none"/>
              </w:rPr>
              <w:t>注解：</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Times New Roman" w:hAnsi="Times New Roman" w:eastAsia="宋体" w:cs="Times New Roman"/>
                <w:highlight w:val="none"/>
              </w:rPr>
              <w:t>、</w:t>
            </w:r>
            <w:r>
              <w:rPr>
                <w:rFonts w:hint="eastAsia" w:ascii="宋体" w:hAnsi="宋体" w:eastAsia="宋体" w:cs="Times New Roman"/>
                <w:highlight w:val="none"/>
              </w:rPr>
              <w:t>评标基准价为所有有效投标人的投标报价算术平均值，减分系数为0.3</w:t>
            </w:r>
            <w:r>
              <w:rPr>
                <w:rFonts w:hint="eastAsia" w:ascii="Times New Roman" w:hAnsi="Times New Roman" w:eastAsia="宋体" w:cs="Times New Roman"/>
                <w:highlight w:val="none"/>
              </w:rPr>
              <w:t>；</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ascii="Times New Roman" w:hAnsi="Times New Roman" w:eastAsia="宋体" w:cs="Times New Roman"/>
                <w:highlight w:val="none"/>
              </w:rPr>
            </w:pPr>
            <w:r>
              <w:rPr>
                <w:rFonts w:hint="eastAsia" w:ascii="Times New Roman" w:hAnsi="Times New Roman" w:eastAsia="宋体" w:cs="Times New Roman"/>
                <w:highlight w:val="none"/>
              </w:rPr>
              <w:t>2、投标报价为投标函中投标总价，低于成本价的除外。</w:t>
            </w:r>
          </w:p>
          <w:p>
            <w:pPr>
              <w:keepNext w:val="0"/>
              <w:keepLines w:val="0"/>
              <w:pageBreakBefore w:val="0"/>
              <w:widowControl w:val="0"/>
              <w:shd w:val="clear" w:color="auto" w:fill="FFFFFF"/>
              <w:kinsoku/>
              <w:wordWrap/>
              <w:overflowPunct/>
              <w:topLinePunct w:val="0"/>
              <w:autoSpaceDE/>
              <w:autoSpaceDN/>
              <w:bidi w:val="0"/>
              <w:spacing w:line="240" w:lineRule="auto"/>
              <w:ind w:firstLine="420" w:firstLineChars="200"/>
              <w:jc w:val="left"/>
              <w:textAlignment w:val="auto"/>
              <w:rPr>
                <w:rFonts w:ascii="Times New Roman" w:hAnsi="Times New Roman" w:eastAsia="宋体" w:cs="Times New Roman"/>
                <w:highlight w:val="none"/>
              </w:rPr>
            </w:pPr>
            <w:r>
              <w:rPr>
                <w:rFonts w:hint="eastAsia" w:ascii="Times New Roman" w:hAnsi="Times New Roman" w:eastAsia="宋体" w:cs="Times New Roman"/>
                <w:highlight w:val="none"/>
              </w:rPr>
              <w:t>3、上述方法的评标基准价不因评标后招投标当事人质疑、投诉、复议以及其它任何情形而改变（计算错误除外）；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000000"/>
                <w:szCs w:val="21"/>
                <w:highlight w:val="none"/>
              </w:rPr>
            </w:pPr>
            <w:r>
              <w:rPr>
                <w:rFonts w:ascii="Times New Roman" w:hAnsi="Times New Roman" w:eastAsia="宋体" w:cs="Times New Roman"/>
                <w:highlight w:val="none"/>
              </w:rPr>
              <w:t>4</w:t>
            </w:r>
            <w:r>
              <w:rPr>
                <w:rFonts w:hint="eastAsia" w:ascii="Times New Roman" w:hAnsi="Times New Roman" w:eastAsia="宋体" w:cs="Times New Roman"/>
                <w:highlight w:val="none"/>
              </w:rPr>
              <w:t>、得分数值保留两位小数。</w:t>
            </w:r>
          </w:p>
        </w:tc>
        <w:tc>
          <w:tcPr>
            <w:tcW w:w="946" w:type="dxa"/>
            <w:noWrap/>
            <w:vAlign w:val="center"/>
          </w:tcPr>
          <w:p>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8" w:type="dxa"/>
            <w:noWrap/>
            <w:vAlign w:val="center"/>
          </w:tcPr>
          <w:p>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1327" w:type="dxa"/>
            <w:noWrap/>
            <w:vAlign w:val="center"/>
          </w:tcPr>
          <w:p>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技术响应</w:t>
            </w:r>
          </w:p>
        </w:tc>
        <w:tc>
          <w:tcPr>
            <w:tcW w:w="6203" w:type="dxa"/>
            <w:noWrap/>
            <w:vAlign w:val="center"/>
          </w:tcPr>
          <w:p>
            <w:pPr>
              <w:tabs>
                <w:tab w:val="left" w:pos="855"/>
                <w:tab w:val="left" w:pos="1440"/>
              </w:tabs>
              <w:spacing w:line="240" w:lineRule="auto"/>
              <w:jc w:val="left"/>
              <w:rPr>
                <w:rFonts w:hint="eastAsia" w:ascii="宋体" w:hAnsi="宋体" w:cs="宋体"/>
                <w:kern w:val="0"/>
                <w:szCs w:val="21"/>
                <w:highlight w:val="none"/>
                <w:lang w:val="en-US" w:eastAsia="zh-CN"/>
              </w:rPr>
            </w:pPr>
            <w:r>
              <w:rPr>
                <w:rFonts w:hint="eastAsia" w:ascii="宋体" w:hAnsi="宋体" w:eastAsia="宋体" w:cs="Times New Roman"/>
                <w:bCs/>
                <w:snapToGrid w:val="0"/>
                <w:kern w:val="0"/>
                <w:szCs w:val="21"/>
                <w:highlight w:val="none"/>
              </w:rPr>
              <w:t>投标人所投</w:t>
            </w:r>
            <w:r>
              <w:rPr>
                <w:rFonts w:hint="eastAsia" w:ascii="宋体" w:hAnsi="宋体" w:cs="Times New Roman"/>
                <w:bCs/>
                <w:snapToGrid w:val="0"/>
                <w:kern w:val="0"/>
                <w:szCs w:val="21"/>
                <w:highlight w:val="none"/>
                <w:lang w:val="en-US" w:eastAsia="zh-CN"/>
              </w:rPr>
              <w:t>设备</w:t>
            </w:r>
            <w:r>
              <w:rPr>
                <w:rFonts w:hint="eastAsia" w:ascii="宋体" w:hAnsi="宋体" w:eastAsia="宋体" w:cs="Times New Roman"/>
                <w:bCs/>
                <w:snapToGrid w:val="0"/>
                <w:kern w:val="0"/>
                <w:szCs w:val="21"/>
                <w:highlight w:val="none"/>
              </w:rPr>
              <w:t>技术参数完全满足招标文件要求的得满分</w:t>
            </w:r>
            <w:r>
              <w:rPr>
                <w:rFonts w:hint="eastAsia" w:ascii="宋体" w:hAnsi="宋体" w:cs="Times New Roman"/>
                <w:bCs/>
                <w:snapToGrid w:val="0"/>
                <w:kern w:val="0"/>
                <w:szCs w:val="21"/>
                <w:highlight w:val="none"/>
                <w:lang w:val="en-US" w:eastAsia="zh-CN"/>
              </w:rPr>
              <w:t>2</w:t>
            </w:r>
            <w:r>
              <w:rPr>
                <w:rFonts w:hint="eastAsia" w:ascii="宋体" w:hAnsi="宋体" w:eastAsia="宋体" w:cs="Times New Roman"/>
                <w:bCs/>
                <w:snapToGrid w:val="0"/>
                <w:kern w:val="0"/>
                <w:szCs w:val="21"/>
                <w:highlight w:val="none"/>
                <w:lang w:val="en-US" w:eastAsia="zh-CN"/>
              </w:rPr>
              <w:t>0</w:t>
            </w:r>
            <w:r>
              <w:rPr>
                <w:rFonts w:hint="eastAsia" w:ascii="宋体" w:hAnsi="宋体" w:eastAsia="宋体" w:cs="Times New Roman"/>
                <w:bCs/>
                <w:snapToGrid w:val="0"/>
                <w:kern w:val="0"/>
                <w:szCs w:val="21"/>
                <w:highlight w:val="none"/>
              </w:rPr>
              <w:t>分</w:t>
            </w:r>
            <w:r>
              <w:rPr>
                <w:rFonts w:hint="eastAsia" w:ascii="宋体" w:hAnsi="宋体" w:eastAsia="宋体" w:cs="Times New Roman"/>
                <w:bCs/>
                <w:snapToGrid w:val="0"/>
                <w:kern w:val="0"/>
                <w:szCs w:val="21"/>
                <w:highlight w:val="none"/>
                <w:lang w:eastAsia="zh-CN"/>
              </w:rPr>
              <w:t>；</w:t>
            </w:r>
            <w:r>
              <w:rPr>
                <w:rFonts w:hint="eastAsia" w:ascii="宋体" w:hAnsi="宋体" w:cs="宋体"/>
                <w:szCs w:val="22"/>
                <w:highlight w:val="none"/>
                <w:lang w:val="en-US" w:eastAsia="zh-CN"/>
              </w:rPr>
              <w:t>设备</w:t>
            </w:r>
            <w:r>
              <w:rPr>
                <w:rFonts w:hint="eastAsia" w:ascii="宋体" w:hAnsi="宋体" w:eastAsia="宋体" w:cs="宋体"/>
                <w:szCs w:val="22"/>
                <w:highlight w:val="none"/>
              </w:rPr>
              <w:t>技术参数出现一个负偏离扣</w:t>
            </w:r>
            <w:r>
              <w:rPr>
                <w:rFonts w:hint="eastAsia" w:ascii="宋体" w:hAnsi="宋体" w:cs="宋体"/>
                <w:szCs w:val="22"/>
                <w:highlight w:val="none"/>
                <w:lang w:val="en-US" w:eastAsia="zh-CN"/>
              </w:rPr>
              <w:t>4</w:t>
            </w:r>
            <w:r>
              <w:rPr>
                <w:rFonts w:hint="eastAsia" w:ascii="宋体" w:hAnsi="宋体" w:eastAsia="宋体" w:cs="宋体"/>
                <w:szCs w:val="22"/>
                <w:highlight w:val="none"/>
              </w:rPr>
              <w:t>分</w:t>
            </w:r>
            <w:r>
              <w:rPr>
                <w:rFonts w:hint="eastAsia" w:ascii="宋体" w:hAnsi="宋体" w:cs="宋体"/>
                <w:szCs w:val="22"/>
                <w:highlight w:val="none"/>
                <w:lang w:eastAsia="zh-CN"/>
              </w:rPr>
              <w:t>，</w:t>
            </w:r>
            <w:r>
              <w:rPr>
                <w:rFonts w:hint="eastAsia" w:ascii="宋体" w:hAnsi="宋体" w:cs="宋体"/>
                <w:szCs w:val="22"/>
                <w:highlight w:val="none"/>
                <w:lang w:val="en-US" w:eastAsia="zh-CN"/>
              </w:rPr>
              <w:t>直至扣完为止</w:t>
            </w:r>
            <w:r>
              <w:rPr>
                <w:rFonts w:hint="eastAsia" w:ascii="宋体" w:hAnsi="宋体" w:cs="宋体"/>
                <w:kern w:val="0"/>
                <w:szCs w:val="21"/>
                <w:highlight w:val="none"/>
                <w:lang w:val="en-US" w:eastAsia="zh-CN"/>
              </w:rPr>
              <w:t>。</w:t>
            </w:r>
          </w:p>
          <w:p>
            <w:pPr>
              <w:tabs>
                <w:tab w:val="left" w:pos="855"/>
                <w:tab w:val="left" w:pos="1440"/>
              </w:tabs>
              <w:spacing w:line="240" w:lineRule="auto"/>
              <w:jc w:val="left"/>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注：以投标人提供的技术参数响应表和技术参数响应承诺函作为评分的依据。</w:t>
            </w:r>
          </w:p>
        </w:tc>
        <w:tc>
          <w:tcPr>
            <w:tcW w:w="946" w:type="dxa"/>
            <w:noWrap/>
            <w:vAlign w:val="center"/>
          </w:tcPr>
          <w:p>
            <w:pPr>
              <w:adjustRightInd w:val="0"/>
              <w:snapToGrid w:val="0"/>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718" w:type="dxa"/>
            <w:noWrap/>
            <w:vAlign w:val="center"/>
          </w:tcPr>
          <w:p>
            <w:pPr>
              <w:adjustRightInd w:val="0"/>
              <w:snapToGrid w:val="0"/>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3</w:t>
            </w:r>
          </w:p>
        </w:tc>
        <w:tc>
          <w:tcPr>
            <w:tcW w:w="1327" w:type="dxa"/>
            <w:noWrap/>
            <w:vAlign w:val="center"/>
          </w:tcPr>
          <w:p>
            <w:pPr>
              <w:adjustRightInd w:val="0"/>
              <w:snapToGrid w:val="0"/>
              <w:jc w:val="center"/>
              <w:rPr>
                <w:rFonts w:hint="eastAsia" w:ascii="宋体" w:hAnsi="宋体" w:eastAsia="宋体" w:cs="宋体"/>
                <w:color w:val="000000"/>
                <w:szCs w:val="21"/>
                <w:highlight w:val="none"/>
              </w:rPr>
            </w:pPr>
            <w:r>
              <w:rPr>
                <w:rFonts w:hint="eastAsia" w:ascii="宋体" w:hAnsi="宋体" w:cs="宋体"/>
                <w:bCs/>
                <w:kern w:val="0"/>
                <w:szCs w:val="21"/>
                <w:highlight w:val="none"/>
              </w:rPr>
              <w:t>合同履约能力</w:t>
            </w:r>
          </w:p>
        </w:tc>
        <w:tc>
          <w:tcPr>
            <w:tcW w:w="6203" w:type="dxa"/>
            <w:noWrap/>
            <w:vAlign w:val="center"/>
          </w:tcPr>
          <w:p>
            <w:pPr>
              <w:ind w:right="-21" w:rightChars="-10"/>
              <w:rPr>
                <w:rFonts w:hint="eastAsia" w:ascii="宋体" w:hAnsi="宋体" w:eastAsia="宋体" w:cs="宋体"/>
                <w:szCs w:val="22"/>
                <w:highlight w:val="none"/>
              </w:rPr>
            </w:pPr>
            <w:r>
              <w:rPr>
                <w:rFonts w:hint="eastAsia" w:ascii="宋体" w:hAnsi="宋体" w:eastAsia="宋体" w:cs="宋体"/>
                <w:szCs w:val="22"/>
                <w:highlight w:val="none"/>
              </w:rPr>
              <w:t>投标人提供</w:t>
            </w:r>
            <w:r>
              <w:rPr>
                <w:rFonts w:hint="eastAsia" w:ascii="宋体" w:hAnsi="宋体" w:eastAsia="宋体" w:cs="宋体"/>
                <w:szCs w:val="22"/>
                <w:highlight w:val="none"/>
                <w:shd w:val="clear"/>
              </w:rPr>
              <w:t>自</w:t>
            </w:r>
            <w:r>
              <w:rPr>
                <w:rFonts w:hint="eastAsia" w:ascii="宋体" w:hAnsi="宋体" w:eastAsia="宋体" w:cs="宋体"/>
                <w:szCs w:val="22"/>
                <w:highlight w:val="none"/>
                <w:shd w:val="clear" w:color="auto"/>
              </w:rPr>
              <w:t>20</w:t>
            </w:r>
            <w:r>
              <w:rPr>
                <w:rFonts w:hint="eastAsia" w:ascii="宋体" w:hAnsi="宋体" w:cs="宋体"/>
                <w:szCs w:val="22"/>
                <w:highlight w:val="none"/>
                <w:shd w:val="clear" w:color="auto"/>
                <w:lang w:val="en-US" w:eastAsia="zh-CN"/>
              </w:rPr>
              <w:t>21</w:t>
            </w:r>
            <w:r>
              <w:rPr>
                <w:rFonts w:hint="eastAsia" w:ascii="宋体" w:hAnsi="宋体" w:eastAsia="宋体" w:cs="宋体"/>
                <w:szCs w:val="22"/>
                <w:highlight w:val="none"/>
                <w:shd w:val="clear"/>
              </w:rPr>
              <w:t>年</w:t>
            </w:r>
            <w:r>
              <w:rPr>
                <w:rFonts w:hint="eastAsia" w:ascii="宋体" w:hAnsi="宋体" w:eastAsia="宋体" w:cs="宋体"/>
                <w:szCs w:val="22"/>
                <w:highlight w:val="none"/>
              </w:rPr>
              <w:t>1月1日（时间以合同签订时间为准）以来与本项目类似的</w:t>
            </w:r>
            <w:r>
              <w:rPr>
                <w:rFonts w:hint="eastAsia" w:ascii="宋体" w:hAnsi="宋体" w:cs="宋体"/>
                <w:szCs w:val="22"/>
                <w:highlight w:val="none"/>
                <w:lang w:val="en-US" w:eastAsia="zh-CN"/>
              </w:rPr>
              <w:t>供货</w:t>
            </w:r>
            <w:r>
              <w:rPr>
                <w:rFonts w:hint="eastAsia" w:ascii="宋体" w:hAnsi="宋体" w:eastAsia="宋体" w:cs="宋体"/>
                <w:szCs w:val="22"/>
                <w:highlight w:val="none"/>
              </w:rPr>
              <w:t>业绩，</w:t>
            </w:r>
            <w:r>
              <w:rPr>
                <w:rFonts w:hint="eastAsia" w:ascii="宋体" w:hAnsi="宋体" w:eastAsia="宋体" w:cs="Times New Roman"/>
                <w:kern w:val="0"/>
                <w:szCs w:val="21"/>
                <w:highlight w:val="none"/>
              </w:rPr>
              <w:t>每提供一份有效证明材料得</w:t>
            </w:r>
            <w:r>
              <w:rPr>
                <w:rFonts w:hint="eastAsia" w:ascii="宋体" w:hAnsi="宋体" w:cs="Times New Roman"/>
                <w:kern w:val="0"/>
                <w:szCs w:val="21"/>
                <w:highlight w:val="none"/>
                <w:lang w:val="en-US" w:eastAsia="zh-CN"/>
              </w:rPr>
              <w:t>1</w:t>
            </w:r>
            <w:r>
              <w:rPr>
                <w:rFonts w:hint="eastAsia" w:ascii="宋体" w:hAnsi="宋体" w:eastAsia="宋体" w:cs="Times New Roman"/>
                <w:kern w:val="0"/>
                <w:szCs w:val="21"/>
                <w:highlight w:val="none"/>
              </w:rPr>
              <w:t>分，最高得</w:t>
            </w:r>
            <w:r>
              <w:rPr>
                <w:rFonts w:hint="eastAsia" w:ascii="宋体" w:hAnsi="宋体" w:cs="Times New Roman"/>
                <w:kern w:val="0"/>
                <w:szCs w:val="21"/>
                <w:highlight w:val="none"/>
                <w:lang w:val="en-US" w:eastAsia="zh-CN"/>
              </w:rPr>
              <w:t>5</w:t>
            </w:r>
            <w:r>
              <w:rPr>
                <w:rFonts w:hint="eastAsia" w:ascii="宋体" w:hAnsi="宋体" w:eastAsia="宋体" w:cs="Times New Roman"/>
                <w:kern w:val="0"/>
                <w:szCs w:val="21"/>
                <w:highlight w:val="none"/>
              </w:rPr>
              <w:t>分</w:t>
            </w:r>
            <w:r>
              <w:rPr>
                <w:rFonts w:hint="eastAsia" w:ascii="宋体" w:hAnsi="宋体" w:eastAsia="宋体" w:cs="宋体"/>
                <w:szCs w:val="22"/>
                <w:highlight w:val="none"/>
              </w:rPr>
              <w:t>，未提供不得分。</w:t>
            </w:r>
          </w:p>
          <w:p>
            <w:pPr>
              <w:ind w:right="-21" w:rightChars="-10"/>
              <w:rPr>
                <w:rFonts w:hint="eastAsia" w:ascii="宋体" w:hAnsi="宋体" w:eastAsia="宋体" w:cs="宋体"/>
                <w:szCs w:val="22"/>
                <w:highlight w:val="none"/>
              </w:rPr>
            </w:pPr>
            <w:r>
              <w:rPr>
                <w:rFonts w:hint="eastAsia" w:ascii="Calibri" w:hAnsi="宋体" w:eastAsia="宋体" w:cs="Times New Roman"/>
                <w:b/>
                <w:szCs w:val="21"/>
                <w:highlight w:val="none"/>
              </w:rPr>
              <w:t>注：以上证明材料是指投标人提供的完整的供销合同或供货协议复印件，资料内容模糊无法辨认的则不予认定，如有缺漏或未提供则不得分。</w:t>
            </w:r>
          </w:p>
        </w:tc>
        <w:tc>
          <w:tcPr>
            <w:tcW w:w="946" w:type="dxa"/>
            <w:noWrap/>
            <w:vAlign w:val="center"/>
          </w:tcPr>
          <w:p>
            <w:pPr>
              <w:adjustRightInd w:val="0"/>
              <w:snapToGrid w:val="0"/>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718" w:type="dxa"/>
            <w:noWrap/>
            <w:vAlign w:val="center"/>
          </w:tcPr>
          <w:p>
            <w:pPr>
              <w:adjustRightInd w:val="0"/>
              <w:snapToGrid w:val="0"/>
              <w:jc w:val="center"/>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4</w:t>
            </w:r>
          </w:p>
        </w:tc>
        <w:tc>
          <w:tcPr>
            <w:tcW w:w="1327" w:type="dxa"/>
            <w:noWrap/>
            <w:vAlign w:val="center"/>
          </w:tcPr>
          <w:p>
            <w:pPr>
              <w:adjustRightInd w:val="0"/>
              <w:snapToGrid w:val="0"/>
              <w:jc w:val="center"/>
              <w:rPr>
                <w:rFonts w:hint="eastAsia" w:ascii="宋体" w:hAnsi="宋体" w:cs="宋体"/>
                <w:bCs/>
                <w:kern w:val="0"/>
                <w:szCs w:val="21"/>
                <w:highlight w:val="none"/>
              </w:rPr>
            </w:pPr>
            <w:r>
              <w:rPr>
                <w:rFonts w:hint="eastAsia" w:ascii="宋体" w:hAnsi="宋体"/>
                <w:bCs/>
                <w:snapToGrid w:val="0"/>
                <w:kern w:val="0"/>
                <w:szCs w:val="21"/>
                <w:highlight w:val="none"/>
              </w:rPr>
              <w:t>投标人专业技术生产能力</w:t>
            </w:r>
          </w:p>
        </w:tc>
        <w:tc>
          <w:tcPr>
            <w:tcW w:w="6203" w:type="dxa"/>
            <w:noWrap/>
            <w:vAlign w:val="center"/>
          </w:tcPr>
          <w:p>
            <w:pPr>
              <w:tabs>
                <w:tab w:val="left" w:pos="7088"/>
                <w:tab w:val="left" w:pos="7371"/>
              </w:tabs>
              <w:adjustRightInd w:val="0"/>
              <w:snapToGrid w:val="0"/>
              <w:spacing w:line="276" w:lineRule="auto"/>
              <w:rPr>
                <w:rFonts w:ascii="宋体" w:hAnsi="宋体" w:eastAsia="宋体" w:cs="Times New Roman"/>
                <w:bCs/>
                <w:snapToGrid w:val="0"/>
                <w:kern w:val="0"/>
                <w:szCs w:val="21"/>
                <w:highlight w:val="none"/>
              </w:rPr>
            </w:pPr>
            <w:r>
              <w:rPr>
                <w:rFonts w:hint="eastAsia" w:ascii="宋体" w:hAnsi="宋体" w:eastAsia="宋体" w:cs="Times New Roman"/>
                <w:bCs/>
                <w:snapToGrid w:val="0"/>
                <w:kern w:val="0"/>
                <w:szCs w:val="21"/>
                <w:highlight w:val="none"/>
              </w:rPr>
              <w:t>根据投标人或</w:t>
            </w:r>
            <w:r>
              <w:rPr>
                <w:rFonts w:hint="eastAsia" w:ascii="宋体" w:hAnsi="宋体" w:cs="Times New Roman"/>
                <w:bCs/>
                <w:snapToGrid w:val="0"/>
                <w:kern w:val="0"/>
                <w:szCs w:val="21"/>
                <w:highlight w:val="none"/>
                <w:lang w:val="en-US" w:eastAsia="zh-CN"/>
              </w:rPr>
              <w:t>所投设备的</w:t>
            </w:r>
            <w:r>
              <w:rPr>
                <w:rFonts w:hint="eastAsia" w:ascii="宋体" w:hAnsi="宋体" w:eastAsia="宋体" w:cs="Times New Roman"/>
                <w:bCs/>
                <w:snapToGrid w:val="0"/>
                <w:kern w:val="0"/>
                <w:szCs w:val="21"/>
                <w:highlight w:val="none"/>
              </w:rPr>
              <w:t>制造商专业技术生产能力（包括但不限于</w:t>
            </w:r>
            <w:r>
              <w:rPr>
                <w:rFonts w:hint="eastAsia" w:ascii="宋体" w:hAnsi="宋体" w:cs="Times New Roman"/>
                <w:bCs/>
                <w:snapToGrid w:val="0"/>
                <w:kern w:val="0"/>
                <w:szCs w:val="21"/>
                <w:highlight w:val="none"/>
                <w:lang w:val="en-US" w:eastAsia="zh-CN"/>
              </w:rPr>
              <w:t>a.</w:t>
            </w:r>
            <w:r>
              <w:rPr>
                <w:rFonts w:hint="eastAsia" w:ascii="宋体" w:hAnsi="宋体" w:eastAsia="宋体" w:cs="Times New Roman"/>
                <w:bCs/>
                <w:snapToGrid w:val="0"/>
                <w:kern w:val="0"/>
                <w:szCs w:val="21"/>
                <w:highlight w:val="none"/>
              </w:rPr>
              <w:t>自主研发能力、生产工艺和生产步骤；</w:t>
            </w:r>
            <w:r>
              <w:rPr>
                <w:rFonts w:hint="eastAsia" w:ascii="宋体" w:hAnsi="宋体" w:cs="Times New Roman"/>
                <w:bCs/>
                <w:snapToGrid w:val="0"/>
                <w:kern w:val="0"/>
                <w:szCs w:val="21"/>
                <w:highlight w:val="none"/>
                <w:lang w:val="en-US" w:eastAsia="zh-CN"/>
              </w:rPr>
              <w:t>b.</w:t>
            </w:r>
            <w:r>
              <w:rPr>
                <w:rFonts w:hint="eastAsia" w:ascii="宋体" w:hAnsi="宋体" w:eastAsia="宋体" w:cs="Times New Roman"/>
                <w:bCs/>
                <w:snapToGrid w:val="0"/>
                <w:kern w:val="0"/>
                <w:szCs w:val="21"/>
                <w:highlight w:val="none"/>
              </w:rPr>
              <w:t>产品检验；</w:t>
            </w:r>
            <w:r>
              <w:rPr>
                <w:rFonts w:hint="eastAsia" w:ascii="宋体" w:hAnsi="宋体" w:cs="Times New Roman"/>
                <w:kern w:val="0"/>
                <w:szCs w:val="21"/>
                <w:highlight w:val="none"/>
                <w:lang w:val="en-US" w:eastAsia="zh-CN"/>
              </w:rPr>
              <w:t>c.</w:t>
            </w:r>
            <w:r>
              <w:rPr>
                <w:rFonts w:hint="eastAsia" w:ascii="宋体" w:hAnsi="宋体" w:eastAsia="宋体" w:cs="Times New Roman"/>
                <w:bCs/>
                <w:snapToGrid w:val="0"/>
                <w:kern w:val="0"/>
                <w:szCs w:val="21"/>
                <w:highlight w:val="none"/>
              </w:rPr>
              <w:t>专业技术人员配备情况；</w:t>
            </w:r>
            <w:r>
              <w:rPr>
                <w:rFonts w:hint="eastAsia" w:ascii="宋体" w:hAnsi="宋体" w:cs="Times New Roman"/>
                <w:bCs/>
                <w:snapToGrid w:val="0"/>
                <w:kern w:val="0"/>
                <w:szCs w:val="21"/>
                <w:highlight w:val="none"/>
                <w:lang w:val="en-US" w:eastAsia="zh-CN"/>
              </w:rPr>
              <w:t>d.</w:t>
            </w:r>
            <w:r>
              <w:rPr>
                <w:rFonts w:hint="eastAsia" w:ascii="宋体" w:hAnsi="宋体" w:eastAsia="宋体" w:cs="Times New Roman"/>
                <w:bCs/>
                <w:snapToGrid w:val="0"/>
                <w:kern w:val="0"/>
                <w:szCs w:val="21"/>
                <w:highlight w:val="none"/>
              </w:rPr>
              <w:t>生产车间环境及详细的实际生产等）进行评审：</w:t>
            </w:r>
          </w:p>
          <w:p>
            <w:pPr>
              <w:rPr>
                <w:rFonts w:hint="eastAsia" w:ascii="Calibri" w:hAnsi="宋体" w:eastAsia="宋体" w:cs="Times New Roman"/>
                <w:b/>
                <w:szCs w:val="21"/>
                <w:highlight w:val="none"/>
              </w:rPr>
            </w:pPr>
            <w:r>
              <w:rPr>
                <w:rFonts w:hint="eastAsia" w:ascii="宋体" w:hAnsi="宋体" w:eastAsia="宋体" w:cs="Times New Roman"/>
                <w:bCs/>
                <w:snapToGrid w:val="0"/>
                <w:kern w:val="0"/>
                <w:szCs w:val="21"/>
                <w:highlight w:val="none"/>
              </w:rPr>
              <w:t>投标人提供的专业技术生产能力方案，有完整的文字说明、图纸及实景照片，详细的检验设备设施及流程，专业技术人员岗位配置涵盖材料采购、生产、检验、仓储、运输等各环节、具有针对性，配备人员专业技术能力强且经验丰富，人员对应的专业证书提供齐全的得</w:t>
            </w:r>
            <w:r>
              <w:rPr>
                <w:rFonts w:hint="eastAsia" w:ascii="宋体" w:hAnsi="宋体" w:cs="Times New Roman"/>
                <w:bCs/>
                <w:snapToGrid w:val="0"/>
                <w:kern w:val="0"/>
                <w:szCs w:val="21"/>
                <w:highlight w:val="none"/>
                <w:lang w:val="en-US" w:eastAsia="zh-CN"/>
              </w:rPr>
              <w:t>8</w:t>
            </w:r>
            <w:r>
              <w:rPr>
                <w:rFonts w:hint="eastAsia" w:ascii="宋体" w:hAnsi="宋体" w:eastAsia="宋体" w:cs="Times New Roman"/>
                <w:bCs/>
                <w:snapToGrid w:val="0"/>
                <w:kern w:val="0"/>
                <w:szCs w:val="21"/>
                <w:highlight w:val="none"/>
              </w:rPr>
              <w:t>分；每有一项内容缺失与本项目无关的扣</w:t>
            </w:r>
            <w:r>
              <w:rPr>
                <w:rFonts w:hint="eastAsia" w:ascii="宋体" w:hAnsi="宋体" w:cs="Times New Roman"/>
                <w:bCs/>
                <w:snapToGrid w:val="0"/>
                <w:kern w:val="0"/>
                <w:szCs w:val="21"/>
                <w:highlight w:val="none"/>
                <w:lang w:val="en-US" w:eastAsia="zh-CN"/>
              </w:rPr>
              <w:t>2</w:t>
            </w:r>
            <w:r>
              <w:rPr>
                <w:rFonts w:hint="eastAsia" w:ascii="宋体" w:hAnsi="宋体" w:eastAsia="宋体" w:cs="Times New Roman"/>
                <w:bCs/>
                <w:snapToGrid w:val="0"/>
                <w:kern w:val="0"/>
                <w:szCs w:val="21"/>
                <w:highlight w:val="none"/>
              </w:rPr>
              <w:t>分；每有一项内容无法满足本项目需求或有缺陷的扣</w:t>
            </w:r>
            <w:r>
              <w:rPr>
                <w:rFonts w:ascii="宋体" w:hAnsi="宋体" w:eastAsia="宋体" w:cs="Times New Roman"/>
                <w:bCs/>
                <w:snapToGrid w:val="0"/>
                <w:kern w:val="0"/>
                <w:szCs w:val="21"/>
                <w:highlight w:val="none"/>
              </w:rPr>
              <w:t>0.5</w:t>
            </w:r>
            <w:r>
              <w:rPr>
                <w:rFonts w:hint="eastAsia" w:ascii="宋体" w:hAnsi="宋体" w:eastAsia="宋体" w:cs="Times New Roman"/>
                <w:bCs/>
                <w:snapToGrid w:val="0"/>
                <w:kern w:val="0"/>
                <w:szCs w:val="21"/>
                <w:highlight w:val="none"/>
              </w:rPr>
              <w:t>分，直至扣完</w:t>
            </w:r>
            <w:r>
              <w:rPr>
                <w:rFonts w:hint="eastAsia" w:ascii="宋体" w:hAnsi="宋体" w:cs="Times New Roman"/>
                <w:bCs/>
                <w:snapToGrid w:val="0"/>
                <w:kern w:val="0"/>
                <w:szCs w:val="21"/>
                <w:highlight w:val="none"/>
                <w:lang w:val="en-US" w:eastAsia="zh-CN"/>
              </w:rPr>
              <w:t>8</w:t>
            </w:r>
            <w:r>
              <w:rPr>
                <w:rFonts w:hint="eastAsia" w:ascii="宋体" w:hAnsi="宋体" w:eastAsia="宋体" w:cs="Times New Roman"/>
                <w:bCs/>
                <w:snapToGrid w:val="0"/>
                <w:kern w:val="0"/>
                <w:szCs w:val="21"/>
                <w:highlight w:val="none"/>
              </w:rPr>
              <w:t>分为止。</w:t>
            </w:r>
          </w:p>
        </w:tc>
        <w:tc>
          <w:tcPr>
            <w:tcW w:w="946" w:type="dxa"/>
            <w:noWrap/>
            <w:vAlign w:val="center"/>
          </w:tcPr>
          <w:p>
            <w:pPr>
              <w:adjustRightInd w:val="0"/>
              <w:snapToGrid w:val="0"/>
              <w:jc w:val="center"/>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8" w:type="dxa"/>
            <w:noWrap/>
            <w:vAlign w:val="center"/>
          </w:tcPr>
          <w:p>
            <w:pPr>
              <w:adjustRightInd w:val="0"/>
              <w:snapToGrid w:val="0"/>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5</w:t>
            </w:r>
          </w:p>
        </w:tc>
        <w:tc>
          <w:tcPr>
            <w:tcW w:w="1327" w:type="dxa"/>
            <w:noWrap/>
            <w:vAlign w:val="center"/>
          </w:tcPr>
          <w:p>
            <w:pPr>
              <w:adjustRightInd w:val="0"/>
              <w:snapToGrid w:val="0"/>
              <w:jc w:val="center"/>
              <w:rPr>
                <w:rFonts w:hint="eastAsia" w:ascii="宋体" w:hAnsi="宋体" w:eastAsia="宋体" w:cs="宋体"/>
                <w:color w:val="000000"/>
                <w:szCs w:val="21"/>
                <w:highlight w:val="none"/>
              </w:rPr>
            </w:pPr>
            <w:r>
              <w:rPr>
                <w:rFonts w:hint="eastAsia" w:ascii="宋体" w:hAnsi="宋体" w:cs="宋体"/>
                <w:bCs/>
                <w:kern w:val="0"/>
                <w:szCs w:val="21"/>
                <w:highlight w:val="none"/>
                <w:lang w:val="en-US" w:eastAsia="zh-CN"/>
              </w:rPr>
              <w:t>设备</w:t>
            </w:r>
            <w:r>
              <w:rPr>
                <w:rFonts w:hint="eastAsia" w:ascii="宋体" w:hAnsi="宋体" w:cs="宋体"/>
                <w:bCs/>
                <w:kern w:val="0"/>
                <w:szCs w:val="21"/>
                <w:highlight w:val="none"/>
              </w:rPr>
              <w:t>整体性能介绍及描述</w:t>
            </w:r>
          </w:p>
        </w:tc>
        <w:tc>
          <w:tcPr>
            <w:tcW w:w="6203" w:type="dxa"/>
            <w:noWrap/>
            <w:vAlign w:val="center"/>
          </w:tcPr>
          <w:p>
            <w:pPr>
              <w:spacing w:line="276" w:lineRule="auto"/>
              <w:rPr>
                <w:rFonts w:ascii="宋体" w:hAnsi="宋体" w:eastAsia="宋体" w:cs="Times New Roman"/>
                <w:kern w:val="0"/>
                <w:szCs w:val="21"/>
                <w:highlight w:val="none"/>
              </w:rPr>
            </w:pPr>
            <w:r>
              <w:rPr>
                <w:rFonts w:hint="eastAsia" w:ascii="宋体" w:hAnsi="宋体" w:eastAsia="宋体" w:cs="Times New Roman"/>
                <w:kern w:val="0"/>
                <w:szCs w:val="21"/>
                <w:highlight w:val="none"/>
                <w:lang w:val="en-US" w:eastAsia="zh-CN"/>
              </w:rPr>
              <w:t>1</w:t>
            </w:r>
            <w:r>
              <w:rPr>
                <w:rFonts w:hint="eastAsia" w:ascii="宋体" w:hAnsi="宋体" w:eastAsia="宋体" w:cs="Times New Roman"/>
                <w:kern w:val="0"/>
                <w:szCs w:val="21"/>
                <w:highlight w:val="none"/>
              </w:rPr>
              <w:t>、依据投标人所投</w:t>
            </w:r>
            <w:r>
              <w:rPr>
                <w:rFonts w:hint="eastAsia" w:ascii="宋体" w:hAnsi="宋体" w:cs="Times New Roman"/>
                <w:kern w:val="0"/>
                <w:szCs w:val="21"/>
                <w:highlight w:val="none"/>
                <w:lang w:val="en-US" w:eastAsia="zh-CN"/>
              </w:rPr>
              <w:t>设备</w:t>
            </w:r>
            <w:r>
              <w:rPr>
                <w:rFonts w:hint="eastAsia" w:ascii="宋体" w:hAnsi="宋体" w:eastAsia="宋体" w:cs="Times New Roman"/>
                <w:kern w:val="0"/>
                <w:szCs w:val="21"/>
                <w:highlight w:val="none"/>
              </w:rPr>
              <w:t>制造工艺情况进行评审</w:t>
            </w:r>
            <w:r>
              <w:rPr>
                <w:rFonts w:hint="eastAsia" w:ascii="宋体" w:hAnsi="宋体" w:cs="Times New Roman"/>
                <w:kern w:val="0"/>
                <w:szCs w:val="21"/>
                <w:highlight w:val="none"/>
                <w:lang w:eastAsia="zh-CN"/>
              </w:rPr>
              <w:t>：</w:t>
            </w:r>
            <w:r>
              <w:rPr>
                <w:rFonts w:hint="eastAsia" w:ascii="宋体" w:hAnsi="宋体" w:cs="Times New Roman"/>
                <w:kern w:val="0"/>
                <w:szCs w:val="21"/>
                <w:highlight w:val="none"/>
                <w:u w:val="none"/>
                <w:lang w:val="en-US" w:eastAsia="zh-CN"/>
              </w:rPr>
              <w:t>a.提供所投设备关键部件的所用材料说明。b.提供所投设备制造过程中的质量控制措施，包括原材料检验、零部件加工过程检验、装配过程检验等环节的质量控制方法。c.提供所投设备成品出厂前的最终检验工艺和标准，包括外观检查、性能测试、可靠性试验等方面</w:t>
            </w:r>
            <w:r>
              <w:rPr>
                <w:rFonts w:hint="eastAsia" w:ascii="宋体" w:hAnsi="宋体" w:eastAsia="宋体" w:cs="Times New Roman"/>
                <w:kern w:val="0"/>
                <w:szCs w:val="21"/>
                <w:highlight w:val="none"/>
              </w:rPr>
              <w:t>进行评审，满分</w:t>
            </w:r>
            <w:r>
              <w:rPr>
                <w:rFonts w:hint="eastAsia" w:ascii="宋体" w:hAnsi="宋体" w:cs="Times New Roman"/>
                <w:kern w:val="0"/>
                <w:szCs w:val="21"/>
                <w:highlight w:val="none"/>
                <w:lang w:val="en-US" w:eastAsia="zh-CN"/>
              </w:rPr>
              <w:t>3</w:t>
            </w:r>
            <w:r>
              <w:rPr>
                <w:rFonts w:hint="eastAsia" w:ascii="宋体" w:hAnsi="宋体" w:eastAsia="宋体" w:cs="Times New Roman"/>
                <w:kern w:val="0"/>
                <w:szCs w:val="21"/>
                <w:highlight w:val="none"/>
              </w:rPr>
              <w:t>分，投标人应在投标文件中设置专节来对上述内容作出响应性说明</w:t>
            </w:r>
            <w:r>
              <w:rPr>
                <w:rFonts w:hint="eastAsia" w:ascii="宋体" w:hAnsi="宋体" w:eastAsia="宋体" w:cs="Times New Roman"/>
                <w:b/>
                <w:kern w:val="0"/>
                <w:szCs w:val="21"/>
                <w:highlight w:val="none"/>
              </w:rPr>
              <w:t>（所谓专节是指投标文件中设有对应小标题的一节，下同）</w:t>
            </w:r>
            <w:r>
              <w:rPr>
                <w:rFonts w:hint="eastAsia" w:ascii="宋体" w:hAnsi="宋体" w:eastAsia="宋体" w:cs="Times New Roman"/>
                <w:kern w:val="0"/>
                <w:szCs w:val="21"/>
                <w:highlight w:val="none"/>
              </w:rPr>
              <w:t>，每缺一项说明扣</w:t>
            </w:r>
            <w:r>
              <w:rPr>
                <w:rFonts w:hint="eastAsia" w:ascii="宋体" w:hAnsi="宋体" w:cs="Times New Roman"/>
                <w:kern w:val="0"/>
                <w:szCs w:val="21"/>
                <w:highlight w:val="none"/>
                <w:lang w:val="en-US" w:eastAsia="zh-CN"/>
              </w:rPr>
              <w:t>1</w:t>
            </w:r>
            <w:r>
              <w:rPr>
                <w:rFonts w:hint="eastAsia" w:ascii="宋体" w:hAnsi="宋体" w:eastAsia="宋体" w:cs="Times New Roman"/>
                <w:kern w:val="0"/>
                <w:szCs w:val="21"/>
                <w:highlight w:val="none"/>
              </w:rPr>
              <w:t>分，每项中出现一处不完善或不合理扣减0.</w:t>
            </w:r>
            <w:r>
              <w:rPr>
                <w:rFonts w:hint="eastAsia" w:ascii="宋体" w:hAnsi="宋体" w:cs="Times New Roman"/>
                <w:kern w:val="0"/>
                <w:szCs w:val="21"/>
                <w:highlight w:val="none"/>
                <w:lang w:val="en-US" w:eastAsia="zh-CN"/>
              </w:rPr>
              <w:t>5</w:t>
            </w:r>
            <w:r>
              <w:rPr>
                <w:rFonts w:hint="eastAsia" w:ascii="宋体" w:hAnsi="宋体" w:eastAsia="宋体" w:cs="Times New Roman"/>
                <w:kern w:val="0"/>
                <w:szCs w:val="21"/>
                <w:highlight w:val="none"/>
              </w:rPr>
              <w:t>分，扣完</w:t>
            </w:r>
            <w:r>
              <w:rPr>
                <w:rFonts w:hint="eastAsia" w:ascii="宋体" w:hAnsi="宋体" w:cs="Times New Roman"/>
                <w:kern w:val="0"/>
                <w:szCs w:val="21"/>
                <w:highlight w:val="none"/>
                <w:lang w:val="en-US" w:eastAsia="zh-CN"/>
              </w:rPr>
              <w:t>3</w:t>
            </w:r>
            <w:r>
              <w:rPr>
                <w:rFonts w:hint="eastAsia" w:ascii="宋体" w:hAnsi="宋体" w:eastAsia="宋体" w:cs="Times New Roman"/>
                <w:kern w:val="0"/>
                <w:szCs w:val="21"/>
                <w:highlight w:val="none"/>
              </w:rPr>
              <w:t>分为止。</w:t>
            </w:r>
          </w:p>
          <w:p>
            <w:pPr>
              <w:spacing w:line="276" w:lineRule="auto"/>
              <w:rPr>
                <w:rFonts w:ascii="宋体" w:hAnsi="宋体" w:eastAsia="宋体" w:cs="Times New Roman"/>
                <w:kern w:val="0"/>
                <w:szCs w:val="21"/>
                <w:highlight w:val="none"/>
              </w:rPr>
            </w:pPr>
            <w:r>
              <w:rPr>
                <w:rFonts w:hint="eastAsia" w:ascii="宋体" w:hAnsi="宋体" w:eastAsia="宋体" w:cs="Times New Roman"/>
                <w:kern w:val="0"/>
                <w:szCs w:val="21"/>
                <w:highlight w:val="none"/>
                <w:lang w:val="en-US" w:eastAsia="zh-CN"/>
              </w:rPr>
              <w:t>2</w:t>
            </w:r>
            <w:r>
              <w:rPr>
                <w:rFonts w:hint="eastAsia" w:ascii="宋体" w:hAnsi="宋体" w:eastAsia="宋体" w:cs="Times New Roman"/>
                <w:kern w:val="0"/>
                <w:szCs w:val="21"/>
                <w:highlight w:val="none"/>
              </w:rPr>
              <w:t>、依据投标人提供的</w:t>
            </w:r>
            <w:r>
              <w:rPr>
                <w:rFonts w:hint="eastAsia" w:ascii="宋体" w:hAnsi="宋体" w:cs="Times New Roman"/>
                <w:kern w:val="0"/>
                <w:szCs w:val="21"/>
                <w:highlight w:val="none"/>
                <w:lang w:val="en-US" w:eastAsia="zh-CN"/>
              </w:rPr>
              <w:t>设备</w:t>
            </w:r>
            <w:r>
              <w:rPr>
                <w:rFonts w:hint="eastAsia" w:ascii="宋体" w:hAnsi="宋体" w:eastAsia="宋体" w:cs="Times New Roman"/>
                <w:kern w:val="0"/>
                <w:szCs w:val="21"/>
                <w:highlight w:val="none"/>
              </w:rPr>
              <w:t>主要组成部件配置进行评审，包括</w:t>
            </w:r>
            <w:r>
              <w:rPr>
                <w:rFonts w:hint="eastAsia" w:ascii="宋体" w:hAnsi="宋体" w:eastAsia="宋体" w:cs="Times New Roman"/>
                <w:kern w:val="0"/>
                <w:szCs w:val="21"/>
                <w:highlight w:val="none"/>
                <w:u w:val="single"/>
              </w:rPr>
              <w:t>a.配置齐全性b.选型合理性c.技术适配性</w:t>
            </w:r>
            <w:r>
              <w:rPr>
                <w:rFonts w:hint="eastAsia" w:ascii="宋体" w:hAnsi="宋体" w:eastAsia="宋体" w:cs="Times New Roman"/>
                <w:kern w:val="0"/>
                <w:szCs w:val="21"/>
                <w:highlight w:val="none"/>
              </w:rPr>
              <w:t>等。满分</w:t>
            </w:r>
            <w:r>
              <w:rPr>
                <w:rFonts w:hint="eastAsia" w:ascii="宋体" w:hAnsi="宋体" w:cs="Times New Roman"/>
                <w:kern w:val="0"/>
                <w:szCs w:val="21"/>
                <w:highlight w:val="none"/>
                <w:lang w:val="en-US" w:eastAsia="zh-CN"/>
              </w:rPr>
              <w:t>6</w:t>
            </w:r>
            <w:r>
              <w:rPr>
                <w:rFonts w:hint="eastAsia" w:ascii="宋体" w:hAnsi="宋体" w:eastAsia="宋体" w:cs="Times New Roman"/>
                <w:kern w:val="0"/>
                <w:szCs w:val="21"/>
                <w:highlight w:val="none"/>
              </w:rPr>
              <w:t>分，投标人应在投标文件中设置专节来对上述内容作出响应性说明，每缺一项说明扣</w:t>
            </w:r>
            <w:r>
              <w:rPr>
                <w:rFonts w:hint="eastAsia" w:ascii="宋体" w:hAnsi="宋体" w:cs="Times New Roman"/>
                <w:kern w:val="0"/>
                <w:szCs w:val="21"/>
                <w:highlight w:val="none"/>
                <w:lang w:val="en-US" w:eastAsia="zh-CN"/>
              </w:rPr>
              <w:t>2</w:t>
            </w:r>
            <w:r>
              <w:rPr>
                <w:rFonts w:hint="eastAsia" w:ascii="宋体" w:hAnsi="宋体" w:eastAsia="宋体" w:cs="Times New Roman"/>
                <w:kern w:val="0"/>
                <w:szCs w:val="21"/>
                <w:highlight w:val="none"/>
              </w:rPr>
              <w:t>分，每项中出现一处不完善或不合理扣减0.5分，扣完</w:t>
            </w:r>
            <w:r>
              <w:rPr>
                <w:rFonts w:hint="eastAsia" w:ascii="宋体" w:hAnsi="宋体" w:cs="Times New Roman"/>
                <w:kern w:val="0"/>
                <w:szCs w:val="21"/>
                <w:highlight w:val="none"/>
                <w:lang w:val="en-US" w:eastAsia="zh-CN"/>
              </w:rPr>
              <w:t>6</w:t>
            </w:r>
            <w:r>
              <w:rPr>
                <w:rFonts w:hint="eastAsia" w:ascii="宋体" w:hAnsi="宋体" w:eastAsia="宋体" w:cs="Times New Roman"/>
                <w:kern w:val="0"/>
                <w:szCs w:val="21"/>
                <w:highlight w:val="none"/>
              </w:rPr>
              <w:t>分为止。</w:t>
            </w:r>
          </w:p>
          <w:p>
            <w:pPr>
              <w:spacing w:line="276" w:lineRule="auto"/>
              <w:rPr>
                <w:rFonts w:ascii="宋体" w:hAnsi="宋体" w:eastAsia="宋体" w:cs="Times New Roman"/>
                <w:kern w:val="0"/>
                <w:szCs w:val="21"/>
                <w:highlight w:val="none"/>
              </w:rPr>
            </w:pPr>
            <w:r>
              <w:rPr>
                <w:rFonts w:hint="eastAsia" w:ascii="宋体" w:hAnsi="宋体" w:eastAsia="宋体" w:cs="Times New Roman"/>
                <w:kern w:val="0"/>
                <w:szCs w:val="21"/>
                <w:highlight w:val="none"/>
                <w:lang w:val="en-US" w:eastAsia="zh-CN"/>
              </w:rPr>
              <w:t>3</w:t>
            </w:r>
            <w:r>
              <w:rPr>
                <w:rFonts w:hint="eastAsia" w:ascii="宋体" w:hAnsi="宋体" w:eastAsia="宋体" w:cs="Times New Roman"/>
                <w:kern w:val="0"/>
                <w:szCs w:val="21"/>
                <w:highlight w:val="none"/>
              </w:rPr>
              <w:t>、依据投标人所提供的主体设备及其关联辅助设备在操控性方面的表现进行综合评审</w:t>
            </w:r>
            <w:r>
              <w:rPr>
                <w:rFonts w:hint="eastAsia" w:ascii="宋体" w:hAnsi="宋体" w:eastAsia="宋体" w:cs="Times New Roman"/>
                <w:kern w:val="0"/>
                <w:szCs w:val="21"/>
                <w:highlight w:val="none"/>
                <w:u w:val="single"/>
              </w:rPr>
              <w:t>a.可靠性b.易用性c.易维护</w:t>
            </w:r>
            <w:r>
              <w:rPr>
                <w:rFonts w:hint="eastAsia" w:ascii="宋体" w:hAnsi="宋体" w:eastAsia="宋体" w:cs="Times New Roman"/>
                <w:kern w:val="0"/>
                <w:szCs w:val="21"/>
                <w:highlight w:val="none"/>
              </w:rPr>
              <w:t>等性能进行评审，满分</w:t>
            </w:r>
            <w:r>
              <w:rPr>
                <w:rFonts w:hint="eastAsia" w:ascii="宋体" w:hAnsi="宋体" w:cs="Times New Roman"/>
                <w:kern w:val="0"/>
                <w:szCs w:val="21"/>
                <w:highlight w:val="none"/>
                <w:lang w:val="en-US" w:eastAsia="zh-CN"/>
              </w:rPr>
              <w:t>6</w:t>
            </w:r>
            <w:r>
              <w:rPr>
                <w:rFonts w:hint="eastAsia" w:ascii="宋体" w:hAnsi="宋体" w:eastAsia="宋体" w:cs="Times New Roman"/>
                <w:kern w:val="0"/>
                <w:szCs w:val="21"/>
                <w:highlight w:val="none"/>
              </w:rPr>
              <w:t>分，投标人应在投标文件中设置专节来对上述内容作出响应性说明，每缺一项说明扣</w:t>
            </w:r>
            <w:r>
              <w:rPr>
                <w:rFonts w:hint="eastAsia" w:ascii="宋体" w:hAnsi="宋体" w:cs="Times New Roman"/>
                <w:kern w:val="0"/>
                <w:szCs w:val="21"/>
                <w:highlight w:val="none"/>
                <w:lang w:val="en-US" w:eastAsia="zh-CN"/>
              </w:rPr>
              <w:t>2</w:t>
            </w:r>
            <w:r>
              <w:rPr>
                <w:rFonts w:hint="eastAsia" w:ascii="宋体" w:hAnsi="宋体" w:eastAsia="宋体" w:cs="Times New Roman"/>
                <w:kern w:val="0"/>
                <w:szCs w:val="21"/>
                <w:highlight w:val="none"/>
              </w:rPr>
              <w:t>分，每项中出现一处不完善或不合理扣减0.5分，扣完</w:t>
            </w:r>
            <w:r>
              <w:rPr>
                <w:rFonts w:hint="eastAsia" w:ascii="宋体" w:hAnsi="宋体" w:cs="Times New Roman"/>
                <w:kern w:val="0"/>
                <w:szCs w:val="21"/>
                <w:highlight w:val="none"/>
                <w:lang w:val="en-US" w:eastAsia="zh-CN"/>
              </w:rPr>
              <w:t>6</w:t>
            </w:r>
            <w:r>
              <w:rPr>
                <w:rFonts w:hint="eastAsia" w:ascii="宋体" w:hAnsi="宋体" w:eastAsia="宋体" w:cs="Times New Roman"/>
                <w:kern w:val="0"/>
                <w:szCs w:val="21"/>
                <w:highlight w:val="none"/>
              </w:rPr>
              <w:t xml:space="preserve">分为止。 </w:t>
            </w:r>
          </w:p>
          <w:p>
            <w:pPr>
              <w:ind w:right="-21" w:rightChars="-10"/>
              <w:rPr>
                <w:rFonts w:hint="eastAsia" w:ascii="宋体" w:hAnsi="宋体" w:eastAsia="宋体" w:cs="宋体"/>
                <w:szCs w:val="22"/>
                <w:highlight w:val="none"/>
              </w:rPr>
            </w:pPr>
            <w:r>
              <w:rPr>
                <w:rFonts w:hint="eastAsia" w:ascii="宋体" w:hAnsi="宋体" w:eastAsia="宋体" w:cs="Times New Roman"/>
                <w:kern w:val="0"/>
                <w:szCs w:val="21"/>
                <w:highlight w:val="none"/>
                <w:lang w:val="en-US" w:eastAsia="zh-CN"/>
              </w:rPr>
              <w:t>4</w:t>
            </w:r>
            <w:r>
              <w:rPr>
                <w:rFonts w:hint="eastAsia" w:ascii="宋体" w:hAnsi="宋体" w:eastAsia="宋体" w:cs="Times New Roman"/>
                <w:kern w:val="0"/>
                <w:szCs w:val="21"/>
                <w:highlight w:val="none"/>
              </w:rPr>
              <w:t>、依据投标人提供的</w:t>
            </w:r>
            <w:r>
              <w:rPr>
                <w:rFonts w:hint="eastAsia" w:ascii="宋体" w:hAnsi="宋体" w:cs="Times New Roman"/>
                <w:kern w:val="0"/>
                <w:szCs w:val="21"/>
                <w:highlight w:val="none"/>
                <w:lang w:val="en-US" w:eastAsia="zh-CN"/>
              </w:rPr>
              <w:t>设备质量保证及实施方案</w:t>
            </w:r>
            <w:r>
              <w:rPr>
                <w:rFonts w:hint="eastAsia" w:ascii="宋体" w:hAnsi="宋体" w:eastAsia="宋体" w:cs="Times New Roman"/>
                <w:kern w:val="0"/>
                <w:szCs w:val="21"/>
                <w:highlight w:val="none"/>
                <w:u w:val="single"/>
              </w:rPr>
              <w:t>a.</w:t>
            </w:r>
            <w:r>
              <w:rPr>
                <w:rFonts w:hint="eastAsia" w:ascii="宋体" w:hAnsi="宋体" w:cs="Times New Roman"/>
                <w:kern w:val="0"/>
                <w:szCs w:val="21"/>
                <w:highlight w:val="none"/>
                <w:u w:val="single"/>
                <w:lang w:val="en-US" w:eastAsia="zh-CN"/>
              </w:rPr>
              <w:t>质量保证措施</w:t>
            </w:r>
            <w:r>
              <w:rPr>
                <w:rFonts w:hint="eastAsia" w:ascii="宋体" w:hAnsi="宋体" w:eastAsia="宋体" w:cs="Times New Roman"/>
                <w:kern w:val="0"/>
                <w:szCs w:val="21"/>
                <w:highlight w:val="none"/>
                <w:u w:val="single"/>
              </w:rPr>
              <w:t>b.安装调试方案c.供货进度计划</w:t>
            </w:r>
            <w:r>
              <w:rPr>
                <w:rFonts w:hint="eastAsia" w:ascii="宋体" w:hAnsi="宋体" w:cs="Times New Roman"/>
                <w:kern w:val="0"/>
                <w:szCs w:val="21"/>
                <w:highlight w:val="none"/>
                <w:u w:val="single"/>
                <w:lang w:val="en-US" w:eastAsia="zh-CN"/>
              </w:rPr>
              <w:t>及</w:t>
            </w:r>
            <w:r>
              <w:rPr>
                <w:rFonts w:hint="eastAsia" w:ascii="宋体" w:hAnsi="宋体" w:eastAsia="宋体" w:cs="Times New Roman"/>
                <w:kern w:val="0"/>
                <w:szCs w:val="21"/>
                <w:highlight w:val="none"/>
                <w:u w:val="single"/>
              </w:rPr>
              <w:t>运输保障</w:t>
            </w:r>
            <w:r>
              <w:rPr>
                <w:rFonts w:hint="eastAsia" w:ascii="宋体" w:hAnsi="宋体" w:eastAsia="宋体" w:cs="Times New Roman"/>
                <w:kern w:val="0"/>
                <w:szCs w:val="21"/>
                <w:highlight w:val="none"/>
              </w:rPr>
              <w:t>等情况进行评审，满分</w:t>
            </w:r>
            <w:r>
              <w:rPr>
                <w:rFonts w:hint="eastAsia" w:ascii="宋体" w:hAnsi="宋体" w:cs="Times New Roman"/>
                <w:kern w:val="0"/>
                <w:szCs w:val="21"/>
                <w:highlight w:val="none"/>
                <w:lang w:val="en-US" w:eastAsia="zh-CN"/>
              </w:rPr>
              <w:t>6</w:t>
            </w:r>
            <w:r>
              <w:rPr>
                <w:rFonts w:hint="eastAsia" w:ascii="宋体" w:hAnsi="宋体" w:eastAsia="宋体" w:cs="Times New Roman"/>
                <w:kern w:val="0"/>
                <w:szCs w:val="21"/>
                <w:highlight w:val="none"/>
              </w:rPr>
              <w:t>分，投标人应在投标文件中设置专节来对上述内容作出响应性说明，每缺一项说明扣</w:t>
            </w:r>
            <w:r>
              <w:rPr>
                <w:rFonts w:hint="eastAsia" w:ascii="宋体" w:hAnsi="宋体" w:cs="Times New Roman"/>
                <w:kern w:val="0"/>
                <w:szCs w:val="21"/>
                <w:highlight w:val="none"/>
                <w:lang w:val="en-US" w:eastAsia="zh-CN"/>
              </w:rPr>
              <w:t>2</w:t>
            </w:r>
            <w:r>
              <w:rPr>
                <w:rFonts w:hint="eastAsia" w:ascii="宋体" w:hAnsi="宋体" w:eastAsia="宋体" w:cs="Times New Roman"/>
                <w:kern w:val="0"/>
                <w:szCs w:val="21"/>
                <w:highlight w:val="none"/>
              </w:rPr>
              <w:t>分，每项中出现一处不完善或不合理扣减0.5分，扣完</w:t>
            </w:r>
            <w:r>
              <w:rPr>
                <w:rFonts w:hint="eastAsia" w:ascii="宋体" w:hAnsi="宋体" w:cs="Times New Roman"/>
                <w:kern w:val="0"/>
                <w:szCs w:val="21"/>
                <w:highlight w:val="none"/>
                <w:lang w:val="en-US" w:eastAsia="zh-CN"/>
              </w:rPr>
              <w:t>6</w:t>
            </w:r>
            <w:r>
              <w:rPr>
                <w:rFonts w:hint="eastAsia" w:ascii="宋体" w:hAnsi="宋体" w:eastAsia="宋体" w:cs="Times New Roman"/>
                <w:kern w:val="0"/>
                <w:szCs w:val="21"/>
                <w:highlight w:val="none"/>
              </w:rPr>
              <w:t>分为止。</w:t>
            </w:r>
          </w:p>
        </w:tc>
        <w:tc>
          <w:tcPr>
            <w:tcW w:w="946" w:type="dxa"/>
            <w:noWrap/>
            <w:vAlign w:val="center"/>
          </w:tcPr>
          <w:p>
            <w:pPr>
              <w:adjustRightInd w:val="0"/>
              <w:snapToGrid w:val="0"/>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718" w:type="dxa"/>
            <w:noWrap/>
            <w:vAlign w:val="center"/>
          </w:tcPr>
          <w:p>
            <w:pPr>
              <w:adjustRightInd w:val="0"/>
              <w:snapToGrid w:val="0"/>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6</w:t>
            </w:r>
          </w:p>
        </w:tc>
        <w:tc>
          <w:tcPr>
            <w:tcW w:w="1327" w:type="dxa"/>
            <w:noWrap/>
            <w:vAlign w:val="center"/>
          </w:tcPr>
          <w:p>
            <w:pPr>
              <w:adjustRightInd w:val="0"/>
              <w:snapToGrid w:val="0"/>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售后服务</w:t>
            </w:r>
          </w:p>
        </w:tc>
        <w:tc>
          <w:tcPr>
            <w:tcW w:w="6203" w:type="dxa"/>
            <w:noWrap/>
            <w:vAlign w:val="center"/>
          </w:tcPr>
          <w:p>
            <w:pPr>
              <w:spacing w:line="276" w:lineRule="auto"/>
              <w:rPr>
                <w:rFonts w:ascii="宋体" w:hAnsi="宋体" w:eastAsia="宋体" w:cs="Times New Roman"/>
                <w:kern w:val="0"/>
                <w:szCs w:val="21"/>
                <w:highlight w:val="none"/>
              </w:rPr>
            </w:pPr>
            <w:r>
              <w:rPr>
                <w:rFonts w:hint="eastAsia" w:ascii="宋体" w:hAnsi="宋体" w:eastAsia="宋体" w:cs="Times New Roman"/>
                <w:kern w:val="0"/>
                <w:szCs w:val="21"/>
                <w:highlight w:val="none"/>
              </w:rPr>
              <w:t>售后服务。对以下方面进行评分，累计得分，最高得</w:t>
            </w:r>
            <w:r>
              <w:rPr>
                <w:rFonts w:ascii="宋体" w:hAnsi="宋体" w:eastAsia="宋体" w:cs="Times New Roman"/>
                <w:kern w:val="0"/>
                <w:szCs w:val="21"/>
                <w:highlight w:val="none"/>
              </w:rPr>
              <w:t>10</w:t>
            </w:r>
            <w:r>
              <w:rPr>
                <w:rFonts w:hint="eastAsia" w:ascii="宋体" w:hAnsi="宋体" w:eastAsia="宋体" w:cs="Times New Roman"/>
                <w:kern w:val="0"/>
                <w:szCs w:val="21"/>
                <w:highlight w:val="none"/>
              </w:rPr>
              <w:t>分。</w:t>
            </w:r>
          </w:p>
          <w:p>
            <w:pPr>
              <w:spacing w:line="276" w:lineRule="auto"/>
              <w:rPr>
                <w:rFonts w:ascii="宋体" w:hAnsi="宋体" w:eastAsia="宋体" w:cs="Times New Roman"/>
                <w:kern w:val="0"/>
                <w:szCs w:val="21"/>
                <w:highlight w:val="none"/>
              </w:rPr>
            </w:pPr>
            <w:r>
              <w:rPr>
                <w:rFonts w:hint="eastAsia" w:ascii="宋体" w:hAnsi="宋体" w:eastAsia="宋体" w:cs="Times New Roman"/>
                <w:kern w:val="0"/>
                <w:szCs w:val="21"/>
                <w:highlight w:val="none"/>
              </w:rPr>
              <w:t>①售后服务方案，针对所投</w:t>
            </w:r>
            <w:r>
              <w:rPr>
                <w:rFonts w:hint="eastAsia" w:ascii="宋体" w:hAnsi="宋体" w:cs="Times New Roman"/>
                <w:kern w:val="0"/>
                <w:szCs w:val="21"/>
                <w:highlight w:val="none"/>
                <w:lang w:val="en-US" w:eastAsia="zh-CN"/>
              </w:rPr>
              <w:t>设备</w:t>
            </w:r>
            <w:r>
              <w:rPr>
                <w:rFonts w:hint="eastAsia" w:ascii="宋体" w:hAnsi="宋体" w:eastAsia="宋体" w:cs="Times New Roman"/>
                <w:kern w:val="0"/>
                <w:szCs w:val="21"/>
                <w:highlight w:val="none"/>
                <w:u w:val="single"/>
              </w:rPr>
              <w:t>a.售后服务点设置b.人员配置c.</w:t>
            </w:r>
            <w:r>
              <w:rPr>
                <w:rFonts w:hint="eastAsia" w:ascii="宋体" w:hAnsi="宋体" w:cs="Times New Roman"/>
                <w:kern w:val="0"/>
                <w:szCs w:val="21"/>
                <w:highlight w:val="none"/>
                <w:u w:val="single"/>
                <w:lang w:val="en-US" w:eastAsia="zh-CN"/>
              </w:rPr>
              <w:t>设备</w:t>
            </w:r>
            <w:r>
              <w:rPr>
                <w:rFonts w:hint="eastAsia" w:ascii="宋体" w:hAnsi="宋体" w:eastAsia="宋体" w:cs="Times New Roman"/>
                <w:kern w:val="0"/>
                <w:szCs w:val="21"/>
                <w:highlight w:val="none"/>
                <w:u w:val="single"/>
              </w:rPr>
              <w:t>售后</w:t>
            </w:r>
            <w:r>
              <w:rPr>
                <w:rFonts w:hint="eastAsia" w:ascii="宋体" w:hAnsi="宋体" w:cs="Times New Roman"/>
                <w:kern w:val="0"/>
                <w:szCs w:val="21"/>
                <w:highlight w:val="none"/>
                <w:u w:val="single"/>
                <w:lang w:val="en-US" w:eastAsia="zh-CN"/>
              </w:rPr>
              <w:t>的</w:t>
            </w:r>
            <w:r>
              <w:rPr>
                <w:rFonts w:hint="eastAsia" w:ascii="宋体" w:hAnsi="宋体" w:eastAsia="宋体" w:cs="Times New Roman"/>
                <w:kern w:val="0"/>
                <w:szCs w:val="21"/>
                <w:highlight w:val="none"/>
                <w:u w:val="single"/>
              </w:rPr>
              <w:t>备品备件等情况d.售后服务时效响应</w:t>
            </w:r>
            <w:r>
              <w:rPr>
                <w:rFonts w:hint="eastAsia" w:ascii="宋体" w:hAnsi="宋体" w:eastAsia="宋体" w:cs="Times New Roman"/>
                <w:kern w:val="0"/>
                <w:szCs w:val="21"/>
                <w:highlight w:val="none"/>
              </w:rPr>
              <w:t>进行评价，本项满分得</w:t>
            </w:r>
            <w:r>
              <w:rPr>
                <w:rFonts w:ascii="宋体" w:hAnsi="宋体" w:eastAsia="宋体" w:cs="Times New Roman"/>
                <w:kern w:val="0"/>
                <w:szCs w:val="21"/>
                <w:highlight w:val="none"/>
              </w:rPr>
              <w:t>2</w:t>
            </w:r>
            <w:r>
              <w:rPr>
                <w:rFonts w:hint="eastAsia" w:ascii="宋体" w:hAnsi="宋体" w:eastAsia="宋体" w:cs="Times New Roman"/>
                <w:kern w:val="0"/>
                <w:szCs w:val="21"/>
                <w:highlight w:val="none"/>
              </w:rPr>
              <w:t>分，投标人应在投标文件中设置专节来对上述四项内容作出响应性说明，每项中出现一处不完善、不合理或缺漏的扣减0.5分，扣完</w:t>
            </w:r>
            <w:r>
              <w:rPr>
                <w:rFonts w:ascii="宋体" w:hAnsi="宋体" w:eastAsia="宋体" w:cs="Times New Roman"/>
                <w:kern w:val="0"/>
                <w:szCs w:val="21"/>
                <w:highlight w:val="none"/>
              </w:rPr>
              <w:t>2</w:t>
            </w:r>
            <w:r>
              <w:rPr>
                <w:rFonts w:hint="eastAsia" w:ascii="宋体" w:hAnsi="宋体" w:eastAsia="宋体" w:cs="Times New Roman"/>
                <w:kern w:val="0"/>
                <w:szCs w:val="21"/>
                <w:highlight w:val="none"/>
              </w:rPr>
              <w:t>分为止。</w:t>
            </w:r>
          </w:p>
          <w:p>
            <w:pPr>
              <w:spacing w:line="276" w:lineRule="auto"/>
              <w:rPr>
                <w:rFonts w:ascii="宋体" w:hAnsi="宋体" w:eastAsia="宋体" w:cs="Times New Roman"/>
                <w:kern w:val="0"/>
                <w:szCs w:val="21"/>
                <w:highlight w:val="none"/>
              </w:rPr>
            </w:pPr>
            <w:r>
              <w:rPr>
                <w:rFonts w:hint="eastAsia" w:ascii="宋体" w:hAnsi="宋体" w:eastAsia="宋体" w:cs="Times New Roman"/>
                <w:kern w:val="0"/>
                <w:szCs w:val="21"/>
                <w:highlight w:val="none"/>
              </w:rPr>
              <w:t>②质保期内，针对投标人提供的质保期内</w:t>
            </w:r>
            <w:r>
              <w:rPr>
                <w:rFonts w:hint="eastAsia" w:ascii="宋体" w:hAnsi="宋体" w:eastAsia="宋体" w:cs="Times New Roman"/>
                <w:kern w:val="0"/>
                <w:szCs w:val="21"/>
                <w:highlight w:val="none"/>
                <w:u w:val="single"/>
              </w:rPr>
              <w:t>a.质保</w:t>
            </w:r>
            <w:r>
              <w:rPr>
                <w:rFonts w:hint="eastAsia" w:ascii="宋体" w:hAnsi="宋体" w:cs="Times New Roman"/>
                <w:kern w:val="0"/>
                <w:szCs w:val="21"/>
                <w:highlight w:val="none"/>
                <w:u w:val="single"/>
                <w:lang w:val="en-US" w:eastAsia="zh-CN"/>
              </w:rPr>
              <w:t>承诺</w:t>
            </w:r>
            <w:r>
              <w:rPr>
                <w:rFonts w:hint="eastAsia" w:ascii="宋体" w:hAnsi="宋体" w:eastAsia="宋体" w:cs="Times New Roman"/>
                <w:kern w:val="0"/>
                <w:szCs w:val="21"/>
                <w:highlight w:val="none"/>
                <w:u w:val="single"/>
              </w:rPr>
              <w:t>b.维保费用情况c.主要部件、易损件、零配件及重要消耗品的价格</w:t>
            </w:r>
            <w:r>
              <w:rPr>
                <w:rFonts w:hint="eastAsia" w:ascii="宋体" w:hAnsi="宋体" w:eastAsia="宋体" w:cs="Times New Roman"/>
                <w:kern w:val="0"/>
                <w:szCs w:val="21"/>
                <w:highlight w:val="none"/>
              </w:rPr>
              <w:t>进行评价，本项满分得3分，投标人应在投标文件中设置专节来对上述三项内容作出响应性说明，每缺一项说明扣1分，每项出现一处不完善或不合理扣减0.5分，扣完3分为止。</w:t>
            </w:r>
          </w:p>
          <w:p>
            <w:pPr>
              <w:spacing w:line="276" w:lineRule="auto"/>
              <w:rPr>
                <w:rFonts w:ascii="宋体" w:hAnsi="宋体" w:eastAsia="宋体" w:cs="Times New Roman"/>
                <w:kern w:val="0"/>
                <w:szCs w:val="21"/>
                <w:highlight w:val="none"/>
              </w:rPr>
            </w:pPr>
            <w:r>
              <w:rPr>
                <w:rFonts w:hint="eastAsia" w:ascii="宋体" w:hAnsi="宋体" w:eastAsia="宋体" w:cs="Times New Roman"/>
                <w:kern w:val="0"/>
                <w:szCs w:val="21"/>
                <w:highlight w:val="none"/>
              </w:rPr>
              <w:t>③质保期外，针对投标人提供的质保期外</w:t>
            </w:r>
            <w:r>
              <w:rPr>
                <w:rFonts w:hint="eastAsia" w:ascii="宋体" w:hAnsi="宋体" w:eastAsia="宋体" w:cs="Times New Roman"/>
                <w:kern w:val="0"/>
                <w:szCs w:val="21"/>
                <w:highlight w:val="none"/>
                <w:u w:val="single"/>
              </w:rPr>
              <w:t>a.维保服务方案b. 维保费用情况c.易损件、零配件及重要消耗品的价格</w:t>
            </w:r>
            <w:r>
              <w:rPr>
                <w:rFonts w:hint="eastAsia" w:ascii="宋体" w:hAnsi="宋体" w:eastAsia="宋体" w:cs="Times New Roman"/>
                <w:kern w:val="0"/>
                <w:szCs w:val="21"/>
                <w:highlight w:val="none"/>
              </w:rPr>
              <w:t>进行评价，本项满分得3分，投标人应在投标文件中设置专节来对上述三项内容作出响应性说明，每缺一项说明扣1分，每项中出现一处不完善或不合理扣减0.5分，扣完3分为止。</w:t>
            </w:r>
          </w:p>
          <w:p>
            <w:pPr>
              <w:rPr>
                <w:rFonts w:hint="eastAsia" w:ascii="宋体" w:hAnsi="宋体" w:eastAsia="宋体" w:cs="宋体"/>
                <w:szCs w:val="22"/>
                <w:highlight w:val="none"/>
              </w:rPr>
            </w:pPr>
            <w:r>
              <w:rPr>
                <w:rFonts w:hint="eastAsia" w:ascii="宋体" w:hAnsi="宋体" w:eastAsia="宋体" w:cs="Times New Roman"/>
                <w:kern w:val="0"/>
                <w:szCs w:val="21"/>
                <w:highlight w:val="none"/>
              </w:rPr>
              <w:t>④投标人承诺质保期内每年开展一次免费巡检得</w:t>
            </w:r>
            <w:r>
              <w:rPr>
                <w:rFonts w:hint="eastAsia" w:ascii="宋体" w:hAnsi="宋体" w:eastAsia="宋体" w:cs="Times New Roman"/>
                <w:kern w:val="0"/>
                <w:szCs w:val="21"/>
                <w:highlight w:val="none"/>
                <w:lang w:val="en-US" w:eastAsia="zh-CN"/>
              </w:rPr>
              <w:t>1</w:t>
            </w:r>
            <w:r>
              <w:rPr>
                <w:rFonts w:hint="eastAsia" w:ascii="宋体" w:hAnsi="宋体" w:eastAsia="宋体" w:cs="Times New Roman"/>
                <w:kern w:val="0"/>
                <w:szCs w:val="21"/>
                <w:highlight w:val="none"/>
              </w:rPr>
              <w:t>分，</w:t>
            </w:r>
            <w:r>
              <w:rPr>
                <w:rFonts w:hint="eastAsia" w:ascii="宋体" w:hAnsi="宋体" w:cs="Times New Roman"/>
                <w:kern w:val="0"/>
                <w:szCs w:val="21"/>
                <w:highlight w:val="none"/>
                <w:lang w:val="en-US" w:eastAsia="zh-CN"/>
              </w:rPr>
              <w:t>设备</w:t>
            </w:r>
            <w:r>
              <w:rPr>
                <w:rFonts w:hint="eastAsia" w:ascii="宋体" w:hAnsi="宋体" w:eastAsia="宋体" w:cs="Times New Roman"/>
                <w:kern w:val="0"/>
                <w:szCs w:val="21"/>
                <w:highlight w:val="none"/>
                <w:lang w:val="en-US" w:eastAsia="zh-CN"/>
              </w:rPr>
              <w:t>供货</w:t>
            </w:r>
            <w:r>
              <w:rPr>
                <w:rFonts w:hint="eastAsia" w:ascii="宋体" w:hAnsi="宋体" w:eastAsia="宋体" w:cs="Times New Roman"/>
                <w:kern w:val="0"/>
                <w:szCs w:val="21"/>
                <w:highlight w:val="none"/>
              </w:rPr>
              <w:t>后承诺在第</w:t>
            </w:r>
            <w:r>
              <w:rPr>
                <w:rFonts w:hint="eastAsia" w:ascii="宋体" w:hAnsi="宋体" w:cs="Times New Roman"/>
                <w:kern w:val="0"/>
                <w:szCs w:val="21"/>
                <w:highlight w:val="none"/>
                <w:lang w:val="en-US" w:eastAsia="zh-CN"/>
              </w:rPr>
              <w:t>3</w:t>
            </w:r>
            <w:r>
              <w:rPr>
                <w:rFonts w:hint="eastAsia" w:ascii="宋体" w:hAnsi="宋体" w:eastAsia="宋体" w:cs="Times New Roman"/>
                <w:kern w:val="0"/>
                <w:szCs w:val="21"/>
                <w:highlight w:val="none"/>
              </w:rPr>
              <w:t>年至第</w:t>
            </w:r>
            <w:r>
              <w:rPr>
                <w:rFonts w:hint="eastAsia" w:ascii="宋体" w:hAnsi="宋体" w:cs="Times New Roman"/>
                <w:kern w:val="0"/>
                <w:szCs w:val="21"/>
                <w:highlight w:val="none"/>
                <w:lang w:val="en-US" w:eastAsia="zh-CN"/>
              </w:rPr>
              <w:t>5</w:t>
            </w:r>
            <w:r>
              <w:rPr>
                <w:rFonts w:hint="eastAsia" w:ascii="宋体" w:hAnsi="宋体" w:eastAsia="宋体" w:cs="Times New Roman"/>
                <w:kern w:val="0"/>
                <w:szCs w:val="21"/>
                <w:highlight w:val="none"/>
              </w:rPr>
              <w:t>年每年开展免费巡检的得</w:t>
            </w:r>
            <w:r>
              <w:rPr>
                <w:rFonts w:hint="eastAsia" w:ascii="宋体" w:hAnsi="宋体" w:eastAsia="宋体" w:cs="Times New Roman"/>
                <w:kern w:val="0"/>
                <w:szCs w:val="21"/>
                <w:highlight w:val="none"/>
                <w:lang w:val="en-US" w:eastAsia="zh-CN"/>
              </w:rPr>
              <w:t>1</w:t>
            </w:r>
            <w:r>
              <w:rPr>
                <w:rFonts w:hint="eastAsia" w:ascii="宋体" w:hAnsi="宋体" w:eastAsia="宋体" w:cs="Times New Roman"/>
                <w:kern w:val="0"/>
                <w:szCs w:val="21"/>
                <w:highlight w:val="none"/>
              </w:rPr>
              <w:t>分，本项最多得2分。</w:t>
            </w:r>
            <w:r>
              <w:rPr>
                <w:rFonts w:hint="eastAsia" w:ascii="宋体" w:hAnsi="宋体" w:eastAsia="宋体" w:cs="Times New Roman"/>
                <w:b/>
                <w:kern w:val="0"/>
                <w:szCs w:val="21"/>
                <w:highlight w:val="none"/>
              </w:rPr>
              <w:t>承诺书格式自拟。</w:t>
            </w:r>
          </w:p>
        </w:tc>
        <w:tc>
          <w:tcPr>
            <w:tcW w:w="946" w:type="dxa"/>
            <w:noWrap/>
            <w:vAlign w:val="center"/>
          </w:tcPr>
          <w:p>
            <w:pPr>
              <w:adjustRightInd w:val="0"/>
              <w:snapToGrid w:val="0"/>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8" w:type="dxa"/>
            <w:noWrap/>
            <w:vAlign w:val="center"/>
          </w:tcPr>
          <w:p>
            <w:pPr>
              <w:adjustRightInd w:val="0"/>
              <w:snapToGrid w:val="0"/>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7</w:t>
            </w:r>
          </w:p>
        </w:tc>
        <w:tc>
          <w:tcPr>
            <w:tcW w:w="1327" w:type="dxa"/>
            <w:noWrap/>
            <w:vAlign w:val="center"/>
          </w:tcPr>
          <w:p>
            <w:pPr>
              <w:adjustRightInd w:val="0"/>
              <w:snapToGrid w:val="0"/>
              <w:jc w:val="center"/>
              <w:rPr>
                <w:rFonts w:hint="eastAsia" w:ascii="宋体" w:hAnsi="宋体" w:eastAsia="宋体" w:cs="宋体"/>
                <w:color w:val="000000"/>
                <w:szCs w:val="21"/>
                <w:highlight w:val="none"/>
              </w:rPr>
            </w:pPr>
            <w:r>
              <w:rPr>
                <w:rFonts w:hint="eastAsia" w:ascii="宋体" w:hAnsi="宋体" w:cs="宋体"/>
                <w:bCs/>
                <w:kern w:val="0"/>
                <w:szCs w:val="21"/>
                <w:highlight w:val="none"/>
              </w:rPr>
              <w:t>培训方案</w:t>
            </w:r>
          </w:p>
        </w:tc>
        <w:tc>
          <w:tcPr>
            <w:tcW w:w="6203" w:type="dxa"/>
            <w:noWrap/>
            <w:vAlign w:val="center"/>
          </w:tcPr>
          <w:p>
            <w:pPr>
              <w:widowControl w:val="0"/>
              <w:autoSpaceDE w:val="0"/>
              <w:autoSpaceDN w:val="0"/>
              <w:adjustRightInd w:val="0"/>
              <w:spacing w:line="276" w:lineRule="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结合本项目采购需求，对投标人的培训方案（①培训时间计划</w:t>
            </w:r>
            <w:r>
              <w:rPr>
                <w:rFonts w:hint="eastAsia" w:ascii="宋体" w:hAnsi="宋体" w:cs="宋体"/>
                <w:color w:val="auto"/>
                <w:sz w:val="21"/>
                <w:szCs w:val="21"/>
                <w:highlight w:val="none"/>
                <w:lang w:val="en-US" w:eastAsia="zh-CN" w:bidi="ar-SA"/>
              </w:rPr>
              <w:t>和</w:t>
            </w:r>
            <w:r>
              <w:rPr>
                <w:rFonts w:hint="eastAsia" w:ascii="宋体" w:hAnsi="宋体" w:eastAsia="宋体" w:cs="宋体"/>
                <w:color w:val="auto"/>
                <w:sz w:val="21"/>
                <w:szCs w:val="21"/>
                <w:highlight w:val="none"/>
                <w:lang w:val="en-US" w:eastAsia="zh-CN" w:bidi="ar-SA"/>
              </w:rPr>
              <w:t>培训人员安排；②培训内容设计安排；③培训内容重点难点及培训结果保障措施）等进行综合评审：</w:t>
            </w:r>
          </w:p>
          <w:p>
            <w:pPr>
              <w:rPr>
                <w:rFonts w:hint="eastAsia" w:ascii="宋体" w:hAnsi="宋体" w:eastAsia="宋体" w:cs="宋体"/>
                <w:szCs w:val="22"/>
                <w:highlight w:val="none"/>
              </w:rPr>
            </w:pPr>
            <w:r>
              <w:rPr>
                <w:rFonts w:hint="eastAsia" w:ascii="宋体" w:hAnsi="宋体" w:eastAsia="宋体" w:cs="宋体"/>
                <w:color w:val="auto"/>
                <w:sz w:val="21"/>
                <w:szCs w:val="21"/>
                <w:highlight w:val="none"/>
                <w:lang w:val="en-US" w:eastAsia="zh-CN" w:bidi="ar-SA"/>
              </w:rPr>
              <w:t>提供完整培训方案内容齐全，描述细致且完全满足本项目需求的得</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分；每有一项内容缺失与本项目无关的扣</w:t>
            </w:r>
            <w:r>
              <w:rPr>
                <w:rFonts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分；每有一项内容无法满足本项目需求或有缺陷的扣</w:t>
            </w:r>
            <w:r>
              <w:rPr>
                <w:rFonts w:ascii="宋体" w:hAnsi="宋体" w:eastAsia="宋体" w:cs="宋体"/>
                <w:color w:val="auto"/>
                <w:sz w:val="21"/>
                <w:szCs w:val="21"/>
                <w:highlight w:val="none"/>
                <w:lang w:val="en-US" w:eastAsia="zh-CN" w:bidi="ar-SA"/>
              </w:rPr>
              <w:t>0.5</w:t>
            </w:r>
            <w:r>
              <w:rPr>
                <w:rFonts w:hint="eastAsia" w:ascii="宋体" w:hAnsi="宋体" w:eastAsia="宋体" w:cs="宋体"/>
                <w:color w:val="auto"/>
                <w:sz w:val="21"/>
                <w:szCs w:val="21"/>
                <w:highlight w:val="none"/>
                <w:lang w:val="en-US" w:eastAsia="zh-CN" w:bidi="ar-SA"/>
              </w:rPr>
              <w:t>分，直至扣完为止。</w:t>
            </w:r>
          </w:p>
        </w:tc>
        <w:tc>
          <w:tcPr>
            <w:tcW w:w="946" w:type="dxa"/>
            <w:noWrap/>
            <w:vAlign w:val="center"/>
          </w:tcPr>
          <w:p>
            <w:pPr>
              <w:adjustRightInd w:val="0"/>
              <w:snapToGrid w:val="0"/>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8" w:type="dxa"/>
            <w:noWrap/>
            <w:vAlign w:val="center"/>
          </w:tcPr>
          <w:p>
            <w:pPr>
              <w:adjustRightInd w:val="0"/>
              <w:snapToGrid w:val="0"/>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8</w:t>
            </w:r>
          </w:p>
        </w:tc>
        <w:tc>
          <w:tcPr>
            <w:tcW w:w="1327" w:type="dxa"/>
            <w:noWrap/>
            <w:vAlign w:val="center"/>
          </w:tcPr>
          <w:p>
            <w:pPr>
              <w:adjustRightInd w:val="0"/>
              <w:snapToGrid w:val="0"/>
              <w:jc w:val="center"/>
              <w:rPr>
                <w:rFonts w:hint="eastAsia" w:ascii="宋体" w:hAnsi="宋体" w:eastAsia="宋体" w:cs="宋体"/>
                <w:color w:val="000000"/>
                <w:szCs w:val="21"/>
                <w:highlight w:val="none"/>
              </w:rPr>
            </w:pPr>
            <w:r>
              <w:rPr>
                <w:rFonts w:hint="eastAsia" w:ascii="宋体" w:hAnsi="宋体"/>
                <w:kern w:val="0"/>
                <w:szCs w:val="21"/>
                <w:highlight w:val="none"/>
              </w:rPr>
              <w:t>应急事故响应及处理方案</w:t>
            </w:r>
          </w:p>
        </w:tc>
        <w:tc>
          <w:tcPr>
            <w:tcW w:w="6203" w:type="dxa"/>
            <w:noWrap/>
            <w:vAlign w:val="center"/>
          </w:tcPr>
          <w:p>
            <w:pPr>
              <w:widowControl w:val="0"/>
              <w:autoSpaceDE w:val="0"/>
              <w:autoSpaceDN w:val="0"/>
              <w:adjustRightInd w:val="0"/>
              <w:spacing w:line="276" w:lineRule="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结合本项目实际应用、环境等情况，对投标人的应急事故响应及处理方案（①如可能发生的应急事故情况分析；②应急响应时间；③紧急安全保障措施；）等进行综合评审：</w:t>
            </w:r>
          </w:p>
          <w:p>
            <w:pPr>
              <w:rPr>
                <w:rFonts w:hint="eastAsia" w:ascii="宋体" w:hAnsi="宋体" w:eastAsia="宋体" w:cs="宋体"/>
                <w:szCs w:val="22"/>
                <w:highlight w:val="none"/>
              </w:rPr>
            </w:pPr>
            <w:r>
              <w:rPr>
                <w:rFonts w:hint="eastAsia" w:ascii="宋体" w:hAnsi="宋体" w:eastAsia="宋体" w:cs="宋体"/>
                <w:color w:val="auto"/>
                <w:sz w:val="21"/>
                <w:szCs w:val="21"/>
                <w:highlight w:val="none"/>
                <w:lang w:val="en-US" w:eastAsia="zh-CN" w:bidi="ar-SA"/>
              </w:rPr>
              <w:t>提供完整应急事故响应及处理方案等且完全满足本项目需求的得</w:t>
            </w:r>
            <w:r>
              <w:rPr>
                <w:rFonts w:ascii="宋体" w:hAnsi="宋体" w:eastAsia="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分，每有一项内容缺失或与本项目无关的扣</w:t>
            </w:r>
            <w:r>
              <w:rPr>
                <w:rFonts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分；每有一项内容无法满足本项目需求或有缺陷的扣</w:t>
            </w:r>
            <w:r>
              <w:rPr>
                <w:rFonts w:ascii="宋体" w:hAnsi="宋体" w:eastAsia="宋体" w:cs="宋体"/>
                <w:color w:val="auto"/>
                <w:sz w:val="21"/>
                <w:szCs w:val="21"/>
                <w:highlight w:val="none"/>
                <w:lang w:val="en-US" w:eastAsia="zh-CN" w:bidi="ar-SA"/>
              </w:rPr>
              <w:t>0.5</w:t>
            </w:r>
            <w:r>
              <w:rPr>
                <w:rFonts w:hint="eastAsia" w:ascii="宋体" w:hAnsi="宋体" w:eastAsia="宋体" w:cs="宋体"/>
                <w:color w:val="auto"/>
                <w:sz w:val="21"/>
                <w:szCs w:val="21"/>
                <w:highlight w:val="none"/>
                <w:lang w:val="en-US" w:eastAsia="zh-CN" w:bidi="ar-SA"/>
              </w:rPr>
              <w:t>分，直至扣完为止。</w:t>
            </w:r>
          </w:p>
        </w:tc>
        <w:tc>
          <w:tcPr>
            <w:tcW w:w="946" w:type="dxa"/>
            <w:noWrap/>
            <w:vAlign w:val="center"/>
          </w:tcPr>
          <w:p>
            <w:pPr>
              <w:adjustRightInd w:val="0"/>
              <w:snapToGrid w:val="0"/>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w:t>
            </w:r>
          </w:p>
        </w:tc>
      </w:tr>
    </w:tbl>
    <w:p>
      <w:pPr>
        <w:pageBreakBefore w:val="0"/>
        <w:widowControl w:val="0"/>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注：供应商的最终总得分为上述评分因素的总和。</w:t>
      </w:r>
    </w:p>
    <w:p>
      <w:pPr>
        <w:pageBreakBefore w:val="0"/>
        <w:widowControl w:val="0"/>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投标报价是中标的一个重要因素，但最低报价不是中标的唯一依据。</w:t>
      </w:r>
    </w:p>
    <w:p>
      <w:pPr>
        <w:pageBreakBefore w:val="0"/>
        <w:widowControl w:val="0"/>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pPr>
        <w:pStyle w:val="3"/>
        <w:pageBreakBefore w:val="0"/>
        <w:widowControl w:val="0"/>
        <w:kinsoku/>
        <w:wordWrap/>
        <w:overflowPunct/>
        <w:topLinePunct w:val="0"/>
        <w:bidi w:val="0"/>
        <w:spacing w:before="0" w:after="0" w:line="360" w:lineRule="auto"/>
        <w:ind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评委应记名打分，打分未记名的或未按招标文件规定的评标办法打分的，一律按无效打分处理。取所有评委的有效分值进行计分、汇总；各项汇总时，每大项记分保留三位小数（第四位四舍五入）；总得分汇总时保留两位小数（第三位四舍五入）。</w:t>
      </w:r>
    </w:p>
    <w:p>
      <w:pPr>
        <w:pStyle w:val="3"/>
        <w:pageBreakBefore w:val="0"/>
        <w:widowControl w:val="0"/>
        <w:kinsoku/>
        <w:wordWrap/>
        <w:overflowPunct/>
        <w:topLinePunct w:val="0"/>
        <w:bidi w:val="0"/>
        <w:spacing w:before="0" w:after="0"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3．评标程序</w:t>
      </w:r>
      <w:bookmarkEnd w:id="469"/>
      <w:bookmarkEnd w:id="470"/>
      <w:bookmarkEnd w:id="471"/>
      <w:bookmarkEnd w:id="472"/>
    </w:p>
    <w:p>
      <w:pPr>
        <w:pStyle w:val="4"/>
        <w:pageBreakBefore w:val="0"/>
        <w:widowControl w:val="0"/>
        <w:kinsoku/>
        <w:wordWrap/>
        <w:overflowPunct/>
        <w:topLinePunct w:val="0"/>
        <w:bidi w:val="0"/>
        <w:spacing w:before="0" w:after="0" w:line="360" w:lineRule="auto"/>
        <w:ind w:firstLine="480" w:firstLineChars="200"/>
        <w:jc w:val="left"/>
        <w:textAlignment w:val="auto"/>
        <w:rPr>
          <w:rFonts w:hint="eastAsia" w:ascii="宋体" w:hAnsi="宋体" w:eastAsia="宋体" w:cs="宋体"/>
          <w:color w:val="auto"/>
          <w:sz w:val="24"/>
          <w:szCs w:val="24"/>
          <w:highlight w:val="none"/>
        </w:rPr>
      </w:pPr>
      <w:bookmarkStart w:id="473" w:name="_Toc22907"/>
      <w:bookmarkStart w:id="474" w:name="_Toc397928606"/>
      <w:bookmarkStart w:id="475" w:name="_Toc36140133"/>
      <w:r>
        <w:rPr>
          <w:rFonts w:hint="eastAsia" w:ascii="宋体" w:hAnsi="宋体" w:eastAsia="宋体" w:cs="宋体"/>
          <w:color w:val="auto"/>
          <w:kern w:val="0"/>
          <w:sz w:val="24"/>
          <w:szCs w:val="24"/>
          <w:highlight w:val="none"/>
        </w:rPr>
        <w:t>3.1 评标准备</w:t>
      </w:r>
      <w:bookmarkEnd w:id="473"/>
      <w:bookmarkEnd w:id="474"/>
      <w:bookmarkEnd w:id="475"/>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 评标委员会成员到达评标现场时应在签到表上签到以证明其出席。</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3.1.2 评标委员会成员首先推选一名评标委员会负责人，负责评标活动的组织领导工作。</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3.1.3 招标人或招标代理机构应向评标委员会提供评标所需的信息和数据。评标委员会负责人应组织评标委员会成员认真研究招标文件，未在招标文件中规定的标准和方法不得作为评标的依据。</w:t>
      </w:r>
    </w:p>
    <w:p>
      <w:pPr>
        <w:pStyle w:val="4"/>
        <w:pageBreakBefore w:val="0"/>
        <w:widowControl w:val="0"/>
        <w:kinsoku/>
        <w:wordWrap/>
        <w:overflowPunct/>
        <w:topLinePunct w:val="0"/>
        <w:bidi w:val="0"/>
        <w:spacing w:before="0" w:after="0" w:line="360" w:lineRule="auto"/>
        <w:ind w:firstLine="480" w:firstLineChars="200"/>
        <w:jc w:val="left"/>
        <w:textAlignment w:val="auto"/>
        <w:rPr>
          <w:rFonts w:hint="eastAsia" w:ascii="宋体" w:hAnsi="宋体" w:eastAsia="宋体" w:cs="宋体"/>
          <w:color w:val="auto"/>
          <w:sz w:val="24"/>
          <w:szCs w:val="24"/>
          <w:highlight w:val="none"/>
        </w:rPr>
      </w:pPr>
      <w:bookmarkStart w:id="476" w:name="_Toc6331"/>
      <w:bookmarkStart w:id="477" w:name="_Toc397928607"/>
      <w:bookmarkStart w:id="478" w:name="_Toc36140134"/>
      <w:r>
        <w:rPr>
          <w:rFonts w:hint="eastAsia" w:ascii="宋体" w:hAnsi="宋体" w:eastAsia="宋体" w:cs="宋体"/>
          <w:color w:val="auto"/>
          <w:sz w:val="24"/>
          <w:szCs w:val="24"/>
          <w:highlight w:val="none"/>
        </w:rPr>
        <w:t>3.2 初步评审</w:t>
      </w:r>
      <w:bookmarkEnd w:id="476"/>
      <w:bookmarkEnd w:id="477"/>
      <w:bookmarkEnd w:id="478"/>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3.2.1评标委员会依据本章第2.1 款规定的标准对投标文件进行初步评审。</w:t>
      </w:r>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3.2.2投标文件不符合本章第2.1款评审标准的，属于重大偏差，视为未能对招标文件作出实质性响应，应当作为无效投标予以否决。</w:t>
      </w:r>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3.2.3对照投标人须知6.5款，投标文件有上述情况之一，视为未能对招标文件作出实质性响应，凡招标文件未明确标明无效标条款的，评标委员会不得作为判定无效投标的依据。</w:t>
      </w:r>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投标报价有算术错误的，评标委员会按以下原则对投标报价进行修正，修正的价格经投标人书面确认后具有约束力。</w:t>
      </w:r>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(1）投标文件中的大写金额与小写金额不一致的，以大写金额为准；</w:t>
      </w:r>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(2）总价金额与依据单价计算出的结果不一致的，以单价金额为准修正总价，但单价金额小数点有明显错误的除外。</w:t>
      </w:r>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3.2.5只有通过初步评审的投标文件才能进入详细评审。</w:t>
      </w:r>
    </w:p>
    <w:p>
      <w:pPr>
        <w:pStyle w:val="4"/>
        <w:pageBreakBefore w:val="0"/>
        <w:widowControl w:val="0"/>
        <w:kinsoku/>
        <w:wordWrap/>
        <w:overflowPunct/>
        <w:topLinePunct w:val="0"/>
        <w:bidi w:val="0"/>
        <w:spacing w:before="0" w:after="0" w:line="360" w:lineRule="auto"/>
        <w:ind w:firstLine="480" w:firstLineChars="200"/>
        <w:jc w:val="left"/>
        <w:textAlignment w:val="auto"/>
        <w:rPr>
          <w:rFonts w:hint="eastAsia" w:ascii="宋体" w:hAnsi="宋体" w:eastAsia="宋体" w:cs="宋体"/>
          <w:color w:val="auto"/>
          <w:sz w:val="24"/>
          <w:szCs w:val="24"/>
          <w:highlight w:val="none"/>
        </w:rPr>
      </w:pPr>
      <w:bookmarkStart w:id="479" w:name="_Toc36140135"/>
      <w:bookmarkStart w:id="480" w:name="_Toc397928608"/>
      <w:bookmarkStart w:id="481" w:name="_Toc7389"/>
      <w:r>
        <w:rPr>
          <w:rFonts w:hint="eastAsia" w:ascii="宋体" w:hAnsi="宋体" w:eastAsia="宋体" w:cs="宋体"/>
          <w:color w:val="auto"/>
          <w:sz w:val="24"/>
          <w:szCs w:val="24"/>
          <w:highlight w:val="none"/>
        </w:rPr>
        <w:t>3.3 详细评审</w:t>
      </w:r>
      <w:bookmarkEnd w:id="479"/>
      <w:bookmarkEnd w:id="480"/>
      <w:bookmarkEnd w:id="481"/>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在详细评审发现符合“无效标书条款”的，应当作为无效投标予以否决，其投标报价亦不作为评标基准价的依据。</w:t>
      </w:r>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评标委员会按本章第2.2款规定的量化因素和分值进行打分，并计算出综合评估得分。</w:t>
      </w:r>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评分分值计算保留小数点后两位，小数点后第三位“四舍五入”。</w:t>
      </w:r>
    </w:p>
    <w:p>
      <w:pPr>
        <w:pStyle w:val="4"/>
        <w:pageBreakBefore w:val="0"/>
        <w:widowControl w:val="0"/>
        <w:kinsoku/>
        <w:wordWrap/>
        <w:overflowPunct/>
        <w:topLinePunct w:val="0"/>
        <w:bidi w:val="0"/>
        <w:spacing w:before="0" w:after="0" w:line="360" w:lineRule="auto"/>
        <w:ind w:firstLine="480" w:firstLineChars="200"/>
        <w:jc w:val="left"/>
        <w:textAlignment w:val="auto"/>
        <w:rPr>
          <w:rFonts w:hint="eastAsia" w:ascii="宋体" w:hAnsi="宋体" w:eastAsia="宋体" w:cs="宋体"/>
          <w:color w:val="auto"/>
          <w:sz w:val="24"/>
          <w:szCs w:val="24"/>
          <w:highlight w:val="none"/>
        </w:rPr>
      </w:pPr>
      <w:bookmarkStart w:id="482" w:name="_Toc36140136"/>
      <w:bookmarkStart w:id="483" w:name="_Toc5826"/>
      <w:bookmarkStart w:id="484" w:name="_Toc397928609"/>
      <w:r>
        <w:rPr>
          <w:rFonts w:hint="eastAsia" w:ascii="宋体" w:hAnsi="宋体" w:eastAsia="宋体" w:cs="宋体"/>
          <w:color w:val="auto"/>
          <w:sz w:val="24"/>
          <w:szCs w:val="24"/>
          <w:highlight w:val="none"/>
        </w:rPr>
        <w:t>3.4 投标文件的澄清和补正</w:t>
      </w:r>
      <w:bookmarkEnd w:id="482"/>
      <w:bookmarkEnd w:id="483"/>
      <w:bookmarkEnd w:id="484"/>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在评标过程中，评标委员会可以书面形式要求投标人对所提交投标文件中不明确的内容进行书面澄清或说明，或者对细微偏差进行补正。评标委员会不接受投标人主动提出的澄清、说明或补正。</w:t>
      </w:r>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澄清、说明和补正不得改变投标文件的实质性内容（算术性错误修正的除外）。投标人的书面澄清、说明和补正属于投标文件的组成部分。</w:t>
      </w:r>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评标委员会对投标人提交的澄清、说明或补正有疑问的，可以要求投标人进一步澄清、说明或补正。</w:t>
      </w:r>
    </w:p>
    <w:p>
      <w:pPr>
        <w:pStyle w:val="4"/>
        <w:pageBreakBefore w:val="0"/>
        <w:widowControl w:val="0"/>
        <w:kinsoku/>
        <w:wordWrap/>
        <w:overflowPunct/>
        <w:topLinePunct w:val="0"/>
        <w:bidi w:val="0"/>
        <w:spacing w:before="0" w:after="0" w:line="360" w:lineRule="auto"/>
        <w:ind w:firstLine="480" w:firstLineChars="200"/>
        <w:jc w:val="left"/>
        <w:textAlignment w:val="auto"/>
        <w:rPr>
          <w:rFonts w:hint="eastAsia" w:ascii="宋体" w:hAnsi="宋体" w:eastAsia="宋体" w:cs="宋体"/>
          <w:b/>
          <w:color w:val="auto"/>
          <w:kern w:val="0"/>
          <w:sz w:val="24"/>
          <w:szCs w:val="24"/>
          <w:highlight w:val="none"/>
        </w:rPr>
      </w:pPr>
      <w:bookmarkStart w:id="485" w:name="_Toc397928610"/>
      <w:bookmarkStart w:id="486" w:name="_Toc36140137"/>
      <w:bookmarkStart w:id="487" w:name="_Toc29288"/>
      <w:r>
        <w:rPr>
          <w:rFonts w:hint="eastAsia" w:ascii="宋体" w:hAnsi="宋体" w:eastAsia="宋体" w:cs="宋体"/>
          <w:color w:val="auto"/>
          <w:sz w:val="24"/>
          <w:szCs w:val="24"/>
          <w:highlight w:val="none"/>
        </w:rPr>
        <w:t>3.5 推荐中标候选人</w:t>
      </w:r>
      <w:bookmarkEnd w:id="485"/>
      <w:bookmarkEnd w:id="486"/>
      <w:bookmarkEnd w:id="487"/>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3.5.1评标委员会在推荐中标候选人时，应遵照以下原则:</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评标委员会按照最终得分由高至低的次序排列，并根据投标人须知前附表规定的中标候选人数量，将排序在前的投标人推荐为中标候选人。</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招标人有权在中标公示期间、签约前后等任何环节对相关资料的真实性进行核验，如发现提供虚假资料采购人将依法取消其中标资格。</w:t>
      </w:r>
    </w:p>
    <w:p>
      <w:pPr>
        <w:pStyle w:val="4"/>
        <w:pageBreakBefore w:val="0"/>
        <w:widowControl w:val="0"/>
        <w:kinsoku/>
        <w:wordWrap/>
        <w:overflowPunct/>
        <w:topLinePunct w:val="0"/>
        <w:bidi w:val="0"/>
        <w:spacing w:before="0" w:after="0" w:line="360" w:lineRule="auto"/>
        <w:ind w:firstLine="480" w:firstLineChars="200"/>
        <w:jc w:val="left"/>
        <w:textAlignment w:val="auto"/>
        <w:rPr>
          <w:rFonts w:hint="eastAsia" w:ascii="宋体" w:hAnsi="宋体" w:eastAsia="宋体" w:cs="宋体"/>
          <w:color w:val="auto"/>
          <w:sz w:val="24"/>
          <w:szCs w:val="24"/>
          <w:highlight w:val="none"/>
        </w:rPr>
      </w:pPr>
      <w:bookmarkStart w:id="488" w:name="_Toc397928611"/>
      <w:bookmarkStart w:id="489" w:name="_Toc36140138"/>
      <w:r>
        <w:rPr>
          <w:rFonts w:hint="eastAsia" w:ascii="宋体" w:hAnsi="宋体" w:eastAsia="宋体" w:cs="宋体"/>
          <w:color w:val="auto"/>
          <w:sz w:val="24"/>
          <w:szCs w:val="24"/>
          <w:highlight w:val="none"/>
        </w:rPr>
        <w:t>3.6 提交评标报告</w:t>
      </w:r>
      <w:bookmarkEnd w:id="488"/>
      <w:bookmarkEnd w:id="489"/>
      <w:r>
        <w:rPr>
          <w:rFonts w:hint="eastAsia" w:ascii="宋体" w:hAnsi="宋体" w:eastAsia="宋体" w:cs="宋体"/>
          <w:color w:val="auto"/>
          <w:sz w:val="24"/>
          <w:szCs w:val="24"/>
          <w:highlight w:val="none"/>
        </w:rPr>
        <w:t xml:space="preserve"> </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评标委员会完成评标后，应当向招标人提交书面评标报告。评标报告应当由全体评标委员会成员签字，并于评标结束时抄送有关行政监督部门。</w:t>
      </w:r>
    </w:p>
    <w:p>
      <w:pPr>
        <w:pStyle w:val="3"/>
        <w:pageBreakBefore w:val="0"/>
        <w:widowControl w:val="0"/>
        <w:kinsoku/>
        <w:wordWrap/>
        <w:overflowPunct/>
        <w:topLinePunct w:val="0"/>
        <w:bidi w:val="0"/>
        <w:spacing w:before="0" w:after="0" w:line="360" w:lineRule="auto"/>
        <w:ind w:firstLine="482" w:firstLineChars="200"/>
        <w:jc w:val="left"/>
        <w:textAlignment w:val="auto"/>
        <w:rPr>
          <w:rFonts w:hint="eastAsia" w:ascii="宋体" w:hAnsi="宋体" w:eastAsia="宋体" w:cs="宋体"/>
          <w:color w:val="auto"/>
          <w:sz w:val="24"/>
          <w:szCs w:val="24"/>
          <w:highlight w:val="none"/>
        </w:rPr>
      </w:pPr>
      <w:bookmarkStart w:id="490" w:name="_Toc36140139"/>
      <w:r>
        <w:rPr>
          <w:rFonts w:hint="eastAsia" w:ascii="宋体" w:hAnsi="宋体" w:eastAsia="宋体" w:cs="宋体"/>
          <w:color w:val="auto"/>
          <w:sz w:val="24"/>
          <w:szCs w:val="24"/>
          <w:highlight w:val="none"/>
        </w:rPr>
        <w:t>4．通用评标规则</w:t>
      </w:r>
      <w:bookmarkEnd w:id="490"/>
    </w:p>
    <w:p>
      <w:pPr>
        <w:pStyle w:val="4"/>
        <w:pageBreakBefore w:val="0"/>
        <w:widowControl w:val="0"/>
        <w:kinsoku/>
        <w:wordWrap/>
        <w:overflowPunct/>
        <w:topLinePunct w:val="0"/>
        <w:bidi w:val="0"/>
        <w:spacing w:before="0" w:after="0" w:line="360" w:lineRule="auto"/>
        <w:ind w:firstLine="480" w:firstLineChars="200"/>
        <w:jc w:val="left"/>
        <w:textAlignment w:val="auto"/>
        <w:rPr>
          <w:rFonts w:hint="eastAsia" w:ascii="宋体" w:hAnsi="宋体" w:eastAsia="宋体" w:cs="宋体"/>
          <w:color w:val="auto"/>
          <w:sz w:val="24"/>
          <w:szCs w:val="24"/>
          <w:highlight w:val="none"/>
        </w:rPr>
      </w:pPr>
      <w:bookmarkStart w:id="491" w:name="_Toc36140140"/>
      <w:r>
        <w:rPr>
          <w:rFonts w:hint="eastAsia" w:ascii="宋体" w:hAnsi="宋体" w:eastAsia="宋体" w:cs="宋体"/>
          <w:color w:val="auto"/>
          <w:sz w:val="24"/>
          <w:szCs w:val="24"/>
          <w:highlight w:val="none"/>
        </w:rPr>
        <w:t>4.1 评标程序</w:t>
      </w:r>
      <w:bookmarkEnd w:id="491"/>
    </w:p>
    <w:p>
      <w:pPr>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资质标、商务标、技术标应分别评审，评审后不得更改。</w:t>
      </w:r>
    </w:p>
    <w:p>
      <w:pPr>
        <w:pStyle w:val="4"/>
        <w:pageBreakBefore w:val="0"/>
        <w:widowControl w:val="0"/>
        <w:kinsoku/>
        <w:wordWrap/>
        <w:overflowPunct/>
        <w:topLinePunct w:val="0"/>
        <w:bidi w:val="0"/>
        <w:spacing w:before="0" w:after="0" w:line="360" w:lineRule="auto"/>
        <w:ind w:firstLine="480" w:firstLineChars="200"/>
        <w:jc w:val="left"/>
        <w:textAlignment w:val="auto"/>
        <w:rPr>
          <w:rFonts w:hint="eastAsia" w:ascii="宋体" w:hAnsi="宋体" w:eastAsia="宋体" w:cs="宋体"/>
          <w:color w:val="auto"/>
          <w:kern w:val="0"/>
          <w:sz w:val="24"/>
          <w:szCs w:val="24"/>
          <w:highlight w:val="none"/>
        </w:rPr>
      </w:pPr>
      <w:bookmarkStart w:id="492" w:name="_Toc36140142"/>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计价文件评审规定</w:t>
      </w:r>
      <w:bookmarkEnd w:id="492"/>
    </w:p>
    <w:p>
      <w:pPr>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评标委员会认为投标人的投标报价有可能低于其个别成本时，应当要求投标人以书面方式作出澄清，并提供相关证明材料后再进行认定。</w:t>
      </w:r>
    </w:p>
    <w:p>
      <w:pPr>
        <w:pStyle w:val="4"/>
        <w:pageBreakBefore w:val="0"/>
        <w:widowControl w:val="0"/>
        <w:kinsoku/>
        <w:wordWrap/>
        <w:overflowPunct/>
        <w:topLinePunct w:val="0"/>
        <w:bidi w:val="0"/>
        <w:spacing w:before="0" w:after="0" w:line="360" w:lineRule="auto"/>
        <w:ind w:firstLine="480" w:firstLineChars="200"/>
        <w:jc w:val="left"/>
        <w:textAlignment w:val="auto"/>
        <w:rPr>
          <w:rFonts w:hint="eastAsia" w:ascii="宋体" w:hAnsi="宋体" w:eastAsia="宋体" w:cs="宋体"/>
          <w:color w:val="auto"/>
          <w:sz w:val="24"/>
          <w:szCs w:val="24"/>
          <w:highlight w:val="none"/>
        </w:rPr>
      </w:pPr>
      <w:bookmarkStart w:id="493" w:name="_Toc36140143"/>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打分</w:t>
      </w:r>
      <w:bookmarkEnd w:id="493"/>
    </w:p>
    <w:p>
      <w:pPr>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委应记名打分，打分未记名的和未按招标文件规定的打分办法打分的，一律按无效票处理。设区间计分项的，其计分包括区间两端值。评审过程中，除招标文件另有规定外，如发现投标文件无相关资料、数据的，经评标委员会认定，可确定其该项不得分（即取消保底分值）。</w:t>
      </w:r>
    </w:p>
    <w:p>
      <w:pPr>
        <w:pStyle w:val="4"/>
        <w:pageBreakBefore w:val="0"/>
        <w:widowControl w:val="0"/>
        <w:numPr>
          <w:ins w:id="0" w:author="微软用户" w:date=""/>
        </w:numPr>
        <w:kinsoku/>
        <w:wordWrap/>
        <w:overflowPunct/>
        <w:topLinePunct w:val="0"/>
        <w:bidi w:val="0"/>
        <w:spacing w:before="0" w:after="0" w:line="360" w:lineRule="auto"/>
        <w:ind w:firstLine="480" w:firstLineChars="200"/>
        <w:jc w:val="left"/>
        <w:textAlignment w:val="auto"/>
        <w:rPr>
          <w:rFonts w:hint="eastAsia" w:ascii="宋体" w:hAnsi="宋体" w:eastAsia="宋体" w:cs="宋体"/>
          <w:color w:val="auto"/>
          <w:sz w:val="24"/>
          <w:szCs w:val="24"/>
          <w:highlight w:val="none"/>
        </w:rPr>
      </w:pPr>
      <w:bookmarkStart w:id="494" w:name="_Toc36140144"/>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争议处理</w:t>
      </w:r>
      <w:bookmarkEnd w:id="494"/>
    </w:p>
    <w:p>
      <w:pPr>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中发生重大情况或重大争议，需要进一步调查了解、协调处理的，现场监督人员报招标投标管理部门同意后可暂时休会，待有关问题得到澄清后再行复会。休会期间，所有招投标资料一律封存档案室，所有与会人员一律不得泄露评标情况。</w:t>
      </w:r>
    </w:p>
    <w:p>
      <w:pPr>
        <w:pStyle w:val="4"/>
        <w:pageBreakBefore w:val="0"/>
        <w:widowControl w:val="0"/>
        <w:kinsoku/>
        <w:wordWrap/>
        <w:overflowPunct/>
        <w:topLinePunct w:val="0"/>
        <w:bidi w:val="0"/>
        <w:spacing w:before="0" w:after="0" w:line="360" w:lineRule="auto"/>
        <w:ind w:firstLine="480" w:firstLineChars="200"/>
        <w:jc w:val="left"/>
        <w:textAlignment w:val="auto"/>
        <w:rPr>
          <w:rFonts w:hint="eastAsia" w:ascii="宋体" w:hAnsi="宋体" w:eastAsia="宋体" w:cs="宋体"/>
          <w:color w:val="auto"/>
          <w:sz w:val="24"/>
          <w:szCs w:val="24"/>
          <w:highlight w:val="none"/>
        </w:rPr>
      </w:pPr>
      <w:bookmarkStart w:id="495" w:name="_Toc36140145"/>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违法违纪行为</w:t>
      </w:r>
      <w:bookmarkEnd w:id="495"/>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在招投标过程中发生行贿受贿、扰乱招投标活动秩序及其他严重违法违纪行为的，一律取消有关责任人参与招投标活动的资格；影响评审结果的，应宣布评审结果无效。</w:t>
      </w:r>
    </w:p>
    <w:p>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pPr>
        <w:pStyle w:val="2"/>
        <w:spacing w:line="360" w:lineRule="auto"/>
        <w:rPr>
          <w:rFonts w:hint="eastAsia" w:ascii="宋体" w:hAnsi="宋体" w:eastAsia="宋体" w:cs="宋体"/>
          <w:color w:val="auto"/>
          <w:highlight w:val="none"/>
        </w:rPr>
      </w:pPr>
      <w:bookmarkStart w:id="496" w:name="_Toc36140147"/>
      <w:r>
        <w:rPr>
          <w:rFonts w:hint="eastAsia" w:ascii="宋体" w:hAnsi="宋体" w:eastAsia="宋体" w:cs="宋体"/>
          <w:color w:val="auto"/>
          <w:highlight w:val="none"/>
        </w:rPr>
        <w:t>第四章 合同条款及格式</w:t>
      </w:r>
      <w:bookmarkEnd w:id="496"/>
    </w:p>
    <w:p>
      <w:pPr>
        <w:keepNext w:val="0"/>
        <w:keepLines w:val="0"/>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甲方：</w:t>
      </w:r>
      <w:r>
        <w:rPr>
          <w:rFonts w:hint="eastAsia" w:ascii="宋体" w:hAnsi="宋体" w:eastAsia="宋体" w:cs="宋体"/>
          <w:color w:val="auto"/>
          <w:kern w:val="2"/>
          <w:sz w:val="24"/>
          <w:szCs w:val="24"/>
          <w:highlight w:val="none"/>
          <w:u w:val="single"/>
          <w:lang w:val="en-US" w:eastAsia="zh-CN" w:bidi="ar-SA"/>
        </w:rPr>
        <w:t>江苏大中农场集团有限公司</w:t>
      </w:r>
    </w:p>
    <w:p>
      <w:pPr>
        <w:keepNext w:val="0"/>
        <w:keepLines w:val="0"/>
        <w:pageBreakBefore w:val="0"/>
        <w:widowControl w:val="0"/>
        <w:kinsoku/>
        <w:wordWrap/>
        <w:overflowPunct/>
        <w:topLinePunct w:val="0"/>
        <w:autoSpaceDE/>
        <w:autoSpaceDN/>
        <w:bidi w:val="0"/>
        <w:adjustRightInd/>
        <w:snapToGrid w:val="0"/>
        <w:spacing w:before="0" w:after="0" w:line="360" w:lineRule="auto"/>
        <w:jc w:val="left"/>
        <w:textAlignment w:val="auto"/>
        <w:rPr>
          <w:rFonts w:hint="default"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乙方：</w:t>
      </w:r>
      <w:r>
        <w:rPr>
          <w:rFonts w:hint="eastAsia" w:ascii="宋体" w:hAnsi="宋体" w:eastAsia="宋体" w:cs="宋体"/>
          <w:color w:val="auto"/>
          <w:kern w:val="2"/>
          <w:sz w:val="24"/>
          <w:szCs w:val="24"/>
          <w:highlight w:val="none"/>
          <w:u w:val="single"/>
          <w:lang w:val="en-US" w:eastAsia="zh-CN" w:bidi="ar-SA"/>
        </w:rPr>
        <w:t xml:space="preserve">     中标单位名称       </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甲、乙双方根据公开招标的中标结果及中标通知书，签署本合同。</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一、合同内容</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1、项目名称：</w:t>
      </w:r>
      <w:r>
        <w:rPr>
          <w:rFonts w:hint="eastAsia" w:ascii="宋体" w:hAnsi="宋体" w:cs="宋体"/>
          <w:color w:val="auto"/>
          <w:kern w:val="2"/>
          <w:sz w:val="24"/>
          <w:szCs w:val="24"/>
          <w:highlight w:val="none"/>
          <w:lang w:val="en-US" w:eastAsia="zh-CN" w:bidi="ar-SA"/>
        </w:rPr>
        <w:t>江苏大中农场集团有限公司75履带挖掘机、翻转四铧犁、深松联合整地机采购项目</w:t>
      </w:r>
      <w:r>
        <w:rPr>
          <w:rFonts w:hint="eastAsia" w:ascii="宋体" w:hAnsi="宋体" w:eastAsia="宋体" w:cs="宋体"/>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2、项目内容：</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default" w:ascii="宋体" w:hAnsi="宋体" w:eastAsia="宋体" w:cs="宋体"/>
          <w:color w:val="auto"/>
          <w:kern w:val="2"/>
          <w:sz w:val="24"/>
          <w:szCs w:val="24"/>
          <w:highlight w:val="none"/>
          <w:u w:val="single"/>
          <w:lang w:val="en-US" w:eastAsia="zh-CN" w:bidi="ar-SA"/>
        </w:rPr>
      </w:pPr>
      <w:r>
        <w:rPr>
          <w:rFonts w:hint="eastAsia" w:ascii="宋体" w:hAnsi="宋体" w:cs="宋体"/>
          <w:color w:val="auto"/>
          <w:kern w:val="2"/>
          <w:sz w:val="24"/>
          <w:szCs w:val="24"/>
          <w:highlight w:val="none"/>
          <w:u w:val="single"/>
          <w:lang w:val="en-US" w:eastAsia="zh-CN" w:bidi="ar-SA"/>
        </w:rPr>
        <w:t>详见采购需求</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二、合同金额</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本合同金额（含税）为人民币（大写）：</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三、技术性能和技术资料</w:t>
      </w:r>
    </w:p>
    <w:p>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乙方所提供货物和服务的技术规格、内容应与招标文件规定的技术规范和需要相一致；符合国家有关部门最新颁布的标准及规范。</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四、知识产权</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应保证所提供的货物及服务或其任何一部分均不会侵犯任何第三方的知识产权，乙方对买方提供的业务资料、技术资料应严格保密，不得扩散。乙方应保证买方在使用、接受本合同货物和服务或其任何一部分时不受乙方及第三方提出侵犯其专利权、版权、商标权和工业设计权等知识产权的起诉。一旦出现侵权，由乙方负全部责任，若甲方因此而承担责任的，甲方可就全部责任向乙方行使追偿权。</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五、产权担保</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乙方保证所交付的货物的所有权完全属于乙方且无任何抵押、查封等产权瑕疵。</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六、履约保证金</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1、合同订立的同时，乙方向甲方提交合同总价10%的履约保证金，履约保证金在项目完成并经甲方验收合格且乙方无违约情形后，于20个工作日内退还（不计息）；</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2、提交方式：银行转帐、电汇、网汇、支票、汇票、本票、保函等非现金形式。</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3、退还方式：银行转帐、电汇、网汇、支票、汇票、本票、保函等非现金形式。</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七、转包或分包</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本合同范围的货物，应由乙方直接供应，不得转让他人供应；</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除非得到</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的书面同意，乙方不得将本合同范围的货物全部或部分分包给他人供应；</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如有转让和未经</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同意的分包行为，</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有权解除合同，没收履约保证金并追究乙方的违约责任。</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八、项目完成时间、交货方式及交货地点</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1、项目完成时间：合同签订后</w:t>
      </w:r>
      <w:r>
        <w:rPr>
          <w:rFonts w:hint="eastAsia" w:ascii="宋体" w:hAnsi="宋体" w:cs="宋体"/>
          <w:color w:val="auto"/>
          <w:kern w:val="2"/>
          <w:sz w:val="24"/>
          <w:szCs w:val="24"/>
          <w:highlight w:val="none"/>
          <w:lang w:val="en-US" w:eastAsia="zh-CN" w:bidi="ar-SA"/>
        </w:rPr>
        <w:t>20日历天</w:t>
      </w:r>
      <w:r>
        <w:rPr>
          <w:rFonts w:hint="eastAsia" w:ascii="宋体" w:hAnsi="宋体" w:eastAsia="宋体" w:cs="宋体"/>
          <w:color w:val="auto"/>
          <w:kern w:val="2"/>
          <w:sz w:val="24"/>
          <w:szCs w:val="24"/>
          <w:highlight w:val="none"/>
          <w:lang w:val="en-US" w:eastAsia="zh-CN" w:bidi="ar-SA"/>
        </w:rPr>
        <w:t>内完成全部工作内容。</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2、交货方式：</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（1）乙方交货前应对产品作出全面检查和对验收文件进行整理，并列出清单，作为甲方收货验收和使用的技术条件依据，检验的结果应随货物交甲方。</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（2）货物、材料运抵现场后，甲方对乙方提交的货物依据招标文件上的技术规格要求和国家有关质量标准进行现场初步验收，外观、说明书符合招标文件技术要求的，给予签收，初步验收不合格的不予签收。</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对设备、材料的品牌、型号、数量、产地等进行检查和清点，同类型的所有设备和材料应属同一制造商的同一地产品。如检验中发现短缺、损坏或假冒伪劣商品，乙方应立即采取补救措施，不得因此影响施工，否则一切损失由乙方负责。</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3、交货地点：甲方指定地点。</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九、合同价款与支付</w:t>
      </w:r>
    </w:p>
    <w:p>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none"/>
          <w:lang w:val="en-US" w:eastAsia="zh-CN" w:bidi="ar-SA"/>
        </w:rPr>
        <w:t>1、付款方式：</w:t>
      </w:r>
      <w:r>
        <w:rPr>
          <w:rFonts w:hint="eastAsia" w:ascii="宋体" w:hAnsi="宋体" w:eastAsia="宋体" w:cs="宋体"/>
          <w:color w:val="auto"/>
          <w:kern w:val="2"/>
          <w:sz w:val="24"/>
          <w:szCs w:val="24"/>
          <w:highlight w:val="yellow"/>
          <w:lang w:val="en-US" w:eastAsia="zh-CN" w:bidi="ar-SA"/>
        </w:rPr>
        <w:t>本项目无预付款，供货安装调试完成经验收合格后付至结算价款的60%，验收合格满一年付至结算价款的95%，余款待质保期满后无任何问题一次性无息结清。</w:t>
      </w:r>
    </w:p>
    <w:p>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注：按以上进度付款无任何利息补偿。乙方申请付款前应出具在税务部门开具的正式税票。 </w:t>
      </w:r>
    </w:p>
    <w:p>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货款一律通过银行非现金结算，结算方式：转账。</w:t>
      </w:r>
    </w:p>
    <w:p>
      <w:pPr>
        <w:keepNext w:val="0"/>
        <w:keepLines w:val="0"/>
        <w:pageBreakBefore w:val="0"/>
        <w:widowControl w:val="0"/>
        <w:tabs>
          <w:tab w:val="left" w:pos="420"/>
        </w:tabs>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结算方式：本项目采用“固定单价”合同，合同实施过程中中标综合单价不作调整。</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除甲方签证外，其他因素均包括在风险范围之内（不论材料价格的涨跌、政策性文件是否调整，结算时一律不调整中标单价）。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4"/>
          <w:szCs w:val="24"/>
          <w:highlight w:val="none"/>
        </w:rPr>
        <w:t>若因建设需求改变或项目变更等引起项目的增减和费用变化，按中标单价相应增减结算价款；</w:t>
      </w:r>
    </w:p>
    <w:p>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2"/>
          <w:sz w:val="24"/>
          <w:szCs w:val="24"/>
          <w:highlight w:val="none"/>
          <w:lang w:val="en-US" w:eastAsia="zh-CN"/>
        </w:rPr>
        <w:t>项目</w:t>
      </w:r>
      <w:r>
        <w:rPr>
          <w:rFonts w:hint="eastAsia" w:ascii="宋体" w:hAnsi="宋体" w:eastAsia="宋体" w:cs="宋体"/>
          <w:color w:val="auto"/>
          <w:kern w:val="2"/>
          <w:sz w:val="24"/>
          <w:szCs w:val="24"/>
          <w:highlight w:val="none"/>
        </w:rPr>
        <w:t>结算价=Σ经审定的</w:t>
      </w:r>
      <w:r>
        <w:rPr>
          <w:rFonts w:hint="eastAsia" w:ascii="宋体" w:hAnsi="宋体" w:eastAsia="宋体" w:cs="宋体"/>
          <w:color w:val="auto"/>
          <w:kern w:val="2"/>
          <w:sz w:val="24"/>
          <w:szCs w:val="24"/>
          <w:highlight w:val="none"/>
          <w:lang w:val="en-US" w:eastAsia="zh-CN"/>
        </w:rPr>
        <w:t>采购</w:t>
      </w:r>
      <w:r>
        <w:rPr>
          <w:rFonts w:hint="eastAsia" w:ascii="宋体" w:hAnsi="宋体" w:eastAsia="宋体" w:cs="宋体"/>
          <w:color w:val="auto"/>
          <w:kern w:val="2"/>
          <w:sz w:val="24"/>
          <w:szCs w:val="24"/>
          <w:highlight w:val="none"/>
        </w:rPr>
        <w:t>数量×中标</w:t>
      </w:r>
      <w:r>
        <w:rPr>
          <w:rFonts w:hint="eastAsia" w:ascii="宋体" w:hAnsi="宋体" w:eastAsia="宋体" w:cs="宋体"/>
          <w:color w:val="auto"/>
          <w:kern w:val="2"/>
          <w:sz w:val="24"/>
          <w:szCs w:val="24"/>
          <w:highlight w:val="none"/>
          <w:lang w:val="en-US" w:eastAsia="zh-CN"/>
        </w:rPr>
        <w:t>全费用综合</w:t>
      </w:r>
      <w:r>
        <w:rPr>
          <w:rFonts w:hint="eastAsia" w:ascii="宋体" w:hAnsi="宋体" w:eastAsia="宋体" w:cs="宋体"/>
          <w:color w:val="auto"/>
          <w:kern w:val="2"/>
          <w:sz w:val="24"/>
          <w:szCs w:val="24"/>
          <w:highlight w:val="none"/>
        </w:rPr>
        <w:t>单价</w:t>
      </w:r>
      <w:r>
        <w:rPr>
          <w:rFonts w:hint="eastAsia" w:ascii="宋体" w:hAnsi="宋体" w:eastAsia="宋体" w:cs="宋体"/>
          <w:color w:val="auto"/>
          <w:kern w:val="2"/>
          <w:sz w:val="24"/>
          <w:szCs w:val="24"/>
          <w:highlight w:val="none"/>
          <w:u w:val="none"/>
          <w:lang w:val="en-US" w:eastAsia="zh-CN"/>
        </w:rPr>
        <w:t>±</w:t>
      </w:r>
      <w:r>
        <w:rPr>
          <w:rFonts w:hint="eastAsia" w:ascii="宋体" w:hAnsi="宋体" w:eastAsia="宋体" w:cs="宋体"/>
          <w:color w:val="auto"/>
          <w:kern w:val="2"/>
          <w:sz w:val="24"/>
          <w:szCs w:val="24"/>
          <w:highlight w:val="none"/>
        </w:rPr>
        <w:t>变更部分</w:t>
      </w:r>
      <w:r>
        <w:rPr>
          <w:rFonts w:hint="eastAsia" w:ascii="宋体" w:hAnsi="宋体" w:eastAsia="宋体" w:cs="宋体"/>
          <w:color w:val="auto"/>
          <w:kern w:val="2"/>
          <w:sz w:val="24"/>
          <w:szCs w:val="24"/>
          <w:highlight w:val="none"/>
          <w:lang w:val="en-US" w:eastAsia="zh-CN"/>
        </w:rPr>
        <w:t>项目</w:t>
      </w:r>
      <w:r>
        <w:rPr>
          <w:rFonts w:hint="eastAsia" w:ascii="宋体" w:hAnsi="宋体" w:eastAsia="宋体" w:cs="宋体"/>
          <w:color w:val="auto"/>
          <w:kern w:val="2"/>
          <w:sz w:val="24"/>
          <w:szCs w:val="24"/>
          <w:highlight w:val="none"/>
        </w:rPr>
        <w:t>价款（含增减）。</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变更部分</w:t>
      </w:r>
      <w:r>
        <w:rPr>
          <w:rFonts w:hint="eastAsia" w:ascii="宋体" w:hAnsi="宋体" w:eastAsia="宋体" w:cs="宋体"/>
          <w:color w:val="auto"/>
          <w:kern w:val="2"/>
          <w:sz w:val="24"/>
          <w:szCs w:val="24"/>
          <w:highlight w:val="none"/>
          <w:lang w:val="en-US" w:eastAsia="zh-CN"/>
        </w:rPr>
        <w:t>项目</w:t>
      </w:r>
      <w:r>
        <w:rPr>
          <w:rFonts w:hint="eastAsia" w:ascii="宋体" w:hAnsi="宋体" w:eastAsia="宋体" w:cs="宋体"/>
          <w:color w:val="auto"/>
          <w:kern w:val="2"/>
          <w:sz w:val="24"/>
          <w:szCs w:val="24"/>
          <w:highlight w:val="none"/>
        </w:rPr>
        <w:t>价款结算方式：</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①、甲方</w:t>
      </w:r>
      <w:r>
        <w:rPr>
          <w:rFonts w:hint="eastAsia" w:ascii="宋体" w:hAnsi="宋体" w:eastAsia="宋体" w:cs="宋体"/>
          <w:color w:val="auto"/>
          <w:kern w:val="2"/>
          <w:sz w:val="24"/>
          <w:szCs w:val="24"/>
          <w:highlight w:val="none"/>
        </w:rPr>
        <w:t>要求变动的内容由</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项目</w:t>
      </w:r>
      <w:r>
        <w:rPr>
          <w:rFonts w:hint="eastAsia" w:ascii="宋体" w:hAnsi="宋体" w:eastAsia="宋体" w:cs="宋体"/>
          <w:color w:val="auto"/>
          <w:kern w:val="2"/>
          <w:sz w:val="24"/>
          <w:szCs w:val="24"/>
          <w:highlight w:val="none"/>
        </w:rPr>
        <w:t>监理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如有</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三方询价签证确认。</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w:t>
      </w:r>
      <w:r>
        <w:rPr>
          <w:rFonts w:hint="eastAsia" w:ascii="宋体" w:hAnsi="宋体" w:eastAsia="宋体" w:cs="宋体"/>
          <w:color w:val="auto"/>
          <w:kern w:val="2"/>
          <w:sz w:val="24"/>
          <w:szCs w:val="24"/>
          <w:highlight w:val="none"/>
        </w:rPr>
        <w:t>变更部分</w:t>
      </w:r>
      <w:r>
        <w:rPr>
          <w:rFonts w:hint="eastAsia" w:ascii="宋体" w:hAnsi="宋体" w:eastAsia="宋体" w:cs="宋体"/>
          <w:color w:val="auto"/>
          <w:kern w:val="2"/>
          <w:sz w:val="24"/>
          <w:szCs w:val="24"/>
          <w:highlight w:val="none"/>
          <w:lang w:val="en-US" w:eastAsia="zh-CN"/>
        </w:rPr>
        <w:t>项目</w:t>
      </w:r>
      <w:r>
        <w:rPr>
          <w:rFonts w:hint="eastAsia" w:ascii="宋体" w:hAnsi="宋体" w:eastAsia="宋体" w:cs="宋体"/>
          <w:color w:val="auto"/>
          <w:kern w:val="2"/>
          <w:sz w:val="24"/>
          <w:szCs w:val="24"/>
          <w:highlight w:val="none"/>
        </w:rPr>
        <w:t>价款须经</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委托的审计单位审计核定，结算方法如下：</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合同中综合单价因</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的</w:t>
      </w:r>
      <w:r>
        <w:rPr>
          <w:rFonts w:hint="eastAsia" w:ascii="宋体" w:hAnsi="宋体" w:eastAsia="宋体" w:cs="宋体"/>
          <w:color w:val="auto"/>
          <w:kern w:val="2"/>
          <w:sz w:val="24"/>
          <w:szCs w:val="24"/>
          <w:highlight w:val="none"/>
          <w:lang w:val="en-US" w:eastAsia="zh-CN"/>
        </w:rPr>
        <w:t>采购</w:t>
      </w:r>
      <w:r>
        <w:rPr>
          <w:rFonts w:hint="eastAsia" w:ascii="宋体" w:hAnsi="宋体" w:eastAsia="宋体" w:cs="宋体"/>
          <w:color w:val="auto"/>
          <w:kern w:val="2"/>
          <w:sz w:val="24"/>
          <w:szCs w:val="24"/>
          <w:highlight w:val="none"/>
        </w:rPr>
        <w:t>清单漏项或非</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原因的</w:t>
      </w:r>
      <w:r>
        <w:rPr>
          <w:rFonts w:hint="eastAsia" w:ascii="宋体" w:hAnsi="宋体" w:eastAsia="宋体" w:cs="宋体"/>
          <w:color w:val="auto"/>
          <w:kern w:val="2"/>
          <w:sz w:val="24"/>
          <w:szCs w:val="24"/>
          <w:highlight w:val="none"/>
          <w:lang w:val="en-US" w:eastAsia="zh-CN"/>
        </w:rPr>
        <w:t>项目</w:t>
      </w:r>
      <w:r>
        <w:rPr>
          <w:rFonts w:hint="eastAsia" w:ascii="宋体" w:hAnsi="宋体" w:eastAsia="宋体" w:cs="宋体"/>
          <w:color w:val="auto"/>
          <w:kern w:val="2"/>
          <w:sz w:val="24"/>
          <w:szCs w:val="24"/>
          <w:highlight w:val="none"/>
        </w:rPr>
        <w:t>变更，造成增加新的</w:t>
      </w:r>
      <w:r>
        <w:rPr>
          <w:rFonts w:hint="eastAsia" w:ascii="宋体" w:hAnsi="宋体" w:eastAsia="宋体" w:cs="宋体"/>
          <w:color w:val="auto"/>
          <w:kern w:val="2"/>
          <w:sz w:val="24"/>
          <w:szCs w:val="24"/>
          <w:highlight w:val="none"/>
          <w:lang w:val="en-US" w:eastAsia="zh-CN"/>
        </w:rPr>
        <w:t>采购</w:t>
      </w:r>
      <w:r>
        <w:rPr>
          <w:rFonts w:hint="eastAsia" w:ascii="宋体" w:hAnsi="宋体" w:eastAsia="宋体" w:cs="宋体"/>
          <w:color w:val="auto"/>
          <w:kern w:val="2"/>
          <w:sz w:val="24"/>
          <w:szCs w:val="24"/>
          <w:highlight w:val="none"/>
        </w:rPr>
        <w:t>清单项目需调整时按照下列办法确定：</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合同中已有适用的综合单价，按合同中已有的综合单价确定；合同中有类似的综合单价，参照类似的综合单价确定；合同中没有适用或类似的综合单价，其相应综合单价由</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提出，</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送有关部门进行审定，按中标下浮率同比下浮后作为结算单价。</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中标下浮率计算公式如下：</w:t>
      </w:r>
    </w:p>
    <w:p>
      <w:pPr>
        <w:keepNext w:val="0"/>
        <w:keepLines w:val="0"/>
        <w:pageBreakBefore w:val="0"/>
        <w:kinsoku/>
        <w:wordWrap/>
        <w:overflowPunct/>
        <w:topLinePunct w:val="0"/>
        <w:autoSpaceDE/>
        <w:autoSpaceDN/>
        <w:bidi w:val="0"/>
        <w:snapToGrid w:val="0"/>
        <w:spacing w:line="38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rPr>
        <w:t>下浮率＝（</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预算价-中标价）÷</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预算价×100%</w:t>
      </w:r>
    </w:p>
    <w:p>
      <w:pPr>
        <w:keepNext w:val="0"/>
        <w:keepLines w:val="0"/>
        <w:pageBreakBefore w:val="0"/>
        <w:kinsoku/>
        <w:wordWrap/>
        <w:overflowPunct/>
        <w:topLinePunct w:val="0"/>
        <w:autoSpaceDE/>
        <w:autoSpaceDN/>
        <w:bidi w:val="0"/>
        <w:adjustRightInd/>
        <w:spacing w:line="360" w:lineRule="auto"/>
        <w:ind w:left="0" w:right="0" w:rightChars="0" w:firstLine="480" w:firstLineChars="200"/>
        <w:jc w:val="lef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实际</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数量按实际完成的、质量合格的、</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签字认可的</w:t>
      </w:r>
      <w:r>
        <w:rPr>
          <w:rFonts w:hint="eastAsia" w:ascii="宋体" w:hAnsi="宋体" w:eastAsia="宋体" w:cs="宋体"/>
          <w:color w:val="auto"/>
          <w:kern w:val="0"/>
          <w:sz w:val="24"/>
          <w:szCs w:val="24"/>
          <w:highlight w:val="none"/>
          <w:lang w:val="en-US" w:eastAsia="zh-CN"/>
        </w:rPr>
        <w:t>数</w:t>
      </w:r>
      <w:r>
        <w:rPr>
          <w:rFonts w:hint="eastAsia" w:ascii="宋体" w:hAnsi="宋体" w:eastAsia="宋体" w:cs="宋体"/>
          <w:color w:val="auto"/>
          <w:kern w:val="0"/>
          <w:sz w:val="24"/>
          <w:szCs w:val="24"/>
          <w:highlight w:val="none"/>
        </w:rPr>
        <w:t>量结算，质量不合格的要求反修达到合格标准，否则不予结算。</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十、税费</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十一、质量保证及售后服务</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1、乙方负责提供本项目范围内所使用的所有设备、材料、装置的原产地证明、质保、售后文件和相应的等级标准证明并承诺向甲方提供有关制造业的质保证明。</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2、乙方应保证货物是全新、未使用过的，是用一流的工艺和最佳材料制造的、合法渠道进货的正宗、原装合格正品，并完全符合合同规定的质量、规格和性能的要求。乙方应保证其货物在正确安装、正常使用和保养条件下，在其使用寿命期内应具有满意的性能。货物最终验收后，在质量保证期内，乙方应对由于设计、工艺或材料的缺陷而发生的任何不足或故障负责，费用由乙方负担。</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3、在质量保证期内，如果货物的数量、质量或规格与合同及招标需求不符，或证明货物是有缺陷的，包括潜在的缺陷或使用不符合要求的材料等，甲方将以包括但不限于：书面、邮件、传真及其他电子数据等形式向乙方提出维修、更换和索赔。</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4、乙方在收到通知后，应在合同中所附服务承诺约定的时间内必须主动对设备免费维修、更换有缺陷的货物或部件。</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5、如果乙方在收到通知后，在合同中所附服务承诺约定的时间内没有弥补缺陷，甲方可采取必要的补救措施，但风险和费用将由乙方承担。</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6、合同期间，乙方提供用于本项目的维护专业人员不得少于3人，必须含有专业维修设备进行现场服务，随时准备解决各类设备、系统出现的问题；提供质保期内日常维护和保养计划，乙方每三个月至少进行一次维护保养，维护保养记录交甲方备案。</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7、在质保期内，乙方应对所供</w:t>
      </w:r>
      <w:r>
        <w:rPr>
          <w:rFonts w:hint="eastAsia" w:ascii="宋体" w:hAnsi="宋体" w:cs="宋体"/>
          <w:snapToGrid w:val="0"/>
          <w:color w:val="auto"/>
          <w:kern w:val="2"/>
          <w:sz w:val="24"/>
          <w:szCs w:val="24"/>
          <w:highlight w:val="none"/>
          <w:lang w:val="en-US" w:eastAsia="zh-CN" w:bidi="ar-SA"/>
        </w:rPr>
        <w:t>货物</w:t>
      </w:r>
      <w:r>
        <w:rPr>
          <w:rFonts w:hint="eastAsia" w:ascii="宋体" w:hAnsi="宋体" w:eastAsia="宋体" w:cs="宋体"/>
          <w:snapToGrid w:val="0"/>
          <w:color w:val="auto"/>
          <w:kern w:val="2"/>
          <w:sz w:val="24"/>
          <w:szCs w:val="24"/>
          <w:highlight w:val="none"/>
          <w:lang w:val="en-US" w:eastAsia="zh-CN" w:bidi="ar-SA"/>
        </w:rPr>
        <w:t>及配套设备出现的质量及安全问题负责处理解决并承担一切费用。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8、质量保证及售后服务要求：本项目质保期为设备自安装及调试完成通过验收之日起计质保期</w:t>
      </w:r>
      <w:r>
        <w:rPr>
          <w:rFonts w:hint="eastAsia" w:ascii="宋体" w:hAnsi="宋体" w:eastAsia="宋体" w:cs="宋体"/>
          <w:snapToGrid w:val="0"/>
          <w:color w:val="auto"/>
          <w:kern w:val="2"/>
          <w:sz w:val="24"/>
          <w:szCs w:val="24"/>
          <w:highlight w:val="none"/>
          <w:u w:val="single"/>
          <w:lang w:val="en-US" w:eastAsia="zh-CN" w:bidi="ar-SA"/>
        </w:rPr>
        <w:t xml:space="preserve">     </w:t>
      </w:r>
      <w:r>
        <w:rPr>
          <w:rFonts w:hint="eastAsia" w:ascii="宋体" w:hAnsi="宋体" w:eastAsia="宋体" w:cs="宋体"/>
          <w:snapToGrid w:val="0"/>
          <w:color w:val="auto"/>
          <w:kern w:val="2"/>
          <w:sz w:val="24"/>
          <w:szCs w:val="24"/>
          <w:highlight w:val="none"/>
          <w:lang w:val="en-US" w:eastAsia="zh-CN" w:bidi="ar-SA"/>
        </w:rPr>
        <w:t>。</w:t>
      </w:r>
      <w:r>
        <w:rPr>
          <w:rFonts w:hint="eastAsia" w:ascii="宋体" w:hAnsi="宋体" w:eastAsia="宋体" w:cs="宋体"/>
          <w:kern w:val="0"/>
          <w:sz w:val="24"/>
          <w:szCs w:val="24"/>
          <w:highlight w:val="none"/>
        </w:rPr>
        <w:t>质保期内，</w:t>
      </w:r>
      <w:r>
        <w:rPr>
          <w:rFonts w:hint="eastAsia" w:ascii="宋体" w:hAnsi="宋体" w:cs="宋体"/>
          <w:kern w:val="0"/>
          <w:sz w:val="24"/>
          <w:szCs w:val="24"/>
          <w:highlight w:val="none"/>
          <w:lang w:val="en-US" w:eastAsia="zh-CN"/>
        </w:rPr>
        <w:t>乙方</w:t>
      </w:r>
      <w:r>
        <w:rPr>
          <w:rFonts w:hint="eastAsia" w:ascii="宋体" w:hAnsi="宋体" w:eastAsia="宋体" w:cs="宋体"/>
          <w:kern w:val="0"/>
          <w:sz w:val="24"/>
          <w:szCs w:val="24"/>
          <w:highlight w:val="none"/>
        </w:rPr>
        <w:t>必须在接到报修电话后</w:t>
      </w:r>
      <w:r>
        <w:rPr>
          <w:rFonts w:hint="eastAsia" w:ascii="宋体" w:hAnsi="宋体" w:cs="宋体"/>
          <w:kern w:val="0"/>
          <w:sz w:val="24"/>
          <w:szCs w:val="24"/>
          <w:highlight w:val="none"/>
          <w:u w:val="single"/>
          <w:lang w:val="en-US" w:eastAsia="zh-CN"/>
        </w:rPr>
        <w:t xml:space="preserve">     </w:t>
      </w:r>
      <w:r>
        <w:rPr>
          <w:rFonts w:ascii="宋体" w:hAnsi="宋体" w:eastAsia="宋体" w:cs="宋体"/>
          <w:kern w:val="0"/>
          <w:sz w:val="24"/>
          <w:szCs w:val="24"/>
          <w:highlight w:val="none"/>
        </w:rPr>
        <w:t>小时内响应，</w:t>
      </w:r>
      <w:r>
        <w:rPr>
          <w:rFonts w:hint="eastAsia" w:ascii="宋体" w:hAnsi="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小时内到达现场免费维修，</w:t>
      </w:r>
      <w:r>
        <w:rPr>
          <w:rFonts w:hint="eastAsia" w:ascii="宋体" w:hAnsi="宋体" w:cs="宋体"/>
          <w:kern w:val="0"/>
          <w:sz w:val="24"/>
          <w:szCs w:val="24"/>
          <w:highlight w:val="none"/>
          <w:u w:val="single"/>
          <w:lang w:val="en-US" w:eastAsia="zh-CN"/>
        </w:rPr>
        <w:t xml:space="preserve">    </w:t>
      </w:r>
      <w:r>
        <w:rPr>
          <w:rFonts w:ascii="宋体" w:hAnsi="宋体" w:eastAsia="宋体" w:cs="宋体"/>
          <w:kern w:val="0"/>
          <w:sz w:val="24"/>
          <w:szCs w:val="24"/>
          <w:highlight w:val="none"/>
        </w:rPr>
        <w:t>小时内修复。如</w:t>
      </w:r>
      <w:r>
        <w:rPr>
          <w:rFonts w:hint="eastAsia" w:ascii="宋体" w:hAnsi="宋体" w:cs="宋体"/>
          <w:kern w:val="0"/>
          <w:sz w:val="24"/>
          <w:szCs w:val="24"/>
          <w:highlight w:val="none"/>
          <w:u w:val="single"/>
          <w:lang w:val="en-US" w:eastAsia="zh-CN"/>
        </w:rPr>
        <w:t xml:space="preserve">    </w:t>
      </w:r>
      <w:r>
        <w:rPr>
          <w:rFonts w:ascii="宋体" w:hAnsi="宋体" w:eastAsia="宋体" w:cs="宋体"/>
          <w:kern w:val="0"/>
          <w:sz w:val="24"/>
          <w:szCs w:val="24"/>
          <w:highlight w:val="none"/>
        </w:rPr>
        <w:t>小时内无法修复的，必须全免费提供不低于故障设备规格型号档次的备用设备（或采用应急措施）供</w:t>
      </w:r>
      <w:r>
        <w:rPr>
          <w:rFonts w:hint="eastAsia" w:ascii="宋体" w:hAnsi="宋体" w:cs="宋体"/>
          <w:kern w:val="0"/>
          <w:sz w:val="24"/>
          <w:szCs w:val="24"/>
          <w:highlight w:val="none"/>
          <w:lang w:val="en-US" w:eastAsia="zh-CN"/>
        </w:rPr>
        <w:t>甲方</w:t>
      </w:r>
      <w:r>
        <w:rPr>
          <w:rFonts w:ascii="宋体" w:hAnsi="宋体" w:eastAsia="宋体" w:cs="宋体"/>
          <w:kern w:val="0"/>
          <w:sz w:val="24"/>
          <w:szCs w:val="24"/>
          <w:highlight w:val="none"/>
        </w:rPr>
        <w:t>临时使用，不得影响</w:t>
      </w:r>
      <w:r>
        <w:rPr>
          <w:rFonts w:hint="eastAsia" w:ascii="宋体" w:hAnsi="宋体" w:cs="宋体"/>
          <w:kern w:val="0"/>
          <w:sz w:val="24"/>
          <w:szCs w:val="24"/>
          <w:highlight w:val="none"/>
          <w:lang w:val="en-US" w:eastAsia="zh-CN"/>
        </w:rPr>
        <w:t>甲方</w:t>
      </w:r>
      <w:r>
        <w:rPr>
          <w:rFonts w:ascii="宋体" w:hAnsi="宋体" w:eastAsia="宋体" w:cs="宋体"/>
          <w:kern w:val="0"/>
          <w:sz w:val="24"/>
          <w:szCs w:val="24"/>
          <w:highlight w:val="none"/>
        </w:rPr>
        <w:t>的正常工作，直到故障设备修复。</w:t>
      </w:r>
      <w:r>
        <w:rPr>
          <w:rFonts w:hint="eastAsia" w:ascii="宋体" w:hAnsi="宋体" w:eastAsia="宋体" w:cs="宋体"/>
          <w:snapToGrid w:val="0"/>
          <w:color w:val="auto"/>
          <w:kern w:val="2"/>
          <w:sz w:val="24"/>
          <w:szCs w:val="24"/>
          <w:highlight w:val="none"/>
          <w:lang w:val="en-US" w:eastAsia="zh-CN" w:bidi="ar-SA"/>
        </w:rPr>
        <w:t>如质保期内未按照要求在</w:t>
      </w:r>
      <w:r>
        <w:rPr>
          <w:rFonts w:hint="eastAsia" w:ascii="宋体" w:hAnsi="宋体" w:eastAsia="宋体" w:cs="宋体"/>
          <w:snapToGrid w:val="0"/>
          <w:color w:val="auto"/>
          <w:kern w:val="2"/>
          <w:sz w:val="24"/>
          <w:szCs w:val="24"/>
          <w:highlight w:val="none"/>
          <w:u w:val="single"/>
          <w:lang w:val="en-US" w:eastAsia="zh-CN" w:bidi="ar-SA"/>
        </w:rPr>
        <w:t xml:space="preserve">     </w:t>
      </w:r>
      <w:r>
        <w:rPr>
          <w:rFonts w:hint="eastAsia" w:ascii="宋体" w:hAnsi="宋体" w:eastAsia="宋体" w:cs="宋体"/>
          <w:snapToGrid w:val="0"/>
          <w:color w:val="auto"/>
          <w:kern w:val="2"/>
          <w:sz w:val="24"/>
          <w:szCs w:val="24"/>
          <w:highlight w:val="none"/>
          <w:lang w:val="en-US" w:eastAsia="zh-CN" w:bidi="ar-SA"/>
        </w:rPr>
        <w:t>小时内修复完成</w:t>
      </w:r>
      <w:r>
        <w:rPr>
          <w:rFonts w:hint="eastAsia" w:ascii="宋体" w:hAnsi="宋体" w:cs="宋体"/>
          <w:snapToGrid w:val="0"/>
          <w:color w:val="auto"/>
          <w:kern w:val="2"/>
          <w:sz w:val="24"/>
          <w:szCs w:val="24"/>
          <w:highlight w:val="none"/>
          <w:lang w:val="en-US" w:eastAsia="zh-CN" w:bidi="ar-SA"/>
        </w:rPr>
        <w:t>，且未提供备用设备</w:t>
      </w:r>
      <w:r>
        <w:rPr>
          <w:rFonts w:ascii="宋体" w:hAnsi="宋体" w:eastAsia="宋体" w:cs="宋体"/>
          <w:kern w:val="0"/>
          <w:sz w:val="24"/>
          <w:szCs w:val="24"/>
          <w:highlight w:val="none"/>
        </w:rPr>
        <w:t>（或采用应急措施）供</w:t>
      </w:r>
      <w:r>
        <w:rPr>
          <w:rFonts w:hint="eastAsia" w:ascii="宋体" w:hAnsi="宋体" w:cs="宋体"/>
          <w:kern w:val="0"/>
          <w:sz w:val="24"/>
          <w:szCs w:val="24"/>
          <w:highlight w:val="none"/>
          <w:lang w:val="en-US" w:eastAsia="zh-CN"/>
        </w:rPr>
        <w:t>甲方</w:t>
      </w:r>
      <w:r>
        <w:rPr>
          <w:rFonts w:ascii="宋体" w:hAnsi="宋体" w:eastAsia="宋体" w:cs="宋体"/>
          <w:kern w:val="0"/>
          <w:sz w:val="24"/>
          <w:szCs w:val="24"/>
          <w:highlight w:val="none"/>
        </w:rPr>
        <w:t>临时使用</w:t>
      </w:r>
      <w:r>
        <w:rPr>
          <w:rFonts w:hint="eastAsia" w:ascii="宋体" w:hAnsi="宋体" w:eastAsia="宋体" w:cs="宋体"/>
          <w:snapToGrid w:val="0"/>
          <w:color w:val="auto"/>
          <w:kern w:val="2"/>
          <w:sz w:val="24"/>
          <w:szCs w:val="24"/>
          <w:highlight w:val="none"/>
          <w:lang w:val="en-US" w:eastAsia="zh-CN" w:bidi="ar-SA"/>
        </w:rPr>
        <w:t xml:space="preserve">，每天按合同总额的1‰扣除，质保金不足扣除的，甲方可按此主张违约责任。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乙方在质保期内安装（更换）的</w:t>
      </w:r>
      <w:r>
        <w:rPr>
          <w:rFonts w:hint="eastAsia" w:ascii="宋体" w:hAnsi="宋体" w:eastAsia="宋体" w:cs="宋体"/>
          <w:snapToGrid w:val="0"/>
          <w:sz w:val="24"/>
          <w:szCs w:val="24"/>
          <w:highlight w:val="none"/>
        </w:rPr>
        <w:t>备品配件</w:t>
      </w:r>
      <w:r>
        <w:rPr>
          <w:rFonts w:hint="eastAsia" w:ascii="宋体" w:hAnsi="宋体" w:eastAsia="宋体" w:cs="宋体"/>
          <w:color w:val="000000"/>
          <w:sz w:val="24"/>
          <w:szCs w:val="24"/>
          <w:highlight w:val="none"/>
        </w:rPr>
        <w:t>，必须是货物制造商原产的。</w:t>
      </w:r>
      <w:r>
        <w:rPr>
          <w:rFonts w:hint="eastAsia" w:ascii="宋体" w:hAnsi="宋体" w:eastAsia="宋体" w:cs="宋体"/>
          <w:snapToGrid w:val="0"/>
          <w:color w:val="auto"/>
          <w:kern w:val="2"/>
          <w:sz w:val="24"/>
          <w:szCs w:val="24"/>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10、</w:t>
      </w:r>
      <w:r>
        <w:rPr>
          <w:rFonts w:hint="eastAsia" w:ascii="宋体" w:hAnsi="宋体" w:eastAsia="宋体" w:cs="宋体"/>
          <w:color w:val="000000"/>
          <w:sz w:val="24"/>
          <w:szCs w:val="24"/>
          <w:highlight w:val="none"/>
        </w:rPr>
        <w:t>所有的替代零配件必须是新的未使用和未经修复的,除非甲方提供书面许可，否则不可使用此范围外的其他（非新的）配件。</w:t>
      </w:r>
      <w:r>
        <w:rPr>
          <w:rFonts w:hint="eastAsia" w:ascii="宋体" w:hAnsi="宋体" w:eastAsia="宋体" w:cs="宋体"/>
          <w:snapToGrid w:val="0"/>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w:t>
      </w:r>
      <w:r>
        <w:rPr>
          <w:rFonts w:hint="eastAsia" w:ascii="宋体" w:hAnsi="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rPr>
        <w:t>、质保期结束前，须由甲方和乙方进行一次全面检查，任何缺陷必须由乙方负责修理，在修理之后，乙方应将缺陷原因、修理内容、完成修理及恢复正常的时间和日期等报告给甲方，报告一式两份。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12</w:t>
      </w:r>
      <w:r>
        <w:rPr>
          <w:rFonts w:hint="eastAsia" w:ascii="宋体" w:hAnsi="宋体" w:eastAsia="宋体" w:cs="宋体"/>
          <w:kern w:val="0"/>
          <w:sz w:val="24"/>
          <w:szCs w:val="24"/>
          <w:highlight w:val="none"/>
          <w:lang w:val="en-US" w:eastAsia="zh-CN"/>
        </w:rPr>
        <w:t>、</w:t>
      </w:r>
      <w:r>
        <w:rPr>
          <w:rFonts w:hint="eastAsia" w:ascii="宋体" w:hAnsi="宋体" w:cs="宋体"/>
          <w:kern w:val="0"/>
          <w:sz w:val="24"/>
          <w:szCs w:val="24"/>
          <w:highlight w:val="none"/>
          <w:lang w:val="en-US" w:eastAsia="zh-CN"/>
        </w:rPr>
        <w:t>乙方</w:t>
      </w:r>
      <w:r>
        <w:rPr>
          <w:rFonts w:hint="eastAsia" w:ascii="宋体" w:hAnsi="宋体" w:eastAsia="宋体" w:cs="宋体"/>
          <w:kern w:val="0"/>
          <w:sz w:val="24"/>
          <w:szCs w:val="24"/>
          <w:highlight w:val="none"/>
        </w:rPr>
        <w:t>对所</w:t>
      </w:r>
      <w:r>
        <w:rPr>
          <w:rFonts w:hint="eastAsia" w:ascii="宋体" w:hAnsi="宋体" w:cs="宋体"/>
          <w:kern w:val="0"/>
          <w:sz w:val="24"/>
          <w:szCs w:val="24"/>
          <w:highlight w:val="none"/>
          <w:lang w:val="en-US" w:eastAsia="zh-CN"/>
        </w:rPr>
        <w:t>供货物</w:t>
      </w:r>
      <w:r>
        <w:rPr>
          <w:rFonts w:hint="eastAsia" w:ascii="宋体" w:hAnsi="宋体" w:eastAsia="宋体" w:cs="宋体"/>
          <w:kern w:val="0"/>
          <w:sz w:val="24"/>
          <w:szCs w:val="24"/>
          <w:highlight w:val="none"/>
        </w:rPr>
        <w:t>实行终身维护</w:t>
      </w:r>
      <w:r>
        <w:rPr>
          <w:rFonts w:hint="eastAsia" w:ascii="宋体" w:hAnsi="宋体" w:cs="宋体"/>
          <w:kern w:val="0"/>
          <w:sz w:val="24"/>
          <w:szCs w:val="24"/>
          <w:highlight w:val="none"/>
          <w:lang w:val="en-US" w:eastAsia="zh-CN"/>
        </w:rPr>
        <w:t>和本地化服务</w:t>
      </w:r>
      <w:r>
        <w:rPr>
          <w:rFonts w:hint="eastAsia" w:ascii="宋体" w:hAnsi="宋体" w:eastAsia="宋体" w:cs="宋体"/>
          <w:kern w:val="0"/>
          <w:sz w:val="24"/>
          <w:szCs w:val="24"/>
          <w:highlight w:val="none"/>
        </w:rPr>
        <w:t>，保修期外发生维修</w:t>
      </w:r>
      <w:r>
        <w:rPr>
          <w:rFonts w:hint="eastAsia" w:ascii="宋体" w:hAnsi="宋体" w:cs="宋体"/>
          <w:kern w:val="0"/>
          <w:sz w:val="24"/>
          <w:szCs w:val="24"/>
          <w:highlight w:val="none"/>
          <w:lang w:val="en-US" w:eastAsia="zh-CN"/>
        </w:rPr>
        <w:t>的，须免费提供人工维修服务，并</w:t>
      </w:r>
      <w:r>
        <w:rPr>
          <w:rFonts w:hint="eastAsia" w:ascii="宋体" w:hAnsi="宋体" w:eastAsia="宋体" w:cs="宋体"/>
          <w:kern w:val="0"/>
          <w:sz w:val="24"/>
          <w:szCs w:val="24"/>
          <w:highlight w:val="none"/>
        </w:rPr>
        <w:t>只收配件、材料成本费。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须提供全天候7×24×365的售后服务，</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提供统一的售后服务受理电话，在投标文件中明确售后服务受理电话号码及专门为</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服务的客户服务经理姓名、电话。</w:t>
      </w:r>
      <w:r>
        <w:rPr>
          <w:rFonts w:hint="eastAsia" w:ascii="宋体" w:hAnsi="宋体" w:cs="宋体"/>
          <w:kern w:val="0"/>
          <w:sz w:val="24"/>
          <w:szCs w:val="24"/>
          <w:highlight w:val="none"/>
          <w:lang w:val="en-US" w:eastAsia="zh-CN"/>
        </w:rPr>
        <w:t>乙方</w:t>
      </w:r>
      <w:r>
        <w:rPr>
          <w:rFonts w:hint="eastAsia" w:ascii="宋体" w:hAnsi="宋体" w:eastAsia="宋体" w:cs="宋体"/>
          <w:kern w:val="0"/>
          <w:sz w:val="24"/>
          <w:szCs w:val="24"/>
          <w:highlight w:val="none"/>
        </w:rPr>
        <w:t>应免费为</w:t>
      </w:r>
      <w:r>
        <w:rPr>
          <w:rFonts w:hint="eastAsia" w:ascii="宋体" w:hAnsi="宋体" w:cs="宋体"/>
          <w:kern w:val="0"/>
          <w:sz w:val="24"/>
          <w:szCs w:val="24"/>
          <w:highlight w:val="none"/>
          <w:lang w:val="en-US" w:eastAsia="zh-CN"/>
        </w:rPr>
        <w:t>甲方</w:t>
      </w:r>
      <w:r>
        <w:rPr>
          <w:rFonts w:hint="eastAsia" w:ascii="宋体" w:hAnsi="宋体" w:eastAsia="宋体" w:cs="宋体"/>
          <w:kern w:val="0"/>
          <w:sz w:val="24"/>
          <w:szCs w:val="24"/>
          <w:highlight w:val="none"/>
        </w:rPr>
        <w:t>培训使用及维护人员，现场指导整车的所有系统操作、维护和保养工作，确保</w:t>
      </w:r>
      <w:r>
        <w:rPr>
          <w:rFonts w:hint="eastAsia" w:ascii="宋体" w:hAnsi="宋体" w:cs="宋体"/>
          <w:kern w:val="0"/>
          <w:sz w:val="24"/>
          <w:szCs w:val="24"/>
          <w:highlight w:val="none"/>
          <w:lang w:val="en-US" w:eastAsia="zh-CN"/>
        </w:rPr>
        <w:t>甲方</w:t>
      </w:r>
      <w:r>
        <w:rPr>
          <w:rFonts w:hint="eastAsia" w:ascii="宋体" w:hAnsi="宋体" w:eastAsia="宋体" w:cs="宋体"/>
          <w:kern w:val="0"/>
          <w:sz w:val="24"/>
          <w:szCs w:val="24"/>
          <w:highlight w:val="none"/>
        </w:rPr>
        <w:t>使用人员能正确使用、维护保养整车所有系统</w:t>
      </w:r>
      <w:r>
        <w:rPr>
          <w:rFonts w:hint="eastAsia" w:ascii="宋体" w:hAnsi="宋体" w:eastAsia="宋体" w:cs="宋体"/>
          <w:sz w:val="24"/>
          <w:szCs w:val="24"/>
          <w:highlight w:val="none"/>
        </w:rPr>
        <w:t>。</w:t>
      </w:r>
      <w:r>
        <w:rPr>
          <w:rFonts w:hint="eastAsia" w:ascii="宋体" w:hAnsi="宋体" w:eastAsia="宋体" w:cs="宋体"/>
          <w:snapToGrid w:val="0"/>
          <w:color w:val="auto"/>
          <w:kern w:val="2"/>
          <w:sz w:val="24"/>
          <w:szCs w:val="24"/>
          <w:highlight w:val="none"/>
          <w:lang w:val="en-US" w:eastAsia="zh-CN" w:bidi="ar-SA"/>
        </w:rPr>
        <w:t xml:space="preserve">                                </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十二、调试和验收</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乙方将产品运至甲方指定地点后，由甲方进行验收。验收通过的，由甲方提供书面验收单。若产品不符合合同约定（如验收时技术性能与投标文件中技术条款响应情况不符），甲方有权拒绝签收产品。</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2</w:t>
      </w:r>
      <w:r>
        <w:rPr>
          <w:rFonts w:hint="eastAsia" w:ascii="宋体" w:hAnsi="宋体" w:eastAsia="宋体" w:cs="宋体"/>
          <w:kern w:val="0"/>
          <w:sz w:val="24"/>
          <w:szCs w:val="22"/>
          <w:highlight w:val="none"/>
          <w:lang w:eastAsia="zh-CN"/>
        </w:rPr>
        <w:t>、</w:t>
      </w:r>
      <w:r>
        <w:rPr>
          <w:rFonts w:hint="eastAsia" w:ascii="宋体" w:hAnsi="宋体" w:eastAsia="宋体" w:cs="宋体"/>
          <w:kern w:val="0"/>
          <w:sz w:val="24"/>
          <w:szCs w:val="22"/>
          <w:highlight w:val="none"/>
        </w:rPr>
        <w:t>验收通过并不免除乙方因产品质量瑕疵而应承担的维修、赔偿等责任。</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3</w:t>
      </w:r>
      <w:r>
        <w:rPr>
          <w:rFonts w:hint="eastAsia" w:ascii="宋体" w:hAnsi="宋体" w:eastAsia="宋体" w:cs="宋体"/>
          <w:kern w:val="0"/>
          <w:sz w:val="24"/>
          <w:szCs w:val="22"/>
          <w:highlight w:val="none"/>
          <w:lang w:eastAsia="zh-CN"/>
        </w:rPr>
        <w:t>、</w:t>
      </w:r>
      <w:r>
        <w:rPr>
          <w:rFonts w:hint="eastAsia" w:ascii="宋体" w:hAnsi="宋体" w:eastAsia="宋体" w:cs="宋体"/>
          <w:kern w:val="0"/>
          <w:sz w:val="24"/>
          <w:szCs w:val="22"/>
          <w:highlight w:val="none"/>
        </w:rPr>
        <w:t>验收要求及标准</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（1）设备为原制造厂商生产的全新产品，整机无污染，无侵权行为。表面无划损，无任何缺陷隐患，在中国境内可依常规安全合法使用。</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（2）验收标准（依次对照如下）：①符合中华人民共和国国家安全质量标准、环保标准或行业标准；②设备（配件）来源有关官方机构发布的相关生产制造标准。</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（3）货物用户手册、保修手册、有关单证资料及配备件、随机工具等均应列明清单并按清单交付给</w:t>
      </w:r>
      <w:r>
        <w:rPr>
          <w:rFonts w:hint="eastAsia" w:ascii="宋体" w:hAnsi="宋体" w:eastAsia="宋体" w:cs="宋体"/>
          <w:kern w:val="0"/>
          <w:sz w:val="24"/>
          <w:szCs w:val="22"/>
          <w:highlight w:val="none"/>
          <w:lang w:val="en-US" w:eastAsia="zh-CN"/>
        </w:rPr>
        <w:t>甲方</w:t>
      </w:r>
      <w:r>
        <w:rPr>
          <w:rFonts w:hint="eastAsia" w:ascii="宋体" w:hAnsi="宋体" w:eastAsia="宋体" w:cs="宋体"/>
          <w:kern w:val="0"/>
          <w:sz w:val="24"/>
          <w:szCs w:val="22"/>
          <w:highlight w:val="none"/>
        </w:rPr>
        <w:t>。使用操作及安全须知等重要资料应附有中文说明。</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（4）货物上均应标有铭牌，内容包括：制造商、货物名称、型号规格、出厂日期等。</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（5）产品使用进口配件的，必须提供原产地证明和商检局的检验证明及合法进货渠道证明。</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bCs/>
          <w:kern w:val="0"/>
          <w:sz w:val="24"/>
          <w:szCs w:val="22"/>
          <w:highlight w:val="none"/>
        </w:rPr>
        <w:t>4</w:t>
      </w:r>
      <w:r>
        <w:rPr>
          <w:rFonts w:hint="eastAsia" w:ascii="宋体" w:hAnsi="宋体" w:eastAsia="宋体" w:cs="宋体"/>
          <w:bCs/>
          <w:kern w:val="0"/>
          <w:sz w:val="24"/>
          <w:szCs w:val="22"/>
          <w:highlight w:val="none"/>
          <w:lang w:eastAsia="zh-CN"/>
        </w:rPr>
        <w:t>、</w:t>
      </w:r>
      <w:r>
        <w:rPr>
          <w:rFonts w:hint="eastAsia" w:ascii="宋体" w:hAnsi="宋体" w:eastAsia="宋体" w:cs="宋体"/>
          <w:bCs/>
          <w:kern w:val="0"/>
          <w:sz w:val="24"/>
          <w:szCs w:val="22"/>
          <w:highlight w:val="none"/>
        </w:rPr>
        <w:t>除遇特殊情况经双方协商一致，乙方应在甲方验收提出整改建议</w:t>
      </w:r>
      <w:r>
        <w:rPr>
          <w:rFonts w:hint="eastAsia" w:ascii="宋体" w:hAnsi="宋体" w:eastAsia="宋体" w:cs="宋体"/>
          <w:bCs/>
          <w:kern w:val="0"/>
          <w:sz w:val="24"/>
          <w:szCs w:val="22"/>
          <w:highlight w:val="none"/>
          <w:lang w:val="en-US" w:eastAsia="zh-CN"/>
        </w:rPr>
        <w:t>2</w:t>
      </w:r>
      <w:r>
        <w:rPr>
          <w:rFonts w:hint="eastAsia" w:ascii="宋体" w:hAnsi="宋体" w:eastAsia="宋体" w:cs="宋体"/>
          <w:bCs/>
          <w:kern w:val="0"/>
          <w:sz w:val="24"/>
          <w:szCs w:val="22"/>
          <w:highlight w:val="none"/>
        </w:rPr>
        <w:t>个月内完成所有整改，超过</w:t>
      </w:r>
      <w:r>
        <w:rPr>
          <w:rFonts w:hint="eastAsia" w:ascii="宋体" w:hAnsi="宋体" w:eastAsia="宋体" w:cs="宋体"/>
          <w:bCs/>
          <w:kern w:val="0"/>
          <w:sz w:val="24"/>
          <w:szCs w:val="22"/>
          <w:highlight w:val="none"/>
          <w:lang w:val="en-US" w:eastAsia="zh-CN"/>
        </w:rPr>
        <w:t>2</w:t>
      </w:r>
      <w:r>
        <w:rPr>
          <w:rFonts w:hint="eastAsia" w:ascii="宋体" w:hAnsi="宋体" w:eastAsia="宋体" w:cs="宋体"/>
          <w:bCs/>
          <w:kern w:val="0"/>
          <w:sz w:val="24"/>
          <w:szCs w:val="22"/>
          <w:highlight w:val="none"/>
        </w:rPr>
        <w:t>个月整改期，乙方应向甲方支付合同总价10%的违约金，甲方并有权解除本合同，乙方应承担违约责任赔偿甲方所有损失，乙方并应于甲方通知解除之日起三日内退还甲方所有已付款项。</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十三、货物包装、发运及运输</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1、乙方应在货物发运前对其进行满足运输距离、防潮、防震、防锈和防破损装卸等要求包装，以保证货物安全运达甲方指定地点。</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2、使用说明书、质量检验证明书、随配附件和工具、质量合格凭证及装箱清单一并附于货物内，安装调试完毕后按设备清单逐一按序交付给甲方。</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3、所供货物必须首先符合有关国家强制性规定、国家（行业）标准或相关法律法规要求，同时满足招标文件规定的质量要求和使用需求。供方应提供全新未拆封产品（包括零部件、附件、备品备件），如确需拆封的，应在供货前征得甲方同意，否则视为不能交货。供方保证全部按照合同规定的时间和方式向需方提供货物和服务，并负责可能的弥补缺陷。</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4、货物在交付甲方前发生的风险均由乙方负责。</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十四、违约责任</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1、完成时间：乙方应在投标文件承诺完成期限前和本合同约定期限内完成全部工作内容，并经相关部门验收合格，不能按期完成的，每逾期一天支付甲方5000元的违约金。</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实施过程中，如果达不到承诺质量目标，无法满足甲方的使用需求，乙方必须无偿整改达到承诺质量目标，另按合同价款的5%向甲方支付违约金，直接从履约保证金或项目结算价款中扣除。由此造成的时间延误将不予顺延，给甲方造成实际损失的还将承担经济赔偿责任。</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十五、不可抗力事件处理</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1、在合同有效期内，任何一方因不可抗力事件导致不能履行合同，则合同履行期可延长，其延长期与不可抗力影响期相同。</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2、不可抗力事件发生后，应立即通知对方，并寄送有关权威机构出具的证明。</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3、不可抗力事件延续120天以上，双方应通过友好协商，确定是否继续履行合同。</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十六、仲裁与诉讼</w:t>
      </w:r>
    </w:p>
    <w:p>
      <w:pPr>
        <w:keepNext w:val="0"/>
        <w:keepLines w:val="0"/>
        <w:pageBreakBefore w:val="0"/>
        <w:widowControl w:val="0"/>
        <w:kinsoku/>
        <w:wordWrap/>
        <w:overflowPunct w:val="0"/>
        <w:topLinePunct w:val="0"/>
        <w:autoSpaceDE/>
        <w:autoSpaceDN/>
        <w:bidi w:val="0"/>
        <w:adjustRightInd/>
        <w:snapToGrid w:val="0"/>
        <w:spacing w:line="360" w:lineRule="auto"/>
        <w:ind w:left="0" w:firstLine="482" w:firstLineChars="200"/>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双方在执行合同中所发生的一切争议，应通过协商解决。如协商不成，任何一方可以向甲方所在地人民法院起诉。</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十七、合同附则</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乙方所提供设备、服务及必须满足所有功能要求，乙方有责任保证甲方系统的功能性和完整性，未在招标文件中明示的设备及附配件，乙方在投标报价时已予以考虑，如项目实施过程中因缺少设备、配件或服务导致甲方系统无法正常运行，乙方须承诺免费提供；除甲方明确提出的变更外，本项目不再增加任何费用；</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2、乙方须保证所提供产品包括相关附件为相应厂商的原装正品。</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3、设备安装、调试所需的工具、仪表及安装材料由乙方自行解决。施工过程应严格执行相关的施工及安装规范，并保证施工安全。</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4、测试和验收</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乙方应向采购方提交测试内容和方法。测试计划和技术内容根据环保要求拟定，经甲方和供货人确认后共同实施，测试产生的相关费用由乙方承担。</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5、技术文档要求：</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乙方应向甲方提供安装调试过程中的各种文档资料。</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1)有关产品正确安装与详细配置（包括安装方法、安装步骤及各种配置参数等）资料要以易理解的方式（包括详细说明及图示）形成中文文档，交与甲方。</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2)交货时，技术文档应与货物一起交付。乙方提交的技术文档的内容必须与所提供的产品相一致，应尽可能详细。</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3)在产品验收后，乙方应将所有技术文档和安装、调试资料移交给甲方。</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包括但不限于以下资料：</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详细的产品质量文件：包括外形尺寸、产品合格证明书等文件。</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十八、合同生效及其它</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1、合同经双方法定代表人或授权代表签字并加盖单位公章后生效。</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2、组成本合同的文件包括：本合同协议书；中标通知书；招标文件及招标答疑文件；投标书及其附件；各类规范文件；双方有关洽商、变更等书面协议或文件。</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3、合同执行中涉及采购资金和采购内容修改或补充的，须经有关部门审批，方可作为主合同不可分割的一部分。</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4、本合同未尽事宜，遵照《中华人民共和国民法典》和有关法律法规执行。</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5、本合同正本一式陆份，具有同等法律效力，甲乙双方各执两份；代理方、公共资源交易中心备案一份。</w:t>
      </w:r>
    </w:p>
    <w:p>
      <w:pPr>
        <w:widowControl w:val="0"/>
        <w:adjustRightInd w:val="0"/>
        <w:snapToGrid w:val="0"/>
        <w:spacing w:before="120" w:after="120" w:line="360" w:lineRule="auto"/>
        <w:jc w:val="center"/>
        <w:rPr>
          <w:rFonts w:hint="eastAsia" w:ascii="宋体" w:hAnsi="宋体" w:eastAsia="宋体" w:cs="宋体"/>
          <w:b/>
          <w:bCs/>
          <w:color w:val="auto"/>
          <w:kern w:val="2"/>
          <w:sz w:val="20"/>
          <w:szCs w:val="20"/>
          <w:highlight w:val="none"/>
          <w:lang w:val="en-US" w:eastAsia="zh-CN" w:bidi="ar-SA"/>
        </w:rPr>
      </w:pPr>
    </w:p>
    <w:p>
      <w:pPr>
        <w:widowControl w:val="0"/>
        <w:snapToGrid w:val="0"/>
        <w:spacing w:before="120" w:after="120" w:line="480" w:lineRule="auto"/>
        <w:ind w:left="0" w:leftChars="0"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甲方：                                   乙方： </w:t>
      </w:r>
    </w:p>
    <w:p>
      <w:pPr>
        <w:widowControl w:val="0"/>
        <w:snapToGrid w:val="0"/>
        <w:spacing w:before="120" w:after="120" w:line="480" w:lineRule="auto"/>
        <w:ind w:left="0" w:leftChars="0"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地址：                                   地址： </w:t>
      </w:r>
    </w:p>
    <w:p>
      <w:pPr>
        <w:widowControl w:val="0"/>
        <w:snapToGrid w:val="0"/>
        <w:spacing w:before="120" w:after="120" w:line="480" w:lineRule="auto"/>
        <w:ind w:left="0" w:leftChars="0"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法定代表人或授权代表：                   法定代表人或授权代表：</w:t>
      </w:r>
    </w:p>
    <w:p>
      <w:pPr>
        <w:widowControl w:val="0"/>
        <w:snapToGrid w:val="0"/>
        <w:spacing w:before="120" w:after="120" w:line="48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                               联系电话：</w:t>
      </w:r>
    </w:p>
    <w:p>
      <w:pPr>
        <w:widowControl w:val="0"/>
        <w:snapToGrid w:val="0"/>
        <w:spacing w:before="120" w:after="120" w:line="480" w:lineRule="auto"/>
        <w:ind w:left="0" w:leftChars="0" w:firstLine="480" w:firstLineChars="200"/>
        <w:jc w:val="both"/>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color w:val="auto"/>
          <w:kern w:val="2"/>
          <w:sz w:val="24"/>
          <w:szCs w:val="24"/>
          <w:highlight w:val="none"/>
          <w:lang w:val="en-US" w:eastAsia="zh-CN" w:bidi="ar-SA"/>
        </w:rPr>
        <w:t>签订日期：      年  月  日               签订日期：      年  月  日</w:t>
      </w:r>
    </w:p>
    <w:p>
      <w:pPr>
        <w:widowControl w:val="0"/>
        <w:adjustRightInd w:val="0"/>
        <w:snapToGrid w:val="0"/>
        <w:spacing w:before="120" w:after="120" w:line="360" w:lineRule="auto"/>
        <w:ind w:left="0" w:leftChars="0"/>
        <w:jc w:val="center"/>
        <w:rPr>
          <w:rFonts w:hint="eastAsia" w:ascii="宋体" w:hAnsi="宋体" w:eastAsia="宋体" w:cs="宋体"/>
          <w:b/>
          <w:bCs/>
          <w:color w:val="auto"/>
          <w:kern w:val="2"/>
          <w:sz w:val="20"/>
          <w:szCs w:val="20"/>
          <w:highlight w:val="none"/>
          <w:lang w:val="en-US" w:eastAsia="zh-CN" w:bidi="ar-SA"/>
        </w:rPr>
      </w:pPr>
    </w:p>
    <w:p>
      <w:pPr>
        <w:widowControl w:val="0"/>
        <w:adjustRightInd w:val="0"/>
        <w:snapToGrid w:val="0"/>
        <w:spacing w:before="120" w:after="120" w:line="360" w:lineRule="auto"/>
        <w:jc w:val="center"/>
        <w:rPr>
          <w:rFonts w:hint="eastAsia" w:ascii="宋体" w:hAnsi="宋体" w:eastAsia="宋体" w:cs="宋体"/>
          <w:b/>
          <w:bCs/>
          <w:color w:val="auto"/>
          <w:kern w:val="2"/>
          <w:sz w:val="20"/>
          <w:szCs w:val="20"/>
          <w:highlight w:val="none"/>
          <w:lang w:val="en-US" w:eastAsia="zh-CN" w:bidi="ar-SA"/>
        </w:rPr>
      </w:pPr>
    </w:p>
    <w:p>
      <w:pP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br w:type="page"/>
      </w:r>
    </w:p>
    <w:p>
      <w:pPr>
        <w:pStyle w:val="150"/>
        <w:snapToGrid w:val="0"/>
        <w:spacing w:line="360" w:lineRule="auto"/>
        <w:ind w:firstLine="420"/>
        <w:jc w:val="center"/>
        <w:outlineLvl w:val="0"/>
        <w:rPr>
          <w:rFonts w:hint="eastAsia" w:ascii="宋体" w:hAnsi="宋体" w:eastAsia="宋体" w:cs="宋体"/>
          <w:b/>
          <w:color w:val="auto"/>
          <w:sz w:val="44"/>
          <w:szCs w:val="44"/>
          <w:highlight w:val="none"/>
        </w:rPr>
      </w:pPr>
      <w:bookmarkStart w:id="497" w:name="_Toc36140148"/>
      <w:r>
        <w:rPr>
          <w:rFonts w:hint="eastAsia" w:ascii="宋体" w:hAnsi="宋体" w:eastAsia="宋体" w:cs="宋体"/>
          <w:b/>
          <w:color w:val="auto"/>
          <w:sz w:val="44"/>
          <w:szCs w:val="44"/>
          <w:highlight w:val="none"/>
        </w:rPr>
        <w:t xml:space="preserve">第五章 </w:t>
      </w:r>
      <w:bookmarkEnd w:id="497"/>
      <w:r>
        <w:rPr>
          <w:rFonts w:hint="eastAsia" w:ascii="宋体" w:hAnsi="宋体" w:eastAsia="宋体" w:cs="宋体"/>
          <w:b/>
          <w:color w:val="auto"/>
          <w:sz w:val="44"/>
          <w:szCs w:val="44"/>
          <w:highlight w:val="none"/>
        </w:rPr>
        <w:t>采购需求</w:t>
      </w:r>
    </w:p>
    <w:tbl>
      <w:tblPr>
        <w:tblStyle w:val="50"/>
        <w:tblW w:w="95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8"/>
        <w:gridCol w:w="3191"/>
        <w:gridCol w:w="1973"/>
        <w:gridCol w:w="954"/>
        <w:gridCol w:w="1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4"/>
                <w:szCs w:val="24"/>
                <w:highlight w:val="none"/>
                <w:u w:val="none"/>
                <w:lang w:val="en-US" w:eastAsia="zh-CN" w:bidi="ar"/>
              </w:rPr>
            </w:pPr>
            <w:bookmarkStart w:id="498" w:name="_Toc7525"/>
            <w:bookmarkStart w:id="499" w:name="_Toc36140163"/>
            <w:bookmarkStart w:id="500" w:name="_Toc397928630"/>
            <w:r>
              <w:rPr>
                <w:rFonts w:hint="eastAsia" w:ascii="宋体" w:hAnsi="宋体" w:eastAsia="宋体" w:cs="宋体"/>
                <w:i w:val="0"/>
                <w:iCs w:val="0"/>
                <w:color w:val="000000"/>
                <w:kern w:val="0"/>
                <w:sz w:val="24"/>
                <w:szCs w:val="24"/>
                <w:highlight w:val="none"/>
                <w:u w:val="none"/>
                <w:lang w:val="en-US" w:eastAsia="zh-CN" w:bidi="ar"/>
              </w:rPr>
              <w:t>标段号</w:t>
            </w:r>
          </w:p>
        </w:tc>
        <w:tc>
          <w:tcPr>
            <w:tcW w:w="31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2"/>
                <w:sz w:val="24"/>
                <w:szCs w:val="24"/>
                <w:highlight w:val="none"/>
                <w:shd w:val="clear" w:color="auto" w:fill="FFFFFF"/>
              </w:rPr>
              <w:t>标段名称</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2"/>
                <w:sz w:val="24"/>
                <w:szCs w:val="24"/>
                <w:highlight w:val="none"/>
                <w:shd w:val="clear" w:color="auto" w:fill="FFFFFF"/>
                <w:lang w:val="en-US" w:eastAsia="zh-CN"/>
              </w:rPr>
              <w:t>采购设备</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2"/>
                <w:sz w:val="24"/>
                <w:szCs w:val="24"/>
                <w:highlight w:val="none"/>
                <w:shd w:val="clear" w:color="auto" w:fill="FFFFFF"/>
                <w:lang w:val="en-US" w:eastAsia="zh-CN"/>
              </w:rPr>
              <w:t>数量</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 xml:space="preserve"> 最高限价</w:t>
            </w:r>
          </w:p>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2"/>
                <w:sz w:val="24"/>
                <w:szCs w:val="24"/>
                <w:highlight w:val="none"/>
                <w:shd w:val="clear" w:color="auto" w:fill="FFFFFF"/>
              </w:rPr>
              <w:t>（</w:t>
            </w:r>
            <w:r>
              <w:rPr>
                <w:rFonts w:hint="eastAsia" w:ascii="宋体" w:hAnsi="宋体" w:eastAsia="宋体" w:cs="宋体"/>
                <w:color w:val="auto"/>
                <w:kern w:val="2"/>
                <w:sz w:val="24"/>
                <w:szCs w:val="24"/>
                <w:highlight w:val="none"/>
                <w:shd w:val="clear" w:color="auto" w:fill="FFFFFF"/>
                <w:lang w:val="en-US" w:eastAsia="zh-CN"/>
              </w:rPr>
              <w:t>万元</w:t>
            </w:r>
            <w:r>
              <w:rPr>
                <w:rFonts w:hint="eastAsia" w:ascii="宋体" w:hAnsi="宋体" w:eastAsia="宋体" w:cs="宋体"/>
                <w:color w:val="auto"/>
                <w:kern w:val="2"/>
                <w:sz w:val="24"/>
                <w:szCs w:val="24"/>
                <w:highlight w:val="none"/>
                <w:shd w:val="clear" w:color="auto"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ZXHDL2025027-1</w:t>
            </w:r>
          </w:p>
        </w:tc>
        <w:tc>
          <w:tcPr>
            <w:tcW w:w="31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江苏大中农场集团有限公司75履带挖掘机采购项目</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75履带挖掘机</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5台</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3" w:hRule="atLeast"/>
          <w:jc w:val="center"/>
        </w:trPr>
        <w:tc>
          <w:tcPr>
            <w:tcW w:w="958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75履带挖掘机技术参数</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1、75履带挖掘机，需使用原装进口发动机、4缸、4冲程、水冷、直喷、顶置凸轮轴、高压共轨、涡轮增压、国四排放标准；</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2、发动机功率≥55kW/2000rpm，排量≤2.999L；</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3、挖掘半径≥6.24m，斗杆挖掘力≥38KN，铲斗挖掘力≥56KN；</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4、整机重量≥7.35T；</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5、标准铲斗容量≥0.3m³；</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6、智能触控液晶显示屏，可自由切换多媒体音源设备，车况信息随时查看，空调可屏控调节；</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7、采用DPF后处理路线，不加尿素；</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8、负载敏感液压系统；</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9、一键启机+油门旋钮，可搭配手机软件实时掌握设备健康程度；</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10、多功能座椅，冷暖空调新风系统，LED工作灯。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标段号</w:t>
            </w:r>
          </w:p>
        </w:tc>
        <w:tc>
          <w:tcPr>
            <w:tcW w:w="31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2"/>
                <w:sz w:val="24"/>
                <w:szCs w:val="24"/>
                <w:highlight w:val="none"/>
                <w:shd w:val="clear" w:color="auto" w:fill="FFFFFF"/>
              </w:rPr>
              <w:t>标段名称</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2"/>
                <w:sz w:val="24"/>
                <w:szCs w:val="24"/>
                <w:highlight w:val="none"/>
                <w:shd w:val="clear" w:color="auto" w:fill="FFFFFF"/>
                <w:lang w:val="en-US" w:eastAsia="zh-CN"/>
              </w:rPr>
              <w:t>采购设备</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2"/>
                <w:sz w:val="24"/>
                <w:szCs w:val="24"/>
                <w:highlight w:val="none"/>
                <w:shd w:val="clear" w:color="auto" w:fill="FFFFFF"/>
                <w:lang w:val="en-US" w:eastAsia="zh-CN"/>
              </w:rPr>
              <w:t>数量</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 xml:space="preserve"> 最高限价</w:t>
            </w:r>
          </w:p>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2"/>
                <w:sz w:val="24"/>
                <w:szCs w:val="24"/>
                <w:highlight w:val="none"/>
                <w:shd w:val="clear" w:color="auto" w:fill="FFFFFF"/>
              </w:rPr>
              <w:t>（</w:t>
            </w:r>
            <w:r>
              <w:rPr>
                <w:rFonts w:hint="eastAsia" w:ascii="宋体" w:hAnsi="宋体" w:eastAsia="宋体" w:cs="宋体"/>
                <w:color w:val="auto"/>
                <w:kern w:val="2"/>
                <w:sz w:val="24"/>
                <w:szCs w:val="24"/>
                <w:highlight w:val="none"/>
                <w:shd w:val="clear" w:color="auto" w:fill="FFFFFF"/>
                <w:lang w:val="en-US" w:eastAsia="zh-CN"/>
              </w:rPr>
              <w:t>万元</w:t>
            </w:r>
            <w:r>
              <w:rPr>
                <w:rFonts w:hint="eastAsia" w:ascii="宋体" w:hAnsi="宋体" w:eastAsia="宋体" w:cs="宋体"/>
                <w:color w:val="auto"/>
                <w:kern w:val="2"/>
                <w:sz w:val="24"/>
                <w:szCs w:val="24"/>
                <w:highlight w:val="none"/>
                <w:shd w:val="clear" w:color="auto"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ZXHDL2025027-2</w:t>
            </w:r>
          </w:p>
        </w:tc>
        <w:tc>
          <w:tcPr>
            <w:tcW w:w="31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江苏大中农场集团有限公司翻转四铧犁采购项目</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翻转四铧犁</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11台</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3" w:hRule="atLeast"/>
          <w:jc w:val="center"/>
        </w:trPr>
        <w:tc>
          <w:tcPr>
            <w:tcW w:w="958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翻转四铧犁</w:t>
            </w:r>
            <w:r>
              <w:rPr>
                <w:rFonts w:hint="eastAsia" w:ascii="宋体" w:hAnsi="宋体" w:eastAsia="宋体" w:cs="宋体"/>
                <w:i w:val="0"/>
                <w:iCs w:val="0"/>
                <w:color w:val="000000"/>
                <w:kern w:val="0"/>
                <w:sz w:val="24"/>
                <w:szCs w:val="24"/>
                <w:highlight w:val="none"/>
                <w:u w:val="none"/>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1、犁梁尺寸：120×120×10（mm），犁梁高度：85cm；</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2、最大作业深度：35cm；重量≥1300KG；配套马力：165-185马力；</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3、作业幅宽及侧牵引力调整方式：丝杠（奥普快克快调系统）；</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4、限深机构：限深运输一体轮；</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5、过载保护：高强度保险螺栓；</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6、犁体型号：BS42I型栅条型；犁头塔：配备E120型犁头塔；犁头翻转轴：一体式，无焊缝，特殊调制钢制成；</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7、所提供设备应满足国家补贴政策要求。待设备交付，投标人需协同采购人，依据国家规定流程完成补贴申请与办理工作。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标段号</w:t>
            </w:r>
          </w:p>
        </w:tc>
        <w:tc>
          <w:tcPr>
            <w:tcW w:w="31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2"/>
                <w:sz w:val="24"/>
                <w:szCs w:val="24"/>
                <w:highlight w:val="none"/>
                <w:shd w:val="clear" w:color="auto" w:fill="FFFFFF"/>
              </w:rPr>
              <w:t>标段名称</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2"/>
                <w:sz w:val="24"/>
                <w:szCs w:val="24"/>
                <w:highlight w:val="none"/>
                <w:shd w:val="clear" w:color="auto" w:fill="FFFFFF"/>
                <w:lang w:val="en-US" w:eastAsia="zh-CN"/>
              </w:rPr>
              <w:t>采购设备</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2"/>
                <w:sz w:val="24"/>
                <w:szCs w:val="24"/>
                <w:highlight w:val="none"/>
                <w:shd w:val="clear" w:color="auto" w:fill="FFFFFF"/>
                <w:lang w:val="en-US" w:eastAsia="zh-CN"/>
              </w:rPr>
              <w:t>数量</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 xml:space="preserve"> 最高限价</w:t>
            </w:r>
          </w:p>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2"/>
                <w:sz w:val="24"/>
                <w:szCs w:val="24"/>
                <w:highlight w:val="none"/>
                <w:shd w:val="clear" w:color="auto" w:fill="FFFFFF"/>
              </w:rPr>
              <w:t>（</w:t>
            </w:r>
            <w:r>
              <w:rPr>
                <w:rFonts w:hint="eastAsia" w:ascii="宋体" w:hAnsi="宋体" w:eastAsia="宋体" w:cs="宋体"/>
                <w:color w:val="auto"/>
                <w:kern w:val="2"/>
                <w:sz w:val="24"/>
                <w:szCs w:val="24"/>
                <w:highlight w:val="none"/>
                <w:shd w:val="clear" w:color="auto" w:fill="FFFFFF"/>
                <w:lang w:val="en-US" w:eastAsia="zh-CN"/>
              </w:rPr>
              <w:t>万元</w:t>
            </w:r>
            <w:r>
              <w:rPr>
                <w:rFonts w:hint="eastAsia" w:ascii="宋体" w:hAnsi="宋体" w:eastAsia="宋体" w:cs="宋体"/>
                <w:color w:val="auto"/>
                <w:kern w:val="2"/>
                <w:sz w:val="24"/>
                <w:szCs w:val="24"/>
                <w:highlight w:val="none"/>
                <w:shd w:val="clear" w:color="auto"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ZXHDL2025027-3</w:t>
            </w:r>
          </w:p>
        </w:tc>
        <w:tc>
          <w:tcPr>
            <w:tcW w:w="31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江苏大中农场集团有限公司深松联合整地机采购项目</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深松联合整地机</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5台</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58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深松联合整地机技术参数</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1、作业幅宽：3米；最大作业深度：30厘米；</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2、悬挂方式：3点式全悬挂；</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3、深松腿数量：10个；</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4、深松腿过载保护方式：过载剪切螺栓；</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5、深松腿布局方式：3排交错式；标配深松铲宽度：6厘米，可反转交替使用；</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深松铲尖更换方式：插销机械式免工具快换；可选深松铲型号（深松铲宽度）：K6（6厘米），K8（8厘米），K12（12厘米），翼型铲；覆土耙片数量：8个（作业深度可调）；插销机械式作业深度调整；带轻仿形柱式+条式2合1限深碎土镇压辊。</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注：</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、采购需求中如有涉及的产品品牌、型号或者具体数值，是</w:t>
      </w:r>
      <w:r>
        <w:rPr>
          <w:rFonts w:hint="eastAsia" w:ascii="宋体" w:hAnsi="宋体" w:cs="宋体"/>
          <w:b w:val="0"/>
          <w:bCs/>
          <w:sz w:val="24"/>
          <w:szCs w:val="24"/>
          <w:highlight w:val="none"/>
          <w:lang w:val="en-US" w:eastAsia="zh-CN"/>
        </w:rPr>
        <w:t>招标</w:t>
      </w:r>
      <w:r>
        <w:rPr>
          <w:rFonts w:hint="eastAsia" w:ascii="宋体" w:hAnsi="宋体" w:eastAsia="宋体" w:cs="宋体"/>
          <w:sz w:val="24"/>
          <w:szCs w:val="24"/>
          <w:highlight w:val="none"/>
          <w:lang w:val="en-US" w:eastAsia="zh-CN"/>
        </w:rPr>
        <w:t>人根据项目所要实现的功能推荐的品牌、型号或者具体数值，并不是限制条件，</w:t>
      </w: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可以采用不低于采购需求的产品并参与竞争。但是，所有产品的质量、技术参数和功能不得低于采购要求，并确保整体性能的合理以及能最终实现。</w:t>
      </w: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也应在《</w:t>
      </w:r>
      <w:r>
        <w:rPr>
          <w:rFonts w:hint="eastAsia" w:ascii="宋体" w:hAnsi="宋体" w:eastAsia="宋体" w:cs="宋体"/>
          <w:b w:val="0"/>
          <w:bCs/>
          <w:sz w:val="24"/>
          <w:szCs w:val="24"/>
          <w:highlight w:val="none"/>
        </w:rPr>
        <w:t>技术参数响应承诺函</w:t>
      </w:r>
      <w:r>
        <w:rPr>
          <w:rFonts w:hint="eastAsia" w:ascii="宋体" w:hAnsi="宋体" w:eastAsia="宋体" w:cs="宋体"/>
          <w:sz w:val="24"/>
          <w:szCs w:val="24"/>
          <w:highlight w:val="none"/>
          <w:lang w:val="en-US" w:eastAsia="zh-CN"/>
        </w:rPr>
        <w:t>》中予以承诺响应，否则视为负偏离。签订合同时</w:t>
      </w:r>
      <w:r>
        <w:rPr>
          <w:rFonts w:hint="eastAsia" w:ascii="宋体" w:hAnsi="宋体" w:cs="宋体"/>
          <w:sz w:val="24"/>
          <w:szCs w:val="24"/>
          <w:highlight w:val="none"/>
          <w:lang w:val="en-US" w:eastAsia="zh-CN"/>
        </w:rPr>
        <w:t>，招标人有权要求中标人</w:t>
      </w:r>
      <w:r>
        <w:rPr>
          <w:rFonts w:hint="eastAsia" w:ascii="宋体" w:hAnsi="宋体" w:eastAsia="宋体" w:cs="宋体"/>
          <w:sz w:val="24"/>
          <w:szCs w:val="24"/>
          <w:highlight w:val="none"/>
          <w:lang w:val="en-US" w:eastAsia="zh-CN"/>
        </w:rPr>
        <w:t>按</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lang w:val="en-US" w:eastAsia="zh-CN"/>
        </w:rPr>
        <w:t>文件承诺</w:t>
      </w:r>
      <w:r>
        <w:rPr>
          <w:rFonts w:hint="eastAsia" w:ascii="宋体" w:hAnsi="宋体" w:cs="宋体"/>
          <w:sz w:val="24"/>
          <w:szCs w:val="24"/>
          <w:highlight w:val="none"/>
          <w:lang w:val="en-US" w:eastAsia="zh-CN"/>
        </w:rPr>
        <w:t>的技术参数</w:t>
      </w:r>
      <w:r>
        <w:rPr>
          <w:rFonts w:hint="eastAsia" w:ascii="宋体" w:hAnsi="宋体" w:eastAsia="宋体" w:cs="宋体"/>
          <w:sz w:val="24"/>
          <w:szCs w:val="24"/>
          <w:highlight w:val="none"/>
          <w:lang w:val="en-US" w:eastAsia="zh-CN"/>
        </w:rPr>
        <w:t>提供技术证明材料</w:t>
      </w:r>
      <w:r>
        <w:rPr>
          <w:rFonts w:hint="eastAsia" w:ascii="宋体" w:hAnsi="宋体" w:cs="宋体"/>
          <w:sz w:val="24"/>
          <w:szCs w:val="24"/>
          <w:highlight w:val="none"/>
          <w:lang w:val="en-US" w:eastAsia="zh-CN"/>
        </w:rPr>
        <w:t>，中标人无法</w:t>
      </w:r>
      <w:r>
        <w:rPr>
          <w:rFonts w:hint="eastAsia" w:ascii="宋体" w:hAnsi="宋体" w:eastAsia="宋体" w:cs="宋体"/>
          <w:sz w:val="24"/>
          <w:szCs w:val="24"/>
          <w:highlight w:val="none"/>
          <w:lang w:val="en-US" w:eastAsia="zh-CN"/>
        </w:rPr>
        <w:t>提供技术证明材料或提供不全的，</w:t>
      </w:r>
      <w:r>
        <w:rPr>
          <w:rFonts w:hint="eastAsia" w:ascii="宋体" w:hAnsi="宋体" w:cs="宋体"/>
          <w:sz w:val="24"/>
          <w:szCs w:val="24"/>
          <w:highlight w:val="none"/>
          <w:lang w:val="en-US" w:eastAsia="zh-CN"/>
        </w:rPr>
        <w:t>招标人</w:t>
      </w:r>
      <w:r>
        <w:rPr>
          <w:rFonts w:hint="eastAsia" w:ascii="宋体" w:hAnsi="宋体" w:eastAsia="宋体" w:cs="宋体"/>
          <w:sz w:val="24"/>
          <w:szCs w:val="24"/>
          <w:highlight w:val="none"/>
          <w:lang w:val="en-US" w:eastAsia="zh-CN"/>
        </w:rPr>
        <w:t>将取消其</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lang w:val="en-US" w:eastAsia="zh-CN"/>
        </w:rPr>
        <w:t>资格，并按“提供虚假材料谋取</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lang w:val="en-US" w:eastAsia="zh-CN"/>
        </w:rPr>
        <w:t>”处理</w:t>
      </w:r>
      <w:r>
        <w:rPr>
          <w:rFonts w:hint="eastAsia" w:ascii="宋体" w:hAnsi="宋体" w:cs="宋体"/>
          <w:sz w:val="24"/>
          <w:szCs w:val="24"/>
          <w:highlight w:val="none"/>
          <w:lang w:val="en-US" w:eastAsia="zh-CN"/>
        </w:rPr>
        <w:t>，且须赔偿招标人的相应损失</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w:t>
      </w:r>
      <w:r>
        <w:rPr>
          <w:rFonts w:hint="eastAsia" w:ascii="宋体" w:hAnsi="宋体" w:cs="宋体"/>
          <w:kern w:val="0"/>
          <w:sz w:val="24"/>
          <w:szCs w:val="24"/>
          <w:highlight w:val="none"/>
          <w:lang w:val="en-US" w:eastAsia="zh-CN"/>
        </w:rPr>
        <w:t>投标人</w:t>
      </w:r>
      <w:r>
        <w:rPr>
          <w:rFonts w:hint="eastAsia" w:ascii="宋体" w:hAnsi="宋体" w:eastAsia="宋体" w:cs="宋体"/>
          <w:b w:val="0"/>
          <w:bCs/>
          <w:sz w:val="24"/>
          <w:szCs w:val="24"/>
          <w:highlight w:val="none"/>
        </w:rPr>
        <w:t>所有供应的设备运到招标人指定地点，供货</w:t>
      </w:r>
      <w:r>
        <w:rPr>
          <w:rFonts w:hint="eastAsia" w:ascii="宋体" w:hAnsi="宋体" w:eastAsia="宋体" w:cs="宋体"/>
          <w:b w:val="0"/>
          <w:bCs/>
          <w:sz w:val="24"/>
          <w:szCs w:val="24"/>
          <w:highlight w:val="none"/>
          <w:lang w:val="en-US" w:eastAsia="zh-CN"/>
        </w:rPr>
        <w:t>安装</w:t>
      </w:r>
      <w:r>
        <w:rPr>
          <w:rFonts w:hint="eastAsia" w:ascii="宋体" w:hAnsi="宋体" w:eastAsia="宋体" w:cs="宋体"/>
          <w:b w:val="0"/>
          <w:bCs/>
          <w:sz w:val="24"/>
          <w:szCs w:val="24"/>
          <w:highlight w:val="none"/>
        </w:rPr>
        <w:t>完毕后须经招标人和相关部门共同验收，在验收过程中所有设备测试费和必要的设备检测费均由</w:t>
      </w:r>
      <w:r>
        <w:rPr>
          <w:rFonts w:hint="eastAsia" w:ascii="宋体" w:hAnsi="宋体" w:cs="宋体"/>
          <w:kern w:val="0"/>
          <w:sz w:val="24"/>
          <w:szCs w:val="24"/>
          <w:highlight w:val="none"/>
          <w:lang w:val="en-US" w:eastAsia="zh-CN"/>
        </w:rPr>
        <w:t>投标人</w:t>
      </w:r>
      <w:r>
        <w:rPr>
          <w:rFonts w:hint="eastAsia" w:ascii="宋体" w:hAnsi="宋体" w:eastAsia="宋体" w:cs="宋体"/>
          <w:b w:val="0"/>
          <w:bCs/>
          <w:sz w:val="24"/>
          <w:szCs w:val="24"/>
          <w:highlight w:val="none"/>
        </w:rPr>
        <w:t>承担，请</w:t>
      </w:r>
      <w:r>
        <w:rPr>
          <w:rFonts w:hint="eastAsia" w:ascii="宋体" w:hAnsi="宋体" w:cs="宋体"/>
          <w:kern w:val="0"/>
          <w:sz w:val="24"/>
          <w:szCs w:val="24"/>
          <w:highlight w:val="none"/>
          <w:lang w:val="en-US" w:eastAsia="zh-CN"/>
        </w:rPr>
        <w:t>投标人</w:t>
      </w:r>
      <w:r>
        <w:rPr>
          <w:rFonts w:hint="eastAsia" w:ascii="宋体" w:hAnsi="宋体" w:eastAsia="宋体" w:cs="宋体"/>
          <w:b w:val="0"/>
          <w:bCs/>
          <w:sz w:val="24"/>
          <w:szCs w:val="24"/>
          <w:highlight w:val="none"/>
        </w:rPr>
        <w:t>将此项费用包含在投标报价中。</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bCs w:val="0"/>
          <w:sz w:val="24"/>
          <w:szCs w:val="24"/>
          <w:highlight w:val="none"/>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w:t>
      </w:r>
      <w:r>
        <w:rPr>
          <w:rFonts w:hint="eastAsia" w:ascii="宋体" w:hAnsi="宋体" w:cs="宋体"/>
          <w:kern w:val="0"/>
          <w:sz w:val="24"/>
          <w:szCs w:val="24"/>
          <w:highlight w:val="none"/>
          <w:lang w:val="en-US" w:eastAsia="zh-CN"/>
        </w:rPr>
        <w:t>投标人</w:t>
      </w:r>
      <w:r>
        <w:rPr>
          <w:rFonts w:hint="eastAsia" w:ascii="宋体" w:hAnsi="宋体" w:eastAsia="宋体" w:cs="宋体"/>
          <w:b w:val="0"/>
          <w:bCs/>
          <w:sz w:val="24"/>
          <w:szCs w:val="24"/>
          <w:highlight w:val="none"/>
        </w:rPr>
        <w:t>在供货时，必须免费提供相应配套软件，否则</w:t>
      </w:r>
      <w:r>
        <w:rPr>
          <w:rFonts w:hint="eastAsia" w:ascii="宋体" w:hAnsi="宋体" w:cs="宋体"/>
          <w:b w:val="0"/>
          <w:bCs/>
          <w:sz w:val="24"/>
          <w:szCs w:val="24"/>
          <w:highlight w:val="none"/>
          <w:lang w:val="en-US" w:eastAsia="zh-CN"/>
        </w:rPr>
        <w:t>招标</w:t>
      </w:r>
      <w:r>
        <w:rPr>
          <w:rFonts w:hint="eastAsia" w:ascii="宋体" w:hAnsi="宋体" w:eastAsia="宋体" w:cs="宋体"/>
          <w:b w:val="0"/>
          <w:bCs/>
          <w:sz w:val="24"/>
          <w:szCs w:val="24"/>
          <w:highlight w:val="none"/>
        </w:rPr>
        <w:t>人有权拒绝接受标的物。</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、上门服务响应时间：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质保期内，</w:t>
      </w:r>
      <w:r>
        <w:rPr>
          <w:rFonts w:hint="eastAsia" w:ascii="宋体" w:hAnsi="宋体" w:cs="宋体"/>
          <w:kern w:val="0"/>
          <w:sz w:val="24"/>
          <w:szCs w:val="24"/>
          <w:highlight w:val="none"/>
          <w:lang w:val="en-US" w:eastAsia="zh-CN"/>
        </w:rPr>
        <w:t>投标人</w:t>
      </w:r>
      <w:r>
        <w:rPr>
          <w:rFonts w:hint="eastAsia" w:ascii="宋体" w:hAnsi="宋体" w:eastAsia="宋体" w:cs="宋体"/>
          <w:kern w:val="0"/>
          <w:sz w:val="24"/>
          <w:szCs w:val="24"/>
          <w:highlight w:val="none"/>
        </w:rPr>
        <w:t>必须在接到报修电话后</w:t>
      </w:r>
      <w:r>
        <w:rPr>
          <w:rFonts w:ascii="宋体" w:hAnsi="宋体" w:eastAsia="宋体" w:cs="宋体"/>
          <w:kern w:val="0"/>
          <w:sz w:val="24"/>
          <w:szCs w:val="24"/>
          <w:highlight w:val="none"/>
        </w:rPr>
        <w:t>2小时内响应，24</w:t>
      </w:r>
      <w:r>
        <w:rPr>
          <w:rFonts w:hint="eastAsia" w:ascii="宋体" w:hAnsi="宋体" w:eastAsia="宋体" w:cs="宋体"/>
          <w:kern w:val="0"/>
          <w:sz w:val="24"/>
          <w:szCs w:val="24"/>
          <w:highlight w:val="none"/>
        </w:rPr>
        <w:t>小时内到达现场免费维修，</w:t>
      </w:r>
      <w:r>
        <w:rPr>
          <w:rFonts w:ascii="宋体" w:hAnsi="宋体" w:eastAsia="宋体" w:cs="宋体"/>
          <w:kern w:val="0"/>
          <w:sz w:val="24"/>
          <w:szCs w:val="24"/>
          <w:highlight w:val="none"/>
        </w:rPr>
        <w:t>72小时内修复。如72小时内无法修复的，必须全免费提供不低于故障设备规格型号档次的备用设备（或采用应急措施）供招标人临时使用，不得影响招标人的正常工作，直到故障设备修复。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sz w:val="24"/>
          <w:szCs w:val="24"/>
          <w:highlight w:val="none"/>
          <w:lang w:val="en-US" w:eastAsia="zh-CN"/>
        </w:rPr>
      </w:pPr>
      <w:r>
        <w:rPr>
          <w:rFonts w:hint="eastAsia" w:ascii="宋体" w:hAnsi="宋体" w:cs="宋体"/>
          <w:kern w:val="0"/>
          <w:sz w:val="24"/>
          <w:szCs w:val="24"/>
          <w:highlight w:val="none"/>
          <w:lang w:val="en-US" w:eastAsia="zh-CN"/>
        </w:rPr>
        <w:t>5、投标人</w:t>
      </w:r>
      <w:r>
        <w:rPr>
          <w:rFonts w:hint="eastAsia" w:ascii="宋体" w:hAnsi="宋体" w:eastAsia="宋体" w:cs="宋体"/>
          <w:kern w:val="0"/>
          <w:sz w:val="24"/>
          <w:szCs w:val="24"/>
          <w:highlight w:val="none"/>
        </w:rPr>
        <w:t>对所</w:t>
      </w:r>
      <w:r>
        <w:rPr>
          <w:rFonts w:hint="eastAsia" w:ascii="宋体" w:hAnsi="宋体" w:cs="宋体"/>
          <w:kern w:val="0"/>
          <w:sz w:val="24"/>
          <w:szCs w:val="24"/>
          <w:highlight w:val="none"/>
          <w:lang w:val="en-US" w:eastAsia="zh-CN"/>
        </w:rPr>
        <w:t>供货物</w:t>
      </w:r>
      <w:r>
        <w:rPr>
          <w:rFonts w:hint="eastAsia" w:ascii="宋体" w:hAnsi="宋体" w:eastAsia="宋体" w:cs="宋体"/>
          <w:kern w:val="0"/>
          <w:sz w:val="24"/>
          <w:szCs w:val="24"/>
          <w:highlight w:val="none"/>
        </w:rPr>
        <w:t>实行终身维护</w:t>
      </w:r>
      <w:r>
        <w:rPr>
          <w:rFonts w:hint="eastAsia" w:ascii="宋体" w:hAnsi="宋体" w:cs="宋体"/>
          <w:kern w:val="0"/>
          <w:sz w:val="24"/>
          <w:szCs w:val="24"/>
          <w:highlight w:val="none"/>
          <w:lang w:val="en-US" w:eastAsia="zh-CN"/>
        </w:rPr>
        <w:t>和本地化服务</w:t>
      </w:r>
      <w:r>
        <w:rPr>
          <w:rFonts w:hint="eastAsia" w:ascii="宋体" w:hAnsi="宋体" w:eastAsia="宋体" w:cs="宋体"/>
          <w:kern w:val="0"/>
          <w:sz w:val="24"/>
          <w:szCs w:val="24"/>
          <w:highlight w:val="none"/>
        </w:rPr>
        <w:t>，保修期外发生维修</w:t>
      </w:r>
      <w:r>
        <w:rPr>
          <w:rFonts w:hint="eastAsia" w:ascii="宋体" w:hAnsi="宋体" w:cs="宋体"/>
          <w:kern w:val="0"/>
          <w:sz w:val="24"/>
          <w:szCs w:val="24"/>
          <w:highlight w:val="none"/>
          <w:lang w:val="en-US" w:eastAsia="zh-CN"/>
        </w:rPr>
        <w:t>的，须免费提供人工维修服务，并</w:t>
      </w:r>
      <w:r>
        <w:rPr>
          <w:rFonts w:hint="eastAsia" w:ascii="宋体" w:hAnsi="宋体" w:eastAsia="宋体" w:cs="宋体"/>
          <w:kern w:val="0"/>
          <w:sz w:val="24"/>
          <w:szCs w:val="24"/>
          <w:highlight w:val="none"/>
        </w:rPr>
        <w:t>只收配件、材料成本费。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bCs/>
          <w:kern w:val="0"/>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须提供全天候7×24×365的售后服务，</w:t>
      </w:r>
      <w:r>
        <w:rPr>
          <w:rFonts w:hint="eastAsia" w:ascii="宋体" w:hAnsi="宋体" w:cs="宋体"/>
          <w:kern w:val="0"/>
          <w:sz w:val="24"/>
          <w:szCs w:val="24"/>
          <w:highlight w:val="none"/>
          <w:lang w:val="en-US" w:eastAsia="zh-CN"/>
        </w:rPr>
        <w:t>投标人</w:t>
      </w:r>
      <w:r>
        <w:rPr>
          <w:rFonts w:hint="eastAsia" w:ascii="宋体" w:hAnsi="宋体" w:eastAsia="宋体" w:cs="宋体"/>
          <w:sz w:val="24"/>
          <w:szCs w:val="24"/>
          <w:highlight w:val="none"/>
        </w:rPr>
        <w:t>提供统一的售后服务受理电话，在投标文件中明确售后服务受理电话号码及专门为招标人服务的客户服务经理姓名、电话。</w:t>
      </w:r>
      <w:r>
        <w:rPr>
          <w:rFonts w:hint="eastAsia" w:ascii="宋体" w:hAnsi="宋体" w:cs="宋体"/>
          <w:kern w:val="0"/>
          <w:sz w:val="24"/>
          <w:szCs w:val="24"/>
          <w:highlight w:val="none"/>
          <w:lang w:val="en-US" w:eastAsia="zh-CN"/>
        </w:rPr>
        <w:t>投标人</w:t>
      </w:r>
      <w:r>
        <w:rPr>
          <w:rFonts w:hint="eastAsia" w:ascii="宋体" w:hAnsi="宋体" w:eastAsia="宋体" w:cs="宋体"/>
          <w:kern w:val="0"/>
          <w:sz w:val="24"/>
          <w:szCs w:val="24"/>
          <w:highlight w:val="none"/>
        </w:rPr>
        <w:t>应免费为招标人培训使用及维护人员，现场指导整车的所有系统操作、维护和保养工作，确保招标人使用人员能正确使用、维护保养整车所有系统</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宋体" w:hAnsi="宋体" w:eastAsia="宋体" w:cs="宋体"/>
          <w:bCs/>
          <w:kern w:val="0"/>
          <w:sz w:val="24"/>
          <w:szCs w:val="24"/>
          <w:highlight w:val="none"/>
        </w:rPr>
      </w:pPr>
      <w:r>
        <w:rPr>
          <w:rFonts w:hint="eastAsia" w:ascii="宋体" w:hAnsi="宋体" w:cs="宋体"/>
          <w:bCs/>
          <w:kern w:val="0"/>
          <w:sz w:val="24"/>
          <w:szCs w:val="24"/>
          <w:highlight w:val="none"/>
          <w:lang w:val="en-US" w:eastAsia="zh-CN"/>
        </w:rPr>
        <w:t>7</w:t>
      </w:r>
      <w:r>
        <w:rPr>
          <w:rFonts w:hint="eastAsia" w:ascii="宋体" w:hAnsi="宋体" w:eastAsia="宋体" w:cs="宋体"/>
          <w:bCs/>
          <w:kern w:val="0"/>
          <w:sz w:val="24"/>
          <w:szCs w:val="24"/>
          <w:highlight w:val="none"/>
        </w:rPr>
        <w:t>、</w:t>
      </w:r>
      <w:r>
        <w:rPr>
          <w:rFonts w:hint="eastAsia" w:ascii="宋体" w:hAnsi="宋体" w:cs="宋体"/>
          <w:bCs/>
          <w:kern w:val="0"/>
          <w:sz w:val="24"/>
          <w:szCs w:val="24"/>
          <w:highlight w:val="none"/>
          <w:lang w:val="en-US" w:eastAsia="zh-CN"/>
        </w:rPr>
        <w:t>投标人</w:t>
      </w:r>
      <w:r>
        <w:rPr>
          <w:rFonts w:hint="eastAsia" w:ascii="宋体" w:hAnsi="宋体" w:eastAsia="宋体" w:cs="宋体"/>
          <w:bCs/>
          <w:kern w:val="0"/>
          <w:sz w:val="24"/>
          <w:szCs w:val="24"/>
          <w:highlight w:val="none"/>
        </w:rPr>
        <w:t>在签订合同时，不得提出附加条件和不合理要求，否则将取消其中标资格。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宋体" w:hAnsi="宋体" w:eastAsia="宋体" w:cs="宋体"/>
          <w:bCs/>
          <w:kern w:val="0"/>
          <w:sz w:val="24"/>
          <w:szCs w:val="24"/>
          <w:highlight w:val="none"/>
        </w:rPr>
      </w:pPr>
      <w:r>
        <w:rPr>
          <w:rFonts w:hint="eastAsia" w:ascii="宋体" w:hAnsi="宋体" w:cs="宋体"/>
          <w:bCs/>
          <w:kern w:val="0"/>
          <w:sz w:val="24"/>
          <w:szCs w:val="24"/>
          <w:highlight w:val="none"/>
          <w:lang w:val="en-US" w:eastAsia="zh-CN"/>
        </w:rPr>
        <w:t>8</w:t>
      </w:r>
      <w:r>
        <w:rPr>
          <w:rFonts w:hint="eastAsia" w:ascii="宋体" w:hAnsi="宋体" w:eastAsia="宋体" w:cs="宋体"/>
          <w:bCs/>
          <w:kern w:val="0"/>
          <w:sz w:val="24"/>
          <w:szCs w:val="24"/>
          <w:highlight w:val="none"/>
        </w:rPr>
        <w:t>、投标人中标后一律不得将服务内容转包或分包，一经发现，招标人有权终止协议，而由此造成的一切经济损失，由中标人负责赔偿。</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调试和验收</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kern w:val="0"/>
          <w:sz w:val="24"/>
          <w:highlight w:val="none"/>
          <w:lang w:val="en-US" w:eastAsia="zh-CN"/>
        </w:rPr>
        <w:t>①</w:t>
      </w:r>
      <w:r>
        <w:rPr>
          <w:rFonts w:hint="eastAsia" w:ascii="宋体" w:hAnsi="宋体" w:eastAsia="宋体" w:cs="宋体"/>
          <w:kern w:val="0"/>
          <w:sz w:val="24"/>
          <w:highlight w:val="none"/>
          <w:lang w:val="en-US" w:eastAsia="zh-CN"/>
        </w:rPr>
        <w:t>、</w:t>
      </w:r>
      <w:r>
        <w:rPr>
          <w:rFonts w:hint="eastAsia" w:ascii="宋体" w:hAnsi="宋体" w:eastAsia="宋体" w:cs="宋体"/>
          <w:bCs/>
          <w:kern w:val="0"/>
          <w:sz w:val="24"/>
          <w:szCs w:val="24"/>
          <w:highlight w:val="none"/>
        </w:rPr>
        <w:t>中标人</w:t>
      </w:r>
      <w:r>
        <w:rPr>
          <w:rFonts w:hint="eastAsia" w:ascii="宋体" w:hAnsi="宋体" w:eastAsia="宋体" w:cs="宋体"/>
          <w:kern w:val="0"/>
          <w:sz w:val="24"/>
          <w:highlight w:val="none"/>
        </w:rPr>
        <w:t>将产品运至</w:t>
      </w:r>
      <w:r>
        <w:rPr>
          <w:rFonts w:hint="eastAsia" w:ascii="宋体" w:hAnsi="宋体" w:cs="宋体"/>
          <w:kern w:val="0"/>
          <w:sz w:val="24"/>
          <w:highlight w:val="none"/>
          <w:lang w:val="en-US" w:eastAsia="zh-CN"/>
        </w:rPr>
        <w:t>招标人</w:t>
      </w:r>
      <w:r>
        <w:rPr>
          <w:rFonts w:hint="eastAsia" w:ascii="宋体" w:hAnsi="宋体" w:eastAsia="宋体" w:cs="宋体"/>
          <w:kern w:val="0"/>
          <w:sz w:val="24"/>
          <w:highlight w:val="none"/>
        </w:rPr>
        <w:t>指定地点后，由</w:t>
      </w:r>
      <w:r>
        <w:rPr>
          <w:rFonts w:hint="eastAsia" w:ascii="宋体" w:hAnsi="宋体" w:cs="宋体"/>
          <w:kern w:val="0"/>
          <w:sz w:val="24"/>
          <w:highlight w:val="none"/>
          <w:lang w:val="en-US" w:eastAsia="zh-CN"/>
        </w:rPr>
        <w:t>招标人</w:t>
      </w:r>
      <w:r>
        <w:rPr>
          <w:rFonts w:hint="eastAsia" w:ascii="宋体" w:hAnsi="宋体" w:eastAsia="宋体" w:cs="宋体"/>
          <w:kern w:val="0"/>
          <w:sz w:val="24"/>
          <w:highlight w:val="none"/>
        </w:rPr>
        <w:t>进行验收。验收通过的，由</w:t>
      </w:r>
      <w:r>
        <w:rPr>
          <w:rFonts w:hint="eastAsia" w:ascii="宋体" w:hAnsi="宋体" w:cs="宋体"/>
          <w:kern w:val="0"/>
          <w:sz w:val="24"/>
          <w:highlight w:val="none"/>
          <w:lang w:val="en-US" w:eastAsia="zh-CN"/>
        </w:rPr>
        <w:t>招标人</w:t>
      </w:r>
      <w:r>
        <w:rPr>
          <w:rFonts w:hint="eastAsia" w:ascii="宋体" w:hAnsi="宋体" w:eastAsia="宋体" w:cs="宋体"/>
          <w:kern w:val="0"/>
          <w:sz w:val="24"/>
          <w:highlight w:val="none"/>
        </w:rPr>
        <w:t>提供书面验收单。若产品不符合合同约定（如验收时技术性能与投标文件中技术条款响应情况不符），</w:t>
      </w:r>
      <w:r>
        <w:rPr>
          <w:rFonts w:hint="eastAsia" w:ascii="宋体" w:hAnsi="宋体" w:cs="宋体"/>
          <w:kern w:val="0"/>
          <w:sz w:val="24"/>
          <w:highlight w:val="none"/>
          <w:lang w:val="en-US" w:eastAsia="zh-CN"/>
        </w:rPr>
        <w:t>招标人</w:t>
      </w:r>
      <w:r>
        <w:rPr>
          <w:rFonts w:hint="eastAsia" w:ascii="宋体" w:hAnsi="宋体" w:eastAsia="宋体" w:cs="宋体"/>
          <w:kern w:val="0"/>
          <w:sz w:val="24"/>
          <w:highlight w:val="none"/>
        </w:rPr>
        <w:t>有权拒绝签收产品。</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cs="宋体"/>
          <w:kern w:val="0"/>
          <w:sz w:val="24"/>
          <w:szCs w:val="22"/>
          <w:highlight w:val="none"/>
          <w:lang w:val="en-US" w:eastAsia="zh-CN"/>
        </w:rPr>
        <w:t>②</w:t>
      </w:r>
      <w:r>
        <w:rPr>
          <w:rFonts w:hint="eastAsia" w:ascii="宋体" w:hAnsi="宋体" w:eastAsia="宋体" w:cs="宋体"/>
          <w:kern w:val="0"/>
          <w:sz w:val="24"/>
          <w:szCs w:val="22"/>
          <w:highlight w:val="none"/>
          <w:lang w:eastAsia="zh-CN"/>
        </w:rPr>
        <w:t>、</w:t>
      </w:r>
      <w:r>
        <w:rPr>
          <w:rFonts w:hint="eastAsia" w:ascii="宋体" w:hAnsi="宋体" w:eastAsia="宋体" w:cs="宋体"/>
          <w:kern w:val="0"/>
          <w:sz w:val="24"/>
          <w:szCs w:val="22"/>
          <w:highlight w:val="none"/>
        </w:rPr>
        <w:t>验收通过并不免除</w:t>
      </w:r>
      <w:r>
        <w:rPr>
          <w:rFonts w:hint="eastAsia" w:ascii="宋体" w:hAnsi="宋体" w:eastAsia="宋体" w:cs="宋体"/>
          <w:bCs/>
          <w:kern w:val="0"/>
          <w:sz w:val="24"/>
          <w:szCs w:val="24"/>
          <w:highlight w:val="none"/>
        </w:rPr>
        <w:t>中标人</w:t>
      </w:r>
      <w:r>
        <w:rPr>
          <w:rFonts w:hint="eastAsia" w:ascii="宋体" w:hAnsi="宋体" w:eastAsia="宋体" w:cs="宋体"/>
          <w:kern w:val="0"/>
          <w:sz w:val="24"/>
          <w:szCs w:val="22"/>
          <w:highlight w:val="none"/>
        </w:rPr>
        <w:t>因产品质量瑕疵而应承担的维修、赔偿等责任。</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cs="宋体"/>
          <w:kern w:val="0"/>
          <w:sz w:val="24"/>
          <w:szCs w:val="22"/>
          <w:highlight w:val="none"/>
          <w:lang w:val="en-US" w:eastAsia="zh-CN"/>
        </w:rPr>
        <w:t>③</w:t>
      </w:r>
      <w:r>
        <w:rPr>
          <w:rFonts w:hint="eastAsia" w:ascii="宋体" w:hAnsi="宋体" w:eastAsia="宋体" w:cs="宋体"/>
          <w:kern w:val="0"/>
          <w:sz w:val="24"/>
          <w:szCs w:val="22"/>
          <w:highlight w:val="none"/>
          <w:lang w:eastAsia="zh-CN"/>
        </w:rPr>
        <w:t>、</w:t>
      </w:r>
      <w:r>
        <w:rPr>
          <w:rFonts w:hint="eastAsia" w:ascii="宋体" w:hAnsi="宋体" w:eastAsia="宋体" w:cs="宋体"/>
          <w:kern w:val="0"/>
          <w:sz w:val="24"/>
          <w:szCs w:val="22"/>
          <w:highlight w:val="none"/>
        </w:rPr>
        <w:t>验收要求及标准</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（1）设备为原制造厂商生产的全新产品，整机无污染，无侵权行为。表面无划损，无任何缺陷隐患，在中国境内可依常规安全合法使用。</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（2）验收标准（依次对照如下）：①符合中华人民共和国国家安全质量标准、环保标准或行业标准；②设备（配件）来源有关官方机构发布的相关生产制造标准。</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（3）货物用户手册、保修手册、有关单证资料及配备件、随机工具等均应列明清单并按清单交付给</w:t>
      </w:r>
      <w:r>
        <w:rPr>
          <w:rFonts w:hint="eastAsia" w:ascii="宋体" w:hAnsi="宋体" w:eastAsia="宋体" w:cs="宋体"/>
          <w:kern w:val="0"/>
          <w:sz w:val="24"/>
          <w:szCs w:val="22"/>
          <w:highlight w:val="none"/>
          <w:lang w:val="en-US" w:eastAsia="zh-CN"/>
        </w:rPr>
        <w:t>甲方</w:t>
      </w:r>
      <w:r>
        <w:rPr>
          <w:rFonts w:hint="eastAsia" w:ascii="宋体" w:hAnsi="宋体" w:eastAsia="宋体" w:cs="宋体"/>
          <w:kern w:val="0"/>
          <w:sz w:val="24"/>
          <w:szCs w:val="22"/>
          <w:highlight w:val="none"/>
        </w:rPr>
        <w:t>。使用操作及安全须知等重要资料应附有中文说明。</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（4）货物上均应标有铭牌，内容包括：制造商、货物名称、型号规格、出厂日期等。</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（5）产品使用进口配件的，必须提供原产地证明和商检局的检验证明及合法进货渠道证明。</w:t>
      </w:r>
    </w:p>
    <w:p>
      <w:pPr>
        <w:widowControl/>
        <w:spacing w:line="360" w:lineRule="auto"/>
        <w:ind w:firstLine="480" w:firstLineChars="200"/>
        <w:textAlignment w:val="baseline"/>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10、其他要求：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10.1</w:t>
      </w:r>
      <w:r>
        <w:rPr>
          <w:rFonts w:hint="eastAsia" w:ascii="宋体" w:hAnsi="宋体" w:cs="宋体"/>
          <w:kern w:val="0"/>
          <w:sz w:val="24"/>
          <w:szCs w:val="24"/>
          <w:highlight w:val="none"/>
          <w:lang w:val="en-US" w:eastAsia="zh-CN"/>
        </w:rPr>
        <w:t>投标人</w:t>
      </w:r>
      <w:r>
        <w:rPr>
          <w:rFonts w:hint="eastAsia" w:ascii="宋体" w:hAnsi="宋体" w:cs="宋体"/>
          <w:sz w:val="24"/>
          <w:szCs w:val="24"/>
          <w:highlight w:val="none"/>
          <w:lang w:val="en-US" w:eastAsia="zh-CN"/>
        </w:rPr>
        <w:t>需具备合同履约能力，包括：</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投标人提供与本项目类似的供货业绩。</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10.2投标人专业技术生产能力，包括：</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①自主研发能力、生产工艺和生产步骤；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②产品检验；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③专业技术人员配备情况；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default" w:ascii="宋体" w:hAnsi="宋体" w:cs="宋体"/>
          <w:sz w:val="24"/>
          <w:szCs w:val="24"/>
          <w:highlight w:val="none"/>
          <w:lang w:val="en-US" w:eastAsia="zh-CN"/>
        </w:rPr>
        <w:t>④生产车间环境及详细的实际生产</w:t>
      </w:r>
      <w:r>
        <w:rPr>
          <w:rFonts w:hint="eastAsia" w:ascii="宋体" w:hAnsi="宋体" w:cs="宋体"/>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10.3设备整体性能介绍及描述，包括：</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①设备制造工艺情况；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default" w:ascii="宋体" w:hAnsi="宋体" w:cs="宋体"/>
          <w:sz w:val="24"/>
          <w:szCs w:val="24"/>
          <w:highlight w:val="none"/>
          <w:lang w:val="en-US" w:eastAsia="zh-CN"/>
        </w:rPr>
        <w:t>②</w:t>
      </w:r>
      <w:r>
        <w:rPr>
          <w:rFonts w:hint="eastAsia" w:ascii="宋体" w:hAnsi="宋体" w:cs="宋体"/>
          <w:sz w:val="24"/>
          <w:szCs w:val="24"/>
          <w:highlight w:val="none"/>
          <w:lang w:val="en-US" w:eastAsia="zh-CN"/>
        </w:rPr>
        <w:t>设备主要组成部件配置；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default" w:ascii="宋体" w:hAnsi="宋体" w:cs="宋体"/>
          <w:sz w:val="24"/>
          <w:szCs w:val="24"/>
          <w:highlight w:val="none"/>
          <w:lang w:val="en-US" w:eastAsia="zh-CN"/>
        </w:rPr>
        <w:t>③</w:t>
      </w:r>
      <w:r>
        <w:rPr>
          <w:rFonts w:hint="eastAsia" w:ascii="宋体" w:hAnsi="宋体" w:cs="宋体"/>
          <w:sz w:val="24"/>
          <w:szCs w:val="24"/>
          <w:highlight w:val="none"/>
          <w:lang w:val="en-US" w:eastAsia="zh-CN"/>
        </w:rPr>
        <w:t>主体设备及其关联辅助设备在操控性方面的表现；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default" w:ascii="宋体" w:hAnsi="宋体" w:cs="宋体"/>
          <w:sz w:val="24"/>
          <w:szCs w:val="24"/>
          <w:highlight w:val="none"/>
          <w:lang w:val="en-US" w:eastAsia="zh-CN"/>
        </w:rPr>
        <w:t>④</w:t>
      </w:r>
      <w:r>
        <w:rPr>
          <w:rFonts w:hint="eastAsia" w:ascii="宋体" w:hAnsi="宋体" w:cs="宋体"/>
          <w:sz w:val="24"/>
          <w:szCs w:val="24"/>
          <w:highlight w:val="none"/>
          <w:lang w:val="en-US" w:eastAsia="zh-CN"/>
        </w:rPr>
        <w:t>设备质量保证及实施方案。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10.4售后服务，包括：</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①售后服务方案；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②质保期内，投标人提供的质保期方案；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③质保期外，投标人提供的质保期方案；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④投标人承诺质保期内每年开展一次免费巡检，承诺书格式自拟。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10.5培训方案，包括：</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①培训时间计划</w:t>
      </w:r>
      <w:r>
        <w:rPr>
          <w:rFonts w:hint="eastAsia" w:ascii="宋体" w:hAnsi="宋体" w:cs="宋体"/>
          <w:sz w:val="24"/>
          <w:szCs w:val="24"/>
          <w:highlight w:val="none"/>
          <w:lang w:val="en-US" w:eastAsia="zh-CN"/>
        </w:rPr>
        <w:t>和</w:t>
      </w:r>
      <w:r>
        <w:rPr>
          <w:rFonts w:hint="default" w:ascii="宋体" w:hAnsi="宋体" w:cs="宋体"/>
          <w:sz w:val="24"/>
          <w:szCs w:val="24"/>
          <w:highlight w:val="none"/>
          <w:lang w:val="en-US" w:eastAsia="zh-CN"/>
        </w:rPr>
        <w:t>培训人员安排；</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②培训内容设计安排；</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③培训内容重点难点及培训结果保障措施。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10.6应急事故响应及处理方案，包括：</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①如可能发生的应急事故情况分析；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②应急响应时间；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③紧急安全保障措施</w:t>
      </w:r>
      <w:r>
        <w:rPr>
          <w:rFonts w:hint="eastAsia" w:ascii="宋体" w:hAnsi="宋体" w:cs="宋体"/>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sz w:val="24"/>
          <w:szCs w:val="24"/>
          <w:highlight w:val="none"/>
          <w:lang w:val="en-US" w:eastAsia="zh-CN"/>
        </w:rPr>
      </w:pPr>
    </w:p>
    <w:p>
      <w:pPr>
        <w:widowControl/>
        <w:spacing w:line="360" w:lineRule="auto"/>
        <w:ind w:firstLine="480" w:firstLineChars="200"/>
        <w:textAlignment w:val="baseline"/>
        <w:rPr>
          <w:rFonts w:hint="default" w:ascii="宋体" w:hAnsi="宋体" w:cs="宋体"/>
          <w:sz w:val="24"/>
          <w:szCs w:val="22"/>
          <w:highlight w:val="none"/>
          <w:lang w:val="en-US" w:eastAsia="zh-CN"/>
        </w:rPr>
      </w:pPr>
    </w:p>
    <w:p>
      <w:pPr>
        <w:rPr>
          <w:rFonts w:hint="eastAsia" w:ascii="宋体" w:hAnsi="宋体" w:eastAsia="宋体" w:cs="宋体"/>
          <w:color w:val="auto"/>
          <w:highlight w:val="none"/>
        </w:rPr>
      </w:pPr>
    </w:p>
    <w:p>
      <w:pPr>
        <w:adjustRightInd w:val="0"/>
        <w:snapToGrid w:val="0"/>
        <w:spacing w:line="4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
        <w:keepNext/>
        <w:keepLines/>
        <w:pageBreakBefore w:val="0"/>
        <w:widowControl w:val="0"/>
        <w:kinsoku/>
        <w:wordWrap/>
        <w:overflowPunct/>
        <w:topLinePunct w:val="0"/>
        <w:autoSpaceDE/>
        <w:autoSpaceDN/>
        <w:bidi w:val="0"/>
        <w:adjustRightInd/>
        <w:snapToGrid/>
        <w:spacing w:after="240"/>
        <w:textAlignment w:val="auto"/>
        <w:rPr>
          <w:rFonts w:hint="eastAsia" w:ascii="宋体" w:hAnsi="宋体" w:eastAsia="宋体" w:cs="宋体"/>
          <w:color w:val="auto"/>
          <w:highlight w:val="none"/>
        </w:rPr>
      </w:pPr>
      <w:r>
        <w:rPr>
          <w:rFonts w:hint="eastAsia" w:ascii="宋体" w:hAnsi="宋体" w:eastAsia="宋体" w:cs="宋体"/>
          <w:color w:val="auto"/>
          <w:highlight w:val="none"/>
        </w:rPr>
        <w:t>第六章 投标文件格式</w:t>
      </w:r>
      <w:bookmarkEnd w:id="498"/>
      <w:bookmarkEnd w:id="499"/>
      <w:bookmarkEnd w:id="500"/>
      <w:bookmarkStart w:id="501" w:name="_Toc445475396"/>
      <w:bookmarkStart w:id="502" w:name="_Toc397928631"/>
      <w:bookmarkStart w:id="503" w:name="_Toc510418362"/>
    </w:p>
    <w:p>
      <w:pPr>
        <w:pStyle w:val="2"/>
        <w:jc w:val="left"/>
        <w:rPr>
          <w:rFonts w:hint="eastAsia" w:ascii="宋体" w:hAnsi="宋体" w:eastAsia="宋体" w:cs="宋体"/>
          <w:b w:val="0"/>
          <w:color w:val="auto"/>
          <w:sz w:val="32"/>
          <w:highlight w:val="none"/>
        </w:rPr>
      </w:pPr>
      <w:bookmarkStart w:id="504" w:name="_Toc515549916"/>
      <w:bookmarkStart w:id="505" w:name="_Toc23488011"/>
      <w:bookmarkStart w:id="506" w:name="_Toc36140164"/>
      <w:r>
        <w:rPr>
          <w:rStyle w:val="62"/>
          <w:rFonts w:hint="eastAsia" w:ascii="宋体" w:hAnsi="宋体" w:eastAsia="宋体" w:cs="宋体"/>
          <w:b w:val="0"/>
          <w:bCs w:val="0"/>
          <w:color w:val="auto"/>
          <w:highlight w:val="none"/>
        </w:rPr>
        <w:t>封面</w:t>
      </w:r>
      <w:bookmarkEnd w:id="501"/>
      <w:bookmarkEnd w:id="502"/>
      <w:bookmarkEnd w:id="503"/>
      <w:bookmarkEnd w:id="504"/>
      <w:bookmarkEnd w:id="505"/>
      <w:bookmarkEnd w:id="506"/>
    </w:p>
    <w:p>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u w:val="single"/>
        </w:rPr>
        <w:t xml:space="preserve"> </w:t>
      </w:r>
      <w:r>
        <w:rPr>
          <w:rFonts w:hint="eastAsia" w:ascii="宋体" w:hAnsi="宋体" w:cs="宋体"/>
          <w:color w:val="auto"/>
          <w:sz w:val="44"/>
          <w:szCs w:val="44"/>
          <w:highlight w:val="none"/>
          <w:u w:val="single"/>
          <w:lang w:val="en-US" w:eastAsia="zh-CN"/>
        </w:rPr>
        <w:t xml:space="preserve">   </w:t>
      </w:r>
      <w:r>
        <w:rPr>
          <w:rFonts w:hint="eastAsia" w:ascii="宋体" w:hAnsi="宋体" w:eastAsia="宋体" w:cs="宋体"/>
          <w:color w:val="auto"/>
          <w:sz w:val="44"/>
          <w:szCs w:val="44"/>
          <w:highlight w:val="none"/>
          <w:u w:val="single"/>
        </w:rPr>
        <w:t>（</w:t>
      </w:r>
      <w:r>
        <w:rPr>
          <w:rFonts w:hint="eastAsia" w:ascii="宋体" w:hAnsi="宋体" w:cs="宋体"/>
          <w:color w:val="auto"/>
          <w:sz w:val="44"/>
          <w:szCs w:val="44"/>
          <w:highlight w:val="none"/>
          <w:u w:val="single"/>
          <w:lang w:val="en-US" w:eastAsia="zh-CN"/>
        </w:rPr>
        <w:t>标段</w:t>
      </w:r>
      <w:r>
        <w:rPr>
          <w:rFonts w:hint="eastAsia" w:ascii="宋体" w:hAnsi="宋体" w:eastAsia="宋体" w:cs="宋体"/>
          <w:color w:val="auto"/>
          <w:sz w:val="44"/>
          <w:szCs w:val="44"/>
          <w:highlight w:val="none"/>
          <w:u w:val="single"/>
        </w:rPr>
        <w:t xml:space="preserve">名称）    </w:t>
      </w:r>
      <w:r>
        <w:rPr>
          <w:rFonts w:hint="eastAsia" w:ascii="宋体" w:hAnsi="宋体" w:eastAsia="宋体" w:cs="宋体"/>
          <w:color w:val="auto"/>
          <w:sz w:val="44"/>
          <w:szCs w:val="44"/>
          <w:highlight w:val="none"/>
        </w:rPr>
        <w:t>货物招标</w:t>
      </w: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72"/>
          <w:szCs w:val="72"/>
          <w:highlight w:val="none"/>
        </w:rPr>
      </w:pPr>
    </w:p>
    <w:p>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投 标 文 件</w:t>
      </w: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招标编号： </w:t>
      </w: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ind w:leftChars="200" w:firstLine="708" w:firstLineChars="253"/>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投标人（盖章）：</w:t>
      </w:r>
      <w:r>
        <w:rPr>
          <w:rFonts w:hint="eastAsia" w:ascii="宋体" w:hAnsi="宋体" w:eastAsia="宋体" w:cs="宋体"/>
          <w:color w:val="auto"/>
          <w:sz w:val="28"/>
          <w:szCs w:val="28"/>
          <w:highlight w:val="none"/>
          <w:u w:val="single"/>
        </w:rPr>
        <w:t xml:space="preserve">                                </w:t>
      </w:r>
    </w:p>
    <w:p>
      <w:pPr>
        <w:spacing w:line="360" w:lineRule="auto"/>
        <w:ind w:leftChars="200" w:firstLine="700" w:firstLineChars="25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32"/>
          <w:highlight w:val="none"/>
        </w:rPr>
        <w:br w:type="page"/>
      </w:r>
      <w:bookmarkStart w:id="507" w:name="_Toc5230"/>
      <w:bookmarkStart w:id="508" w:name="_Toc387526438"/>
      <w:bookmarkStart w:id="509" w:name="_Toc397928632"/>
      <w:bookmarkStart w:id="510" w:name="_Toc387526242"/>
      <w:bookmarkStart w:id="511" w:name="_Toc387526346"/>
      <w:r>
        <w:rPr>
          <w:rFonts w:hint="eastAsia" w:ascii="宋体" w:hAnsi="宋体" w:eastAsia="宋体" w:cs="宋体"/>
          <w:b/>
          <w:color w:val="auto"/>
          <w:sz w:val="36"/>
          <w:szCs w:val="28"/>
          <w:highlight w:val="none"/>
        </w:rPr>
        <w:t>目     录</w:t>
      </w:r>
    </w:p>
    <w:p>
      <w:pPr>
        <w:spacing w:line="360" w:lineRule="auto"/>
        <w:ind w:firstLine="2040" w:firstLineChars="850"/>
        <w:jc w:val="left"/>
        <w:rPr>
          <w:rFonts w:hint="eastAsia" w:ascii="宋体" w:hAnsi="宋体" w:eastAsia="宋体" w:cs="宋体"/>
          <w:color w:val="auto"/>
          <w:sz w:val="24"/>
          <w:szCs w:val="24"/>
          <w:highlight w:val="none"/>
        </w:rPr>
      </w:pP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由投标人根据招标文件自行编制。</w:t>
      </w: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bookmarkEnd w:id="507"/>
    <w:bookmarkEnd w:id="508"/>
    <w:bookmarkEnd w:id="509"/>
    <w:bookmarkEnd w:id="510"/>
    <w:bookmarkEnd w:id="511"/>
    <w:p>
      <w:pPr>
        <w:pStyle w:val="25"/>
        <w:snapToGrid w:val="0"/>
        <w:spacing w:before="120" w:after="120" w:line="460" w:lineRule="exact"/>
        <w:jc w:val="left"/>
        <w:rPr>
          <w:rFonts w:hint="eastAsia" w:ascii="宋体" w:hAnsi="宋体" w:eastAsia="宋体" w:cs="宋体"/>
          <w:color w:val="auto"/>
          <w:highlight w:val="none"/>
          <w:lang w:bidi="th-TH"/>
        </w:rPr>
      </w:pPr>
    </w:p>
    <w:p>
      <w:pPr>
        <w:pStyle w:val="25"/>
        <w:snapToGrid w:val="0"/>
        <w:spacing w:before="120" w:after="120" w:line="460" w:lineRule="exact"/>
        <w:jc w:val="left"/>
        <w:rPr>
          <w:rFonts w:hint="eastAsia" w:ascii="宋体" w:hAnsi="宋体" w:eastAsia="宋体" w:cs="宋体"/>
          <w:color w:val="auto"/>
          <w:highlight w:val="none"/>
          <w:lang w:bidi="th-TH"/>
        </w:rPr>
      </w:pPr>
    </w:p>
    <w:p>
      <w:pPr>
        <w:pStyle w:val="25"/>
        <w:snapToGrid w:val="0"/>
        <w:spacing w:before="120" w:after="120" w:line="460" w:lineRule="exact"/>
        <w:jc w:val="left"/>
        <w:rPr>
          <w:rFonts w:hint="eastAsia" w:ascii="宋体" w:hAnsi="宋体" w:eastAsia="宋体" w:cs="宋体"/>
          <w:color w:val="auto"/>
          <w:highlight w:val="none"/>
          <w:lang w:bidi="th-TH"/>
        </w:rPr>
      </w:pPr>
    </w:p>
    <w:p>
      <w:pPr>
        <w:pStyle w:val="25"/>
        <w:snapToGrid w:val="0"/>
        <w:spacing w:before="120" w:after="120" w:line="460" w:lineRule="exact"/>
        <w:jc w:val="left"/>
        <w:rPr>
          <w:rFonts w:hint="eastAsia" w:ascii="宋体" w:hAnsi="宋体" w:eastAsia="宋体" w:cs="宋体"/>
          <w:color w:val="auto"/>
          <w:highlight w:val="none"/>
          <w:lang w:bidi="th-TH"/>
        </w:rPr>
      </w:pP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格式一：</w:t>
      </w:r>
    </w:p>
    <w:p>
      <w:pPr>
        <w:pStyle w:val="25"/>
        <w:snapToGrid w:val="0"/>
        <w:spacing w:before="120" w:after="120" w:line="460" w:lineRule="exact"/>
        <w:jc w:val="center"/>
        <w:rPr>
          <w:rFonts w:hint="eastAsia" w:ascii="宋体" w:hAnsi="宋体" w:eastAsia="宋体" w:cs="宋体"/>
          <w:b/>
          <w:color w:val="auto"/>
          <w:szCs w:val="28"/>
          <w:highlight w:val="none"/>
        </w:rPr>
      </w:pPr>
    </w:p>
    <w:p>
      <w:pPr>
        <w:pStyle w:val="25"/>
        <w:snapToGrid w:val="0"/>
        <w:spacing w:before="120" w:after="120" w:line="460" w:lineRule="exact"/>
        <w:jc w:val="center"/>
        <w:rPr>
          <w:rFonts w:hint="eastAsia" w:ascii="宋体" w:hAnsi="宋体" w:eastAsia="宋体" w:cs="宋体"/>
          <w:color w:val="auto"/>
          <w:highlight w:val="none"/>
          <w:lang w:bidi="th-TH"/>
        </w:rPr>
      </w:pPr>
      <w:r>
        <w:rPr>
          <w:rFonts w:hint="eastAsia" w:ascii="宋体" w:hAnsi="宋体" w:eastAsia="宋体" w:cs="宋体"/>
          <w:b/>
          <w:color w:val="auto"/>
          <w:szCs w:val="28"/>
          <w:highlight w:val="none"/>
        </w:rPr>
        <w:t>投标人的法定代表人身份证明书</w:t>
      </w:r>
    </w:p>
    <w:p>
      <w:pPr>
        <w:pStyle w:val="25"/>
        <w:snapToGrid w:val="0"/>
        <w:spacing w:before="120" w:after="120" w:line="460" w:lineRule="exact"/>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单位名称：</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单位性质：</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地址：</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成立时间：</w:t>
      </w:r>
      <w:r>
        <w:rPr>
          <w:rFonts w:hint="eastAsia" w:ascii="宋体" w:hAnsi="宋体" w:eastAsia="宋体" w:cs="宋体"/>
          <w:color w:val="auto"/>
          <w:sz w:val="24"/>
          <w:szCs w:val="24"/>
          <w:highlight w:val="none"/>
          <w:u w:val="single"/>
          <w:lang w:bidi="th-TH"/>
        </w:rPr>
        <w:t xml:space="preserve">       年    月      日</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经营期限：</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 xml:space="preserve">姓名： </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性别：</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 xml:space="preserve"> 年龄： </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职务：</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系</w:t>
      </w:r>
      <w:r>
        <w:rPr>
          <w:rFonts w:hint="eastAsia" w:ascii="宋体" w:hAnsi="宋体" w:eastAsia="宋体" w:cs="宋体"/>
          <w:color w:val="auto"/>
          <w:sz w:val="24"/>
          <w:szCs w:val="24"/>
          <w:highlight w:val="none"/>
          <w:u w:val="single"/>
          <w:lang w:bidi="th-TH"/>
        </w:rPr>
        <w:t>（投标人）</w:t>
      </w:r>
      <w:r>
        <w:rPr>
          <w:rFonts w:hint="eastAsia" w:ascii="宋体" w:hAnsi="宋体" w:eastAsia="宋体" w:cs="宋体"/>
          <w:color w:val="auto"/>
          <w:sz w:val="24"/>
          <w:szCs w:val="24"/>
          <w:highlight w:val="none"/>
          <w:lang w:bidi="th-TH"/>
        </w:rPr>
        <w:t>的法定代表人。</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特此证明。</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113030</wp:posOffset>
                </wp:positionV>
                <wp:extent cx="1943100" cy="1089660"/>
                <wp:effectExtent l="5080" t="4445" r="7620" b="10795"/>
                <wp:wrapNone/>
                <wp:docPr id="2" name="Rectangle 3"/>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p>
                          <w:p>
                            <w:pPr>
                              <w:jc w:val="center"/>
                              <w:rPr>
                                <w:rFonts w:ascii="宋体" w:hAnsi="宋体"/>
                                <w:szCs w:val="21"/>
                              </w:rPr>
                            </w:pPr>
                            <w:r>
                              <w:rPr>
                                <w:rFonts w:hint="eastAsia" w:ascii="宋体" w:hAnsi="宋体"/>
                                <w:szCs w:val="21"/>
                              </w:rPr>
                              <w:t>法定代表人身份证复印于此</w:t>
                            </w:r>
                          </w:p>
                        </w:txbxContent>
                      </wps:txbx>
                      <wps:bodyPr wrap="square" upright="1"/>
                    </wps:wsp>
                  </a:graphicData>
                </a:graphic>
              </wp:anchor>
            </w:drawing>
          </mc:Choice>
          <mc:Fallback>
            <w:pict>
              <v:rect id="Rectangle 3" o:spid="_x0000_s1026" o:spt="1" style="position:absolute;left:0pt;margin-left:1.55pt;margin-top:8.9pt;height:85.8pt;width:153pt;z-index:251660288;mso-width-relative:page;mso-height-relative:page;" fillcolor="#FFFFFF" filled="t" stroked="t" coordsize="21600,21600" o:gfxdata="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AG5q/V&#10;AAAACAEAAA8AAAAAAAAAAQAgAAAAIgAAAGRycy9kb3ducmV2LnhtbFBLAQIUABQAAAAIAIdO4kDK&#10;E/iD6gEAAO0DAAAOAAAAAAAAAAEAIAAAACQBAABkcnMvZTJvRG9jLnhtbFBLBQYAAAAABgAGAFkB&#10;AACABQAAAAA=&#10;">
                <v:fill on="t" focussize="0,0"/>
                <v:stroke color="#000000" joinstyle="miter"/>
                <v:imagedata o:title=""/>
                <o:lock v:ext="edit" aspectratio="f"/>
                <v:textbox>
                  <w:txbxContent>
                    <w:p>
                      <w:pPr>
                        <w:jc w:val="center"/>
                        <w:rPr>
                          <w:rFonts w:ascii="宋体" w:hAnsi="宋体"/>
                          <w:sz w:val="24"/>
                        </w:rPr>
                      </w:pPr>
                    </w:p>
                    <w:p>
                      <w:pPr>
                        <w:jc w:val="center"/>
                        <w:rPr>
                          <w:rFonts w:ascii="宋体" w:hAnsi="宋体"/>
                          <w:szCs w:val="21"/>
                        </w:rPr>
                      </w:pPr>
                      <w:r>
                        <w:rPr>
                          <w:rFonts w:hint="eastAsia" w:ascii="宋体" w:hAnsi="宋体"/>
                          <w:szCs w:val="21"/>
                        </w:rPr>
                        <w:t>法定代表人身份证复印于此</w:t>
                      </w:r>
                    </w:p>
                  </w:txbxContent>
                </v:textbox>
              </v:rect>
            </w:pict>
          </mc:Fallback>
        </mc:AlternateContent>
      </w:r>
    </w:p>
    <w:p>
      <w:pPr>
        <w:pStyle w:val="25"/>
        <w:snapToGrid w:val="0"/>
        <w:spacing w:before="120" w:after="120" w:line="460" w:lineRule="exact"/>
        <w:ind w:firstLine="5508" w:firstLineChars="2295"/>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投标人（盖章）：</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ind w:firstLine="5508" w:firstLineChars="2295"/>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日期：</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年</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月</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日</w:t>
      </w:r>
      <w:r>
        <w:rPr>
          <w:rFonts w:hint="eastAsia" w:ascii="宋体" w:hAnsi="宋体" w:eastAsia="宋体" w:cs="宋体"/>
          <w:color w:val="auto"/>
          <w:sz w:val="21"/>
          <w:szCs w:val="21"/>
          <w:highlight w:val="none"/>
          <w:lang w:bidi="th-TH"/>
        </w:rPr>
        <w:br w:type="page"/>
      </w:r>
      <w:r>
        <w:rPr>
          <w:rFonts w:hint="eastAsia" w:ascii="宋体" w:hAnsi="宋体" w:eastAsia="宋体" w:cs="宋体"/>
          <w:color w:val="auto"/>
          <w:sz w:val="24"/>
          <w:szCs w:val="24"/>
          <w:highlight w:val="none"/>
          <w:lang w:bidi="th-TH"/>
        </w:rPr>
        <w:t>格式二：</w:t>
      </w:r>
    </w:p>
    <w:p>
      <w:pPr>
        <w:pStyle w:val="25"/>
        <w:snapToGrid w:val="0"/>
        <w:spacing w:before="120" w:after="120" w:line="460" w:lineRule="exact"/>
        <w:jc w:val="both"/>
        <w:rPr>
          <w:rFonts w:hint="eastAsia" w:ascii="宋体" w:hAnsi="宋体" w:eastAsia="宋体" w:cs="宋体"/>
          <w:b/>
          <w:color w:val="auto"/>
          <w:szCs w:val="28"/>
          <w:highlight w:val="none"/>
        </w:rPr>
      </w:pPr>
    </w:p>
    <w:p>
      <w:pPr>
        <w:pStyle w:val="25"/>
        <w:snapToGrid w:val="0"/>
        <w:spacing w:before="120" w:after="120" w:line="460" w:lineRule="exact"/>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投标人的法定代表人授权委托书</w:t>
      </w:r>
    </w:p>
    <w:p>
      <w:pPr>
        <w:pStyle w:val="25"/>
        <w:snapToGrid w:val="0"/>
        <w:spacing w:before="120" w:after="120" w:line="46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本授权委托书声明：我</w:t>
      </w:r>
      <w:r>
        <w:rPr>
          <w:rFonts w:hint="eastAsia" w:ascii="宋体" w:hAnsi="宋体" w:eastAsia="宋体" w:cs="宋体"/>
          <w:color w:val="auto"/>
          <w:sz w:val="24"/>
          <w:szCs w:val="24"/>
          <w:highlight w:val="none"/>
          <w:u w:val="single"/>
          <w:lang w:bidi="th-TH"/>
        </w:rPr>
        <w:t>（姓名）</w:t>
      </w:r>
      <w:r>
        <w:rPr>
          <w:rFonts w:hint="eastAsia" w:ascii="宋体" w:hAnsi="宋体" w:eastAsia="宋体" w:cs="宋体"/>
          <w:color w:val="auto"/>
          <w:sz w:val="24"/>
          <w:szCs w:val="24"/>
          <w:highlight w:val="none"/>
          <w:lang w:bidi="th-TH"/>
        </w:rPr>
        <w:t>系</w:t>
      </w:r>
      <w:r>
        <w:rPr>
          <w:rFonts w:hint="eastAsia" w:ascii="宋体" w:hAnsi="宋体" w:eastAsia="宋体" w:cs="宋体"/>
          <w:color w:val="auto"/>
          <w:sz w:val="24"/>
          <w:szCs w:val="24"/>
          <w:highlight w:val="none"/>
          <w:u w:val="single"/>
          <w:lang w:bidi="th-TH"/>
        </w:rPr>
        <w:t>（投标人名称）</w:t>
      </w:r>
      <w:r>
        <w:rPr>
          <w:rFonts w:hint="eastAsia" w:ascii="宋体" w:hAnsi="宋体" w:eastAsia="宋体" w:cs="宋体"/>
          <w:color w:val="auto"/>
          <w:sz w:val="24"/>
          <w:szCs w:val="24"/>
          <w:highlight w:val="none"/>
          <w:lang w:bidi="th-TH"/>
        </w:rPr>
        <w:t>的法定代表人，现授权委托</w:t>
      </w:r>
      <w:r>
        <w:rPr>
          <w:rFonts w:hint="eastAsia" w:ascii="宋体" w:hAnsi="宋体" w:eastAsia="宋体" w:cs="宋体"/>
          <w:color w:val="auto"/>
          <w:sz w:val="24"/>
          <w:szCs w:val="24"/>
          <w:highlight w:val="none"/>
          <w:u w:val="single"/>
          <w:lang w:bidi="th-TH"/>
        </w:rPr>
        <w:t>（单位名称）</w:t>
      </w:r>
      <w:r>
        <w:rPr>
          <w:rFonts w:hint="eastAsia" w:ascii="宋体" w:hAnsi="宋体" w:eastAsia="宋体" w:cs="宋体"/>
          <w:color w:val="auto"/>
          <w:sz w:val="24"/>
          <w:szCs w:val="24"/>
          <w:highlight w:val="none"/>
          <w:lang w:bidi="th-TH"/>
        </w:rPr>
        <w:t>的</w:t>
      </w:r>
      <w:r>
        <w:rPr>
          <w:rFonts w:hint="eastAsia" w:ascii="宋体" w:hAnsi="宋体" w:eastAsia="宋体" w:cs="宋体"/>
          <w:color w:val="auto"/>
          <w:sz w:val="24"/>
          <w:szCs w:val="24"/>
          <w:highlight w:val="none"/>
          <w:u w:val="single"/>
          <w:lang w:bidi="th-TH"/>
        </w:rPr>
        <w:t>（姓名）</w:t>
      </w:r>
      <w:r>
        <w:rPr>
          <w:rFonts w:hint="eastAsia" w:ascii="宋体" w:hAnsi="宋体" w:eastAsia="宋体" w:cs="宋体"/>
          <w:color w:val="auto"/>
          <w:sz w:val="24"/>
          <w:szCs w:val="24"/>
          <w:highlight w:val="none"/>
          <w:lang w:bidi="th-TH"/>
        </w:rPr>
        <w:t>为我公司的代理人，以本公司的名义参加（</w:t>
      </w:r>
      <w:r>
        <w:rPr>
          <w:rFonts w:hint="eastAsia" w:ascii="宋体" w:hAnsi="宋体" w:eastAsia="宋体" w:cs="宋体"/>
          <w:color w:val="auto"/>
          <w:sz w:val="24"/>
          <w:szCs w:val="24"/>
          <w:highlight w:val="none"/>
          <w:u w:val="single"/>
          <w:lang w:bidi="th-TH"/>
        </w:rPr>
        <w:t>招标项目名称）</w:t>
      </w:r>
      <w:r>
        <w:rPr>
          <w:rFonts w:hint="eastAsia" w:ascii="宋体" w:hAnsi="宋体" w:eastAsia="宋体" w:cs="宋体"/>
          <w:color w:val="auto"/>
          <w:sz w:val="24"/>
          <w:szCs w:val="24"/>
          <w:highlight w:val="none"/>
          <w:lang w:bidi="th-TH"/>
        </w:rPr>
        <w:t>的投标活动。代理人在开标、评标、合同谈判过程中所签署的一切文件和处理与之有关的一切事务，我均予以承认。</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 xml:space="preserve">代理人：                性别：           年龄：        </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单位：                  部门：           职务：</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代理人无转委托权。特此委托。</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22860</wp:posOffset>
                </wp:positionV>
                <wp:extent cx="1943100" cy="1089660"/>
                <wp:effectExtent l="5080" t="4445" r="7620" b="10795"/>
                <wp:wrapNone/>
                <wp:docPr id="1" name="Rectangle 2"/>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p>
                          <w:p>
                            <w:pPr>
                              <w:jc w:val="center"/>
                              <w:rPr>
                                <w:rFonts w:ascii="宋体" w:hAnsi="宋体"/>
                                <w:sz w:val="24"/>
                                <w:szCs w:val="24"/>
                              </w:rPr>
                            </w:pPr>
                            <w:r>
                              <w:rPr>
                                <w:rFonts w:hint="eastAsia" w:ascii="宋体" w:hAnsi="宋体"/>
                                <w:sz w:val="24"/>
                                <w:szCs w:val="24"/>
                              </w:rPr>
                              <w:t>法定代表人授权委托人身份证复印于此</w:t>
                            </w:r>
                          </w:p>
                        </w:txbxContent>
                      </wps:txbx>
                      <wps:bodyPr wrap="square" upright="1"/>
                    </wps:wsp>
                  </a:graphicData>
                </a:graphic>
              </wp:anchor>
            </w:drawing>
          </mc:Choice>
          <mc:Fallback>
            <w:pict>
              <v:rect id="Rectangle 2" o:spid="_x0000_s1026" o:spt="1" style="position:absolute;left:0pt;margin-left:3.3pt;margin-top:1.8pt;height:85.8pt;width:153pt;z-index:251659264;mso-width-relative:page;mso-height-relative:page;" fillcolor="#FFFFFF" filled="t" stroked="t" coordsize="21600,21600" o:gfxdata="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vm5T9QA&#10;AAAHAQAADwAAAAAAAAABACAAAAAiAAAAZHJzL2Rvd25yZXYueG1sUEsBAhQAFAAAAAgAh07iQCbS&#10;JGDqAQAA7QMAAA4AAAAAAAAAAQAgAAAAIwEAAGRycy9lMm9Eb2MueG1sUEsFBgAAAAAGAAYAWQEA&#10;AH8FAAAAAA==&#10;">
                <v:fill on="t" focussize="0,0"/>
                <v:stroke color="#000000" joinstyle="miter"/>
                <v:imagedata o:title=""/>
                <o:lock v:ext="edit" aspectratio="f"/>
                <v:textbox>
                  <w:txbxContent>
                    <w:p>
                      <w:pPr>
                        <w:jc w:val="center"/>
                        <w:rPr>
                          <w:rFonts w:ascii="宋体" w:hAnsi="宋体"/>
                          <w:sz w:val="24"/>
                        </w:rPr>
                      </w:pPr>
                    </w:p>
                    <w:p>
                      <w:pPr>
                        <w:jc w:val="center"/>
                        <w:rPr>
                          <w:rFonts w:ascii="宋体" w:hAnsi="宋体"/>
                          <w:sz w:val="24"/>
                          <w:szCs w:val="24"/>
                        </w:rPr>
                      </w:pPr>
                      <w:r>
                        <w:rPr>
                          <w:rFonts w:hint="eastAsia" w:ascii="宋体" w:hAnsi="宋体"/>
                          <w:sz w:val="24"/>
                          <w:szCs w:val="24"/>
                        </w:rPr>
                        <w:t>法定代表人授权委托人身份证复印于此</w:t>
                      </w:r>
                    </w:p>
                  </w:txbxContent>
                </v:textbox>
              </v:rect>
            </w:pict>
          </mc:Fallback>
        </mc:AlternateConten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p>
    <w:p>
      <w:pPr>
        <w:pStyle w:val="25"/>
        <w:snapToGrid w:val="0"/>
        <w:spacing w:before="120" w:after="120" w:line="460" w:lineRule="exact"/>
        <w:jc w:val="left"/>
        <w:rPr>
          <w:rFonts w:hint="eastAsia" w:ascii="宋体" w:hAnsi="宋体" w:eastAsia="宋体" w:cs="宋体"/>
          <w:color w:val="auto"/>
          <w:sz w:val="24"/>
          <w:szCs w:val="24"/>
          <w:highlight w:val="none"/>
          <w:lang w:bidi="th-TH"/>
        </w:rPr>
      </w:pPr>
    </w:p>
    <w:p>
      <w:pPr>
        <w:pStyle w:val="25"/>
        <w:snapToGrid w:val="0"/>
        <w:spacing w:before="120" w:after="120" w:line="460" w:lineRule="exact"/>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投标人（盖章）：</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法定代表人（签字或盖章）：</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日期：</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年</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月</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 xml:space="preserve">日 </w:t>
      </w:r>
    </w:p>
    <w:p>
      <w:pPr>
        <w:pStyle w:val="25"/>
        <w:snapToGrid w:val="0"/>
        <w:spacing w:before="120" w:after="120" w:line="460" w:lineRule="exact"/>
        <w:jc w:val="left"/>
        <w:rPr>
          <w:rFonts w:hint="eastAsia" w:ascii="宋体" w:hAnsi="宋体" w:eastAsia="宋体" w:cs="宋体"/>
          <w:color w:val="auto"/>
          <w:highlight w:val="none"/>
          <w:lang w:bidi="th-TH"/>
        </w:rPr>
      </w:pPr>
    </w:p>
    <w:p>
      <w:pPr>
        <w:pStyle w:val="25"/>
        <w:snapToGrid w:val="0"/>
        <w:spacing w:before="120" w:after="120" w:line="460" w:lineRule="exact"/>
        <w:rPr>
          <w:rFonts w:hint="eastAsia" w:ascii="宋体" w:hAnsi="宋体" w:eastAsia="宋体" w:cs="宋体"/>
          <w:color w:val="auto"/>
          <w:sz w:val="24"/>
          <w:szCs w:val="24"/>
          <w:highlight w:val="none"/>
          <w:lang w:bidi="th-TH"/>
        </w:rPr>
      </w:pPr>
      <w:r>
        <w:rPr>
          <w:rFonts w:hint="eastAsia" w:ascii="宋体" w:hAnsi="宋体" w:eastAsia="宋体" w:cs="宋体"/>
          <w:color w:val="auto"/>
          <w:highlight w:val="none"/>
          <w:lang w:bidi="th-TH"/>
        </w:rPr>
        <w:br w:type="page"/>
      </w:r>
      <w:r>
        <w:rPr>
          <w:rFonts w:hint="eastAsia" w:ascii="宋体" w:hAnsi="宋体" w:eastAsia="宋体" w:cs="宋体"/>
          <w:color w:val="auto"/>
          <w:sz w:val="24"/>
          <w:szCs w:val="24"/>
          <w:highlight w:val="none"/>
          <w:lang w:bidi="th-TH"/>
        </w:rPr>
        <w:t>格式三：</w:t>
      </w:r>
    </w:p>
    <w:p>
      <w:pPr>
        <w:pStyle w:val="25"/>
        <w:snapToGrid w:val="0"/>
        <w:spacing w:before="120" w:after="120" w:line="460" w:lineRule="exact"/>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投标函</w:t>
      </w:r>
    </w:p>
    <w:p>
      <w:pPr>
        <w:pStyle w:val="25"/>
        <w:snapToGrid w:val="0"/>
        <w:spacing w:before="120" w:after="120" w:line="34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u w:val="single"/>
          <w:lang w:bidi="th-TH"/>
        </w:rPr>
        <w:t>（招标人名称）</w:t>
      </w:r>
      <w:r>
        <w:rPr>
          <w:rFonts w:hint="eastAsia" w:ascii="宋体" w:hAnsi="宋体" w:eastAsia="宋体" w:cs="宋体"/>
          <w:color w:val="auto"/>
          <w:sz w:val="24"/>
          <w:szCs w:val="24"/>
          <w:highlight w:val="none"/>
          <w:lang w:bidi="th-TH"/>
        </w:rPr>
        <w:t>：</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根据贵方为</w:t>
      </w:r>
      <w:r>
        <w:rPr>
          <w:rFonts w:hint="eastAsia" w:ascii="宋体" w:hAnsi="宋体" w:eastAsia="宋体" w:cs="宋体"/>
          <w:color w:val="auto"/>
          <w:sz w:val="24"/>
          <w:szCs w:val="24"/>
          <w:highlight w:val="none"/>
          <w:u w:val="single"/>
          <w:lang w:bidi="th-TH"/>
        </w:rPr>
        <w:t>（项目名称）</w:t>
      </w:r>
      <w:r>
        <w:rPr>
          <w:rFonts w:hint="eastAsia" w:ascii="宋体" w:hAnsi="宋体" w:eastAsia="宋体" w:cs="宋体"/>
          <w:color w:val="auto"/>
          <w:sz w:val="24"/>
          <w:szCs w:val="24"/>
          <w:highlight w:val="none"/>
          <w:lang w:bidi="th-TH"/>
        </w:rPr>
        <w:t>项目招标采购货物及服务的招标文件,签字人</w:t>
      </w:r>
      <w:r>
        <w:rPr>
          <w:rFonts w:hint="eastAsia" w:ascii="宋体" w:hAnsi="宋体" w:eastAsia="宋体" w:cs="宋体"/>
          <w:color w:val="auto"/>
          <w:sz w:val="24"/>
          <w:szCs w:val="24"/>
          <w:highlight w:val="none"/>
          <w:u w:val="single"/>
          <w:lang w:bidi="th-TH"/>
        </w:rPr>
        <w:t>（姓名、职务）</w:t>
      </w:r>
      <w:r>
        <w:rPr>
          <w:rFonts w:hint="eastAsia" w:ascii="宋体" w:hAnsi="宋体" w:eastAsia="宋体" w:cs="宋体"/>
          <w:color w:val="auto"/>
          <w:sz w:val="24"/>
          <w:szCs w:val="24"/>
          <w:highlight w:val="none"/>
          <w:lang w:bidi="th-TH"/>
        </w:rPr>
        <w:t>经正式授权并代表投标人</w:t>
      </w:r>
      <w:r>
        <w:rPr>
          <w:rFonts w:hint="eastAsia" w:ascii="宋体" w:hAnsi="宋体" w:eastAsia="宋体" w:cs="宋体"/>
          <w:color w:val="auto"/>
          <w:sz w:val="24"/>
          <w:szCs w:val="24"/>
          <w:highlight w:val="none"/>
          <w:u w:val="single"/>
          <w:lang w:bidi="th-TH"/>
        </w:rPr>
        <w:t>（投标人名称、地址）</w:t>
      </w:r>
      <w:r>
        <w:rPr>
          <w:rFonts w:hint="eastAsia" w:ascii="宋体" w:hAnsi="宋体" w:eastAsia="宋体" w:cs="宋体"/>
          <w:color w:val="auto"/>
          <w:sz w:val="24"/>
          <w:szCs w:val="24"/>
          <w:highlight w:val="none"/>
          <w:lang w:bidi="th-TH"/>
        </w:rPr>
        <w:t>提交投标文件正本</w:t>
      </w:r>
      <w:r>
        <w:rPr>
          <w:rFonts w:hint="eastAsia" w:ascii="宋体" w:hAnsi="宋体" w:eastAsia="宋体" w:cs="宋体"/>
          <w:color w:val="auto"/>
          <w:sz w:val="24"/>
          <w:szCs w:val="24"/>
          <w:highlight w:val="none"/>
          <w:u w:val="single"/>
          <w:lang w:bidi="th-TH"/>
        </w:rPr>
        <w:t xml:space="preserve">  </w:t>
      </w:r>
      <w:r>
        <w:rPr>
          <w:rFonts w:hint="eastAsia" w:hAnsi="宋体" w:cs="宋体"/>
          <w:color w:val="auto"/>
          <w:sz w:val="24"/>
          <w:szCs w:val="24"/>
          <w:highlight w:val="none"/>
          <w:u w:val="single"/>
          <w:lang w:val="en-US" w:eastAsia="zh-CN" w:bidi="th-TH"/>
        </w:rPr>
        <w:t xml:space="preserve"> </w:t>
      </w:r>
      <w:r>
        <w:rPr>
          <w:rFonts w:hint="eastAsia" w:ascii="宋体" w:hAnsi="宋体" w:eastAsia="宋体" w:cs="宋体"/>
          <w:color w:val="auto"/>
          <w:sz w:val="24"/>
          <w:szCs w:val="24"/>
          <w:highlight w:val="none"/>
          <w:lang w:bidi="th-TH"/>
        </w:rPr>
        <w:t>份及副本</w:t>
      </w:r>
      <w:r>
        <w:rPr>
          <w:rFonts w:hint="eastAsia" w:ascii="宋体" w:hAnsi="宋体" w:eastAsia="宋体" w:cs="宋体"/>
          <w:color w:val="auto"/>
          <w:sz w:val="24"/>
          <w:szCs w:val="24"/>
          <w:highlight w:val="none"/>
          <w:u w:val="single"/>
          <w:lang w:bidi="th-TH"/>
        </w:rPr>
        <w:t xml:space="preserve"> </w:t>
      </w:r>
      <w:r>
        <w:rPr>
          <w:rFonts w:hint="eastAsia" w:hAnsi="宋体" w:cs="宋体"/>
          <w:color w:val="auto"/>
          <w:sz w:val="24"/>
          <w:szCs w:val="24"/>
          <w:highlight w:val="none"/>
          <w:u w:val="single"/>
          <w:lang w:val="en-US" w:eastAsia="zh-CN" w:bidi="th-TH"/>
        </w:rPr>
        <w:t xml:space="preserve"> </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份；</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据此函，签字代表宣布同意如下：</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1. 所附投标报价明细表中规定的应提交和交付的货物的投标总价为人民币大写：</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34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，小写￥：</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元）。</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2. 我方</w:t>
      </w:r>
      <w:r>
        <w:rPr>
          <w:rFonts w:hint="eastAsia" w:ascii="宋体" w:hAnsi="宋体" w:eastAsia="宋体" w:cs="宋体"/>
          <w:color w:val="auto"/>
          <w:sz w:val="24"/>
          <w:szCs w:val="24"/>
          <w:highlight w:val="none"/>
        </w:rPr>
        <w:t>承诺按招标文件规定的</w:t>
      </w:r>
      <w:r>
        <w:rPr>
          <w:rFonts w:hint="eastAsia" w:ascii="宋体" w:hAnsi="宋体" w:eastAsia="宋体" w:cs="宋体"/>
          <w:color w:val="auto"/>
          <w:sz w:val="24"/>
          <w:szCs w:val="24"/>
          <w:highlight w:val="none"/>
          <w:lang w:val="en-US" w:eastAsia="zh-CN"/>
        </w:rPr>
        <w:t>供货</w:t>
      </w:r>
      <w:r>
        <w:rPr>
          <w:rFonts w:hint="eastAsia" w:ascii="宋体" w:hAnsi="宋体" w:eastAsia="宋体" w:cs="宋体"/>
          <w:color w:val="auto"/>
          <w:sz w:val="24"/>
          <w:szCs w:val="24"/>
          <w:highlight w:val="none"/>
        </w:rPr>
        <w:t>期限和合同约定，实施和完成各项任务。</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3. 我方已详细审查全部招标文件，包括有关澄清和补充说明（如果有的话）。我们完全理解并同意放弃对这方面有不明及误解的权力。</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4. 本投标文件有效期为自开标日起60个日历天。在这期间，本投标文件将始终对我方具有约束力，并可随时被接受。本次招标文件和本投标文件（含承诺书）将作为买卖合同的附件。</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5. 我方愿意向招标人提供与本次招标的相关资料，并对其真实性、合法性、有效性负责。</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6. 我方将严格履行本投标文件中的全部承诺和责任，并遵守招标文件中对投标人的所有规定。</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7. 我方完全理解招标人有保留在授标之前任何时候根据评标委员会的意见接受或拒绝任何投标的权力，并完全理解招标人对此无解释的义务。</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8. 我方完全理解招标人不一定接受投标价最低的投标。</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9. 我方承诺在此次招标过程中涉及的一切应当保密的事项，不向任何第三方泄露，否则承担一切法律责任。</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10. 如果我方中标，我们将按招标人要求的时间节点供货，并将按招标文件的规定履行合同责任和义务。</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11. 与本次投标有关的一切往来信函请寄：</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地址：</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 xml:space="preserve">    传真：</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电话：</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 xml:space="preserve">    电子邮件：</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投标人（盖章）：</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法定代表人或授权委托人（签字或盖章）：</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日期：</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年</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月</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日</w:t>
      </w:r>
    </w:p>
    <w:p>
      <w:pPr>
        <w:pStyle w:val="25"/>
        <w:snapToGrid w:val="0"/>
        <w:spacing w:before="120" w:after="120" w:line="460" w:lineRule="exact"/>
        <w:rPr>
          <w:rFonts w:hint="eastAsia" w:ascii="宋体" w:hAnsi="宋体" w:eastAsia="宋体" w:cs="宋体"/>
          <w:color w:val="auto"/>
          <w:sz w:val="24"/>
          <w:szCs w:val="24"/>
          <w:highlight w:val="none"/>
          <w:lang w:bidi="th-TH"/>
        </w:rPr>
      </w:pPr>
    </w:p>
    <w:p>
      <w:pPr>
        <w:pStyle w:val="25"/>
        <w:snapToGrid w:val="0"/>
        <w:spacing w:before="120" w:after="120" w:line="460" w:lineRule="exact"/>
        <w:rPr>
          <w:rFonts w:hint="eastAsia" w:ascii="宋体" w:hAnsi="宋体" w:eastAsia="宋体" w:cs="宋体"/>
          <w:color w:val="auto"/>
          <w:sz w:val="24"/>
          <w:szCs w:val="24"/>
          <w:highlight w:val="none"/>
          <w:lang w:bidi="th-TH"/>
        </w:rPr>
      </w:pPr>
    </w:p>
    <w:p>
      <w:pPr>
        <w:pStyle w:val="25"/>
        <w:snapToGrid w:val="0"/>
        <w:spacing w:before="120" w:after="120" w:line="460" w:lineRule="exac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格式四：</w:t>
      </w:r>
    </w:p>
    <w:p>
      <w:pPr>
        <w:pStyle w:val="25"/>
        <w:snapToGrid w:val="0"/>
        <w:spacing w:before="120" w:after="120" w:line="460" w:lineRule="exact"/>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诚信投标承诺书</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u w:val="single"/>
          <w:lang w:bidi="th-TH"/>
        </w:rPr>
        <w:t>（招标人名称）</w:t>
      </w:r>
      <w:r>
        <w:rPr>
          <w:rFonts w:hint="eastAsia" w:ascii="宋体" w:hAnsi="宋体" w:eastAsia="宋体" w:cs="宋体"/>
          <w:color w:val="auto"/>
          <w:sz w:val="24"/>
          <w:szCs w:val="24"/>
          <w:highlight w:val="none"/>
          <w:lang w:bidi="th-TH"/>
        </w:rPr>
        <w:t>：</w:t>
      </w:r>
    </w:p>
    <w:p>
      <w:pPr>
        <w:pStyle w:val="25"/>
        <w:snapToGrid w:val="0"/>
        <w:spacing w:before="120" w:after="120" w:line="460" w:lineRule="exact"/>
        <w:ind w:firstLine="484" w:firstLineChars="202"/>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我代表</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（投标人）自愿参加</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＿（招标项目名称）的投标，严格遵守招投标有关法律法规的相关规定，并郑重承诺：</w:t>
      </w:r>
    </w:p>
    <w:p>
      <w:pPr>
        <w:pStyle w:val="25"/>
        <w:snapToGrid w:val="0"/>
        <w:spacing w:before="120" w:after="120" w:line="460" w:lineRule="exact"/>
        <w:ind w:firstLine="484" w:firstLineChars="202"/>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（一）本单位递交的资格审查文件、投标文件中的所有资料都真实可信，没有弄虚作假；</w:t>
      </w:r>
    </w:p>
    <w:p>
      <w:pPr>
        <w:pStyle w:val="25"/>
        <w:snapToGrid w:val="0"/>
        <w:spacing w:before="120" w:after="120" w:line="460" w:lineRule="exact"/>
        <w:ind w:firstLine="484" w:firstLineChars="202"/>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（二）不组织、不参与串标围标，没有出借或挂靠资质等违法违规行为；</w:t>
      </w:r>
    </w:p>
    <w:p>
      <w:pPr>
        <w:pStyle w:val="25"/>
        <w:snapToGrid w:val="0"/>
        <w:spacing w:before="120" w:after="120" w:line="460" w:lineRule="exact"/>
        <w:ind w:firstLine="484" w:firstLineChars="202"/>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（三）拟派的投标项目组成员符合法律法规和地方的相关规定及招标文件的约定。中标后，绝不违法分包、转包；</w:t>
      </w:r>
    </w:p>
    <w:p>
      <w:pPr>
        <w:pStyle w:val="25"/>
        <w:snapToGrid w:val="0"/>
        <w:spacing w:before="120" w:after="120" w:line="460" w:lineRule="exact"/>
        <w:ind w:firstLine="484" w:firstLineChars="202"/>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（四）本单位如有涉及招标投标方面投诉举报，本人将在投诉书上签字，否则，招标投标行政监督部门或招标人可以不予受理；</w:t>
      </w:r>
    </w:p>
    <w:p>
      <w:pPr>
        <w:pStyle w:val="25"/>
        <w:snapToGrid w:val="0"/>
        <w:spacing w:before="120" w:after="120" w:line="460" w:lineRule="exact"/>
        <w:ind w:firstLine="484" w:firstLineChars="202"/>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（五）遵守相关法律、法规、规章和有关文件的规定。</w:t>
      </w:r>
    </w:p>
    <w:p>
      <w:pPr>
        <w:pStyle w:val="25"/>
        <w:snapToGrid w:val="0"/>
        <w:spacing w:before="120" w:after="120" w:line="460" w:lineRule="exact"/>
        <w:ind w:firstLine="484" w:firstLineChars="202"/>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如果出现违反上述承诺内容的行为，本人及本公司愿意接受招标人或招标投标行政监督部门的任何处罚。</w:t>
      </w:r>
    </w:p>
    <w:p>
      <w:pPr>
        <w:pStyle w:val="25"/>
        <w:snapToGrid w:val="0"/>
        <w:spacing w:before="120" w:after="120" w:line="460" w:lineRule="exact"/>
        <w:ind w:firstLine="484" w:firstLineChars="202"/>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特此承诺。</w:t>
      </w:r>
    </w:p>
    <w:p>
      <w:pPr>
        <w:pStyle w:val="25"/>
        <w:snapToGrid w:val="0"/>
        <w:spacing w:before="120" w:after="120" w:line="460" w:lineRule="exact"/>
        <w:ind w:firstLine="484" w:firstLineChars="202"/>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投标人（盖章）：</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ind w:firstLine="484" w:firstLineChars="202"/>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法定代表人（签字或盖章）：</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ind w:firstLine="484" w:firstLineChars="202"/>
        <w:jc w:val="left"/>
        <w:rPr>
          <w:rFonts w:hint="eastAsia" w:ascii="宋体" w:hAnsi="宋体" w:eastAsia="宋体" w:cs="宋体"/>
          <w:color w:val="auto"/>
          <w:sz w:val="24"/>
          <w:szCs w:val="24"/>
          <w:highlight w:val="none"/>
          <w:u w:val="single"/>
          <w:lang w:bidi="th-TH"/>
        </w:rPr>
        <w:sectPr>
          <w:footerReference r:id="rId3" w:type="default"/>
          <w:pgSz w:w="11906" w:h="16838"/>
          <w:pgMar w:top="1191" w:right="992" w:bottom="1191" w:left="1134" w:header="851" w:footer="992" w:gutter="0"/>
          <w:cols w:space="0" w:num="1"/>
          <w:rtlGutter w:val="0"/>
          <w:docGrid w:linePitch="312" w:charSpace="0"/>
        </w:sectPr>
      </w:pPr>
      <w:r>
        <w:rPr>
          <w:rFonts w:hint="eastAsia" w:ascii="宋体" w:hAnsi="宋体" w:eastAsia="宋体" w:cs="宋体"/>
          <w:color w:val="auto"/>
          <w:sz w:val="24"/>
          <w:szCs w:val="24"/>
          <w:highlight w:val="none"/>
          <w:lang w:bidi="th-TH"/>
        </w:rPr>
        <w:t>日期：</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年</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月</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日</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格式五：</w:t>
      </w:r>
    </w:p>
    <w:p>
      <w:pPr>
        <w:pStyle w:val="25"/>
        <w:snapToGrid w:val="0"/>
        <w:spacing w:before="120" w:after="120" w:line="460" w:lineRule="exact"/>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投标报价明细表</w:t>
      </w:r>
    </w:p>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标段</w:t>
      </w:r>
      <w:r>
        <w:rPr>
          <w:rFonts w:hint="eastAsia" w:ascii="宋体" w:hAnsi="宋体" w:eastAsia="宋体" w:cs="宋体"/>
          <w:color w:val="auto"/>
          <w:sz w:val="24"/>
          <w:szCs w:val="24"/>
          <w:highlight w:val="none"/>
        </w:rPr>
        <w:t xml:space="preserve">名称：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招标编号：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标段号：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报价单位：人民币元</w:t>
      </w:r>
    </w:p>
    <w:tbl>
      <w:tblPr>
        <w:tblStyle w:val="50"/>
        <w:tblW w:w="0" w:type="auto"/>
        <w:jc w:val="center"/>
        <w:tblLayout w:type="fixed"/>
        <w:tblCellMar>
          <w:top w:w="0" w:type="dxa"/>
          <w:left w:w="108" w:type="dxa"/>
          <w:bottom w:w="0" w:type="dxa"/>
          <w:right w:w="108" w:type="dxa"/>
        </w:tblCellMar>
      </w:tblPr>
      <w:tblGrid>
        <w:gridCol w:w="735"/>
        <w:gridCol w:w="1680"/>
        <w:gridCol w:w="1470"/>
        <w:gridCol w:w="728"/>
        <w:gridCol w:w="784"/>
        <w:gridCol w:w="898"/>
        <w:gridCol w:w="898"/>
        <w:gridCol w:w="884"/>
        <w:gridCol w:w="1417"/>
      </w:tblGrid>
      <w:tr>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vAlign w:val="center"/>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80" w:type="dxa"/>
            <w:tcBorders>
              <w:top w:val="single" w:color="auto" w:sz="4" w:space="0"/>
              <w:left w:val="single" w:color="auto" w:sz="6" w:space="0"/>
              <w:bottom w:val="single" w:color="auto" w:sz="4" w:space="0"/>
              <w:right w:val="single" w:color="auto" w:sz="4" w:space="0"/>
            </w:tcBorders>
            <w:vAlign w:val="center"/>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470" w:type="dxa"/>
            <w:tcBorders>
              <w:top w:val="single" w:color="auto" w:sz="4" w:space="0"/>
              <w:left w:val="single" w:color="auto" w:sz="4" w:space="0"/>
              <w:bottom w:val="single" w:color="auto" w:sz="4" w:space="0"/>
              <w:right w:val="single" w:color="auto" w:sz="6" w:space="0"/>
            </w:tcBorders>
            <w:vAlign w:val="center"/>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728"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784"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98"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898"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884"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417" w:type="dxa"/>
            <w:tcBorders>
              <w:top w:val="single" w:color="auto" w:sz="4" w:space="0"/>
              <w:left w:val="single" w:color="auto" w:sz="6" w:space="0"/>
              <w:bottom w:val="single" w:color="auto" w:sz="4" w:space="0"/>
              <w:right w:val="single" w:color="auto" w:sz="4" w:space="0"/>
            </w:tcBorders>
            <w:vAlign w:val="center"/>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制造商/产地</w:t>
            </w:r>
          </w:p>
        </w:tc>
      </w:tr>
      <w:tr>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655" w:hRule="atLeast"/>
          <w:jc w:val="center"/>
        </w:trPr>
        <w:tc>
          <w:tcPr>
            <w:tcW w:w="6295" w:type="dxa"/>
            <w:gridSpan w:val="6"/>
            <w:tcBorders>
              <w:top w:val="single" w:color="auto" w:sz="4" w:space="0"/>
              <w:left w:val="single" w:color="auto" w:sz="4" w:space="0"/>
              <w:bottom w:val="single" w:color="auto" w:sz="4" w:space="0"/>
              <w:right w:val="single" w:color="auto" w:sz="6" w:space="0"/>
            </w:tcBorders>
            <w:vAlign w:val="center"/>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货物分项报价汇总</w:t>
            </w:r>
          </w:p>
        </w:tc>
        <w:tc>
          <w:tcPr>
            <w:tcW w:w="3199" w:type="dxa"/>
            <w:gridSpan w:val="3"/>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r>
    </w:tbl>
    <w:p>
      <w:pPr>
        <w:spacing w:line="360" w:lineRule="auto"/>
        <w:jc w:val="left"/>
        <w:rPr>
          <w:rFonts w:hint="eastAsia" w:ascii="宋体" w:hAnsi="宋体" w:eastAsia="宋体" w:cs="宋体"/>
          <w:b/>
          <w:bCs/>
          <w:color w:val="auto"/>
          <w:sz w:val="32"/>
          <w:szCs w:val="32"/>
          <w:highlight w:val="none"/>
        </w:rPr>
      </w:pPr>
    </w:p>
    <w:p>
      <w:pPr>
        <w:spacing w:line="360" w:lineRule="auto"/>
        <w:jc w:val="left"/>
        <w:rPr>
          <w:rFonts w:hint="eastAsia" w:ascii="宋体" w:hAnsi="宋体" w:eastAsia="宋体" w:cs="宋体"/>
          <w:b/>
          <w:bCs/>
          <w:color w:val="auto"/>
          <w:sz w:val="32"/>
          <w:szCs w:val="32"/>
          <w:highlight w:val="none"/>
        </w:rPr>
      </w:pPr>
    </w:p>
    <w:p>
      <w:pPr>
        <w:spacing w:line="5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r>
        <w:rPr>
          <w:rFonts w:hint="eastAsia" w:ascii="宋体" w:hAnsi="宋体" w:eastAsia="宋体" w:cs="宋体"/>
          <w:color w:val="auto"/>
          <w:kern w:val="0"/>
          <w:sz w:val="24"/>
          <w:highlight w:val="none"/>
        </w:rPr>
        <w:t>格式六：</w:t>
      </w:r>
    </w:p>
    <w:p>
      <w:pPr>
        <w:autoSpaceDE w:val="0"/>
        <w:autoSpaceDN w:val="0"/>
        <w:adjustRightInd w:val="0"/>
        <w:spacing w:line="600" w:lineRule="exact"/>
        <w:jc w:val="cente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36"/>
          <w:szCs w:val="36"/>
          <w:highlight w:val="none"/>
        </w:rPr>
        <w:t>技术参数响应表</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标段</w:t>
      </w:r>
      <w:r>
        <w:rPr>
          <w:rFonts w:hint="eastAsia" w:ascii="宋体" w:hAnsi="宋体" w:eastAsia="宋体" w:cs="宋体"/>
          <w:color w:val="auto"/>
          <w:kern w:val="0"/>
          <w:sz w:val="24"/>
          <w:szCs w:val="24"/>
          <w:highlight w:val="none"/>
        </w:rPr>
        <w:t>名称：</w:t>
      </w:r>
    </w:p>
    <w:p>
      <w:pPr>
        <w:autoSpaceDE w:val="0"/>
        <w:autoSpaceDN w:val="0"/>
        <w:adjustRightInd w:val="0"/>
        <w:spacing w:line="7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标包号：</w:t>
      </w:r>
    </w:p>
    <w:tbl>
      <w:tblPr>
        <w:tblStyle w:val="50"/>
        <w:tblW w:w="0" w:type="auto"/>
        <w:jc w:val="center"/>
        <w:tblLayout w:type="fixed"/>
        <w:tblCellMar>
          <w:top w:w="0" w:type="dxa"/>
          <w:left w:w="0" w:type="dxa"/>
          <w:bottom w:w="0" w:type="dxa"/>
          <w:right w:w="0" w:type="dxa"/>
        </w:tblCellMar>
      </w:tblPr>
      <w:tblGrid>
        <w:gridCol w:w="1098"/>
        <w:gridCol w:w="4233"/>
        <w:gridCol w:w="1078"/>
        <w:gridCol w:w="1876"/>
        <w:gridCol w:w="1260"/>
      </w:tblGrid>
      <w:tr>
        <w:tblPrEx>
          <w:tblCellMar>
            <w:top w:w="0" w:type="dxa"/>
            <w:left w:w="0" w:type="dxa"/>
            <w:bottom w:w="0" w:type="dxa"/>
            <w:right w:w="0" w:type="dxa"/>
          </w:tblCellMar>
        </w:tblPrEx>
        <w:trPr>
          <w:trHeight w:val="529" w:hRule="exact"/>
          <w:jc w:val="center"/>
        </w:trPr>
        <w:tc>
          <w:tcPr>
            <w:tcW w:w="533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技术参数及要求</w:t>
            </w: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招标要求</w:t>
            </w:r>
          </w:p>
        </w:tc>
        <w:tc>
          <w:tcPr>
            <w:tcW w:w="1876"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4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投标响应</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备注</w:t>
            </w:r>
          </w:p>
        </w:tc>
      </w:tr>
      <w:tr>
        <w:tblPrEx>
          <w:tblCellMar>
            <w:top w:w="0" w:type="dxa"/>
            <w:left w:w="0" w:type="dxa"/>
            <w:bottom w:w="0" w:type="dxa"/>
            <w:right w:w="0" w:type="dxa"/>
          </w:tblCellMar>
        </w:tblPrEx>
        <w:trPr>
          <w:trHeight w:val="449" w:hRule="exact"/>
          <w:jc w:val="center"/>
        </w:trPr>
        <w:tc>
          <w:tcPr>
            <w:tcW w:w="1098" w:type="dxa"/>
            <w:vMerge w:val="restart"/>
            <w:tcBorders>
              <w:top w:val="single" w:color="auto" w:sz="4" w:space="0"/>
              <w:left w:val="single" w:color="auto" w:sz="4" w:space="0"/>
              <w:bottom w:val="nil"/>
              <w:right w:val="nil"/>
            </w:tcBorders>
            <w:shd w:val="clear" w:color="auto" w:fill="FFFFFF"/>
            <w:vAlign w:val="center"/>
          </w:tcPr>
          <w:p>
            <w:pPr>
              <w:jc w:val="center"/>
              <w:rPr>
                <w:rFonts w:hint="eastAsia" w:ascii="宋体" w:hAnsi="宋体" w:eastAsia="宋体" w:cs="宋体"/>
                <w:color w:val="auto"/>
                <w:kern w:val="0"/>
                <w:sz w:val="24"/>
                <w:szCs w:val="24"/>
                <w:highlight w:val="none"/>
              </w:rPr>
            </w:pPr>
          </w:p>
        </w:tc>
        <w:tc>
          <w:tcPr>
            <w:tcW w:w="4233" w:type="dxa"/>
            <w:tcBorders>
              <w:top w:val="single" w:color="auto" w:sz="4" w:space="0"/>
              <w:left w:val="single" w:color="auto" w:sz="4" w:space="0"/>
              <w:bottom w:val="nil"/>
              <w:right w:val="nil"/>
            </w:tcBorders>
            <w:shd w:val="clear" w:color="auto" w:fill="FFFFFF"/>
            <w:vAlign w:val="center"/>
          </w:tcPr>
          <w:p>
            <w:pPr>
              <w:rPr>
                <w:rFonts w:hint="eastAsia" w:ascii="宋体" w:hAnsi="宋体" w:eastAsia="宋体" w:cs="宋体"/>
                <w:color w:val="auto"/>
                <w:kern w:val="0"/>
                <w:sz w:val="24"/>
                <w:szCs w:val="24"/>
                <w:highlight w:val="none"/>
              </w:rPr>
            </w:pPr>
          </w:p>
        </w:tc>
        <w:tc>
          <w:tcPr>
            <w:tcW w:w="1078" w:type="dxa"/>
            <w:tcBorders>
              <w:top w:val="single" w:color="auto" w:sz="4" w:space="0"/>
              <w:left w:val="single" w:color="auto" w:sz="4" w:space="0"/>
              <w:bottom w:val="nil"/>
              <w:right w:val="nil"/>
            </w:tcBorders>
            <w:shd w:val="clear" w:color="auto" w:fill="FFFFFF"/>
            <w:vAlign w:val="center"/>
          </w:tcPr>
          <w:p>
            <w:pPr>
              <w:jc w:val="center"/>
              <w:rPr>
                <w:rFonts w:hint="eastAsia" w:ascii="宋体" w:hAnsi="宋体" w:eastAsia="宋体" w:cs="宋体"/>
                <w:color w:val="auto"/>
                <w:sz w:val="24"/>
                <w:szCs w:val="24"/>
                <w:highlight w:val="none"/>
              </w:rPr>
            </w:pPr>
          </w:p>
        </w:tc>
        <w:tc>
          <w:tcPr>
            <w:tcW w:w="1876" w:type="dxa"/>
            <w:tcBorders>
              <w:top w:val="single" w:color="auto" w:sz="4" w:space="0"/>
              <w:left w:val="single" w:color="auto" w:sz="4" w:space="0"/>
              <w:bottom w:val="nil"/>
              <w:right w:val="nil"/>
            </w:tcBorders>
            <w:shd w:val="clear" w:color="auto" w:fill="FFFFFF"/>
            <w:vAlign w:val="center"/>
          </w:tcPr>
          <w:p>
            <w:pPr>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49" w:hRule="exact"/>
          <w:jc w:val="center"/>
        </w:trPr>
        <w:tc>
          <w:tcPr>
            <w:tcW w:w="1098" w:type="dxa"/>
            <w:vMerge w:val="continue"/>
            <w:tcBorders>
              <w:top w:val="nil"/>
              <w:left w:val="single" w:color="auto" w:sz="4" w:space="0"/>
              <w:bottom w:val="nil"/>
              <w:right w:val="nil"/>
            </w:tcBorders>
            <w:shd w:val="clear" w:color="auto" w:fill="FFFFFF"/>
            <w:vAlign w:val="center"/>
          </w:tcPr>
          <w:p>
            <w:pPr>
              <w:jc w:val="center"/>
              <w:rPr>
                <w:rFonts w:hint="eastAsia" w:ascii="宋体" w:hAnsi="宋体" w:eastAsia="宋体" w:cs="宋体"/>
                <w:color w:val="auto"/>
                <w:sz w:val="24"/>
                <w:szCs w:val="24"/>
                <w:highlight w:val="none"/>
              </w:rPr>
            </w:pPr>
          </w:p>
        </w:tc>
        <w:tc>
          <w:tcPr>
            <w:tcW w:w="4233" w:type="dxa"/>
            <w:tcBorders>
              <w:top w:val="single" w:color="auto" w:sz="4" w:space="0"/>
              <w:left w:val="single" w:color="auto" w:sz="4" w:space="0"/>
              <w:bottom w:val="nil"/>
              <w:right w:val="nil"/>
            </w:tcBorders>
            <w:shd w:val="clear" w:color="auto" w:fill="FFFFFF"/>
            <w:vAlign w:val="center"/>
          </w:tcPr>
          <w:p>
            <w:pPr>
              <w:rPr>
                <w:rFonts w:hint="eastAsia" w:ascii="宋体" w:hAnsi="宋体" w:eastAsia="宋体" w:cs="宋体"/>
                <w:color w:val="auto"/>
                <w:kern w:val="0"/>
                <w:sz w:val="24"/>
                <w:szCs w:val="24"/>
                <w:highlight w:val="none"/>
              </w:rPr>
            </w:pPr>
          </w:p>
        </w:tc>
        <w:tc>
          <w:tcPr>
            <w:tcW w:w="1078" w:type="dxa"/>
            <w:tcBorders>
              <w:top w:val="single" w:color="auto" w:sz="4" w:space="0"/>
              <w:left w:val="single" w:color="auto" w:sz="4" w:space="0"/>
              <w:bottom w:val="nil"/>
              <w:right w:val="nil"/>
            </w:tcBorders>
            <w:shd w:val="clear" w:color="auto" w:fill="FFFFFF"/>
            <w:vAlign w:val="center"/>
          </w:tcPr>
          <w:p>
            <w:pPr>
              <w:jc w:val="center"/>
              <w:rPr>
                <w:rFonts w:hint="eastAsia" w:ascii="宋体" w:hAnsi="宋体" w:eastAsia="宋体" w:cs="宋体"/>
                <w:color w:val="auto"/>
                <w:sz w:val="24"/>
                <w:szCs w:val="24"/>
                <w:highlight w:val="none"/>
              </w:rPr>
            </w:pPr>
          </w:p>
        </w:tc>
        <w:tc>
          <w:tcPr>
            <w:tcW w:w="1876" w:type="dxa"/>
            <w:tcBorders>
              <w:top w:val="single" w:color="auto" w:sz="4" w:space="0"/>
              <w:left w:val="single" w:color="auto" w:sz="4" w:space="0"/>
              <w:bottom w:val="nil"/>
              <w:right w:val="nil"/>
            </w:tcBorders>
            <w:shd w:val="clear" w:color="auto" w:fill="FFFFFF"/>
            <w:vAlign w:val="center"/>
          </w:tcPr>
          <w:p>
            <w:pPr>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42" w:hRule="exact"/>
          <w:jc w:val="center"/>
        </w:trPr>
        <w:tc>
          <w:tcPr>
            <w:tcW w:w="1098" w:type="dxa"/>
            <w:vMerge w:val="continue"/>
            <w:tcBorders>
              <w:top w:val="nil"/>
              <w:left w:val="single" w:color="auto" w:sz="4" w:space="0"/>
              <w:bottom w:val="nil"/>
              <w:right w:val="nil"/>
            </w:tcBorders>
            <w:shd w:val="clear" w:color="auto" w:fill="FFFFFF"/>
            <w:vAlign w:val="center"/>
          </w:tcPr>
          <w:p>
            <w:pPr>
              <w:jc w:val="center"/>
              <w:rPr>
                <w:rFonts w:hint="eastAsia" w:ascii="宋体" w:hAnsi="宋体" w:eastAsia="宋体" w:cs="宋体"/>
                <w:color w:val="auto"/>
                <w:sz w:val="24"/>
                <w:szCs w:val="24"/>
                <w:highlight w:val="none"/>
              </w:rPr>
            </w:pPr>
          </w:p>
        </w:tc>
        <w:tc>
          <w:tcPr>
            <w:tcW w:w="4233" w:type="dxa"/>
            <w:tcBorders>
              <w:top w:val="single" w:color="auto" w:sz="4" w:space="0"/>
              <w:left w:val="single" w:color="auto" w:sz="4" w:space="0"/>
              <w:bottom w:val="single" w:color="auto" w:sz="4" w:space="0"/>
              <w:right w:val="nil"/>
            </w:tcBorders>
            <w:shd w:val="clear" w:color="auto" w:fill="FFFFFF"/>
            <w:vAlign w:val="center"/>
          </w:tcPr>
          <w:p>
            <w:pPr>
              <w:rPr>
                <w:rFonts w:hint="eastAsia" w:ascii="宋体" w:hAnsi="宋体" w:eastAsia="宋体" w:cs="宋体"/>
                <w:color w:val="auto"/>
                <w:kern w:val="0"/>
                <w:sz w:val="24"/>
                <w:szCs w:val="24"/>
                <w:highlight w:val="none"/>
              </w:rPr>
            </w:pPr>
          </w:p>
        </w:tc>
        <w:tc>
          <w:tcPr>
            <w:tcW w:w="1078"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hAnsi="宋体" w:eastAsia="宋体" w:cs="宋体"/>
                <w:color w:val="auto"/>
                <w:sz w:val="24"/>
                <w:szCs w:val="24"/>
                <w:highlight w:val="none"/>
              </w:rPr>
            </w:pPr>
          </w:p>
        </w:tc>
        <w:tc>
          <w:tcPr>
            <w:tcW w:w="1876"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42" w:hRule="exact"/>
          <w:jc w:val="center"/>
        </w:trPr>
        <w:tc>
          <w:tcPr>
            <w:tcW w:w="1098" w:type="dxa"/>
            <w:tcBorders>
              <w:top w:val="nil"/>
              <w:left w:val="single" w:color="auto" w:sz="4" w:space="0"/>
              <w:bottom w:val="single" w:color="auto" w:sz="4" w:space="0"/>
              <w:right w:val="nil"/>
            </w:tcBorders>
            <w:shd w:val="clear" w:color="auto" w:fill="FFFFFF"/>
            <w:vAlign w:val="center"/>
          </w:tcPr>
          <w:p>
            <w:pPr>
              <w:jc w:val="center"/>
              <w:rPr>
                <w:rFonts w:hint="eastAsia" w:ascii="宋体" w:hAnsi="宋体" w:eastAsia="宋体" w:cs="宋体"/>
                <w:color w:val="auto"/>
                <w:sz w:val="24"/>
                <w:szCs w:val="24"/>
                <w:highlight w:val="none"/>
              </w:rPr>
            </w:pPr>
          </w:p>
        </w:tc>
        <w:tc>
          <w:tcPr>
            <w:tcW w:w="4233"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078"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hAnsi="宋体" w:eastAsia="宋体" w:cs="宋体"/>
                <w:color w:val="auto"/>
                <w:sz w:val="24"/>
                <w:szCs w:val="24"/>
                <w:highlight w:val="none"/>
              </w:rPr>
            </w:pPr>
          </w:p>
        </w:tc>
        <w:tc>
          <w:tcPr>
            <w:tcW w:w="1876"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auto"/>
                <w:sz w:val="24"/>
                <w:szCs w:val="24"/>
                <w:highlight w:val="none"/>
              </w:rPr>
            </w:pPr>
          </w:p>
        </w:tc>
      </w:tr>
    </w:tbl>
    <w:p>
      <w:pPr>
        <w:autoSpaceDE w:val="0"/>
        <w:autoSpaceDN w:val="0"/>
        <w:adjustRightInd w:val="0"/>
        <w:spacing w:line="70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注：我方承诺：除上表中的偏离外，完全响应招标文件的其他条款。</w:t>
      </w:r>
    </w:p>
    <w:p>
      <w:pPr>
        <w:autoSpaceDE w:val="0"/>
        <w:autoSpaceDN w:val="0"/>
        <w:adjustRightInd w:val="0"/>
        <w:spacing w:line="700" w:lineRule="exact"/>
        <w:rPr>
          <w:rFonts w:hint="eastAsia" w:ascii="宋体" w:hAnsi="宋体" w:eastAsia="宋体" w:cs="宋体"/>
          <w:color w:val="auto"/>
          <w:kern w:val="0"/>
          <w:sz w:val="24"/>
          <w:szCs w:val="24"/>
          <w:highlight w:val="none"/>
        </w:rPr>
      </w:pPr>
    </w:p>
    <w:p>
      <w:pPr>
        <w:autoSpaceDE w:val="0"/>
        <w:autoSpaceDN w:val="0"/>
        <w:adjustRightInd w:val="0"/>
        <w:spacing w:line="7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投标人(公章) ：</w:t>
      </w:r>
      <w:r>
        <w:rPr>
          <w:rFonts w:hint="eastAsia" w:ascii="宋体" w:hAnsi="宋体" w:eastAsia="宋体" w:cs="宋体"/>
          <w:color w:val="auto"/>
          <w:kern w:val="0"/>
          <w:sz w:val="24"/>
          <w:szCs w:val="24"/>
          <w:highlight w:val="none"/>
          <w:u w:val="single"/>
        </w:rPr>
        <w:t xml:space="preserve">                          </w:t>
      </w:r>
    </w:p>
    <w:p>
      <w:pPr>
        <w:autoSpaceDE w:val="0"/>
        <w:autoSpaceDN w:val="0"/>
        <w:adjustRightInd w:val="0"/>
        <w:spacing w:line="500" w:lineRule="exact"/>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授权代表(签字) ：</w:t>
      </w:r>
      <w:r>
        <w:rPr>
          <w:rFonts w:hint="eastAsia" w:ascii="宋体" w:hAnsi="宋体" w:eastAsia="宋体" w:cs="宋体"/>
          <w:color w:val="auto"/>
          <w:kern w:val="0"/>
          <w:sz w:val="24"/>
          <w:szCs w:val="24"/>
          <w:highlight w:val="none"/>
          <w:u w:val="single"/>
        </w:rPr>
        <w:t xml:space="preserve">                        </w:t>
      </w:r>
    </w:p>
    <w:p>
      <w:pPr>
        <w:autoSpaceDE w:val="0"/>
        <w:autoSpaceDN w:val="0"/>
        <w:adjustRightInd w:val="0"/>
        <w:spacing w:line="700" w:lineRule="exac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日</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期：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pP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br w:type="page"/>
      </w:r>
    </w:p>
    <w:p>
      <w:pPr>
        <w:spacing w:line="360" w:lineRule="auto"/>
        <w:jc w:val="center"/>
        <w:rPr>
          <w:rFonts w:ascii="宋体" w:hAnsi="宋体" w:eastAsia="宋体" w:cs="宋体"/>
          <w:b/>
          <w:sz w:val="32"/>
          <w:szCs w:val="28"/>
          <w:highlight w:val="none"/>
        </w:rPr>
      </w:pPr>
      <w:r>
        <w:rPr>
          <w:rFonts w:hint="eastAsia" w:ascii="宋体" w:hAnsi="宋体" w:eastAsia="宋体" w:cs="宋体"/>
          <w:b/>
          <w:sz w:val="32"/>
          <w:szCs w:val="28"/>
          <w:highlight w:val="none"/>
        </w:rPr>
        <w:t>技术参数响应承诺函</w:t>
      </w:r>
    </w:p>
    <w:p>
      <w:pPr>
        <w:widowControl/>
        <w:jc w:val="left"/>
        <w:rPr>
          <w:rFonts w:ascii="Calibri" w:hAnsi="Calibri" w:eastAsia="宋体" w:cs="宋体"/>
          <w:szCs w:val="22"/>
          <w:highlight w:val="none"/>
        </w:rPr>
      </w:pPr>
    </w:p>
    <w:p>
      <w:pPr>
        <w:keepNext w:val="0"/>
        <w:keepLines w:val="0"/>
        <w:pageBreakBefore w:val="0"/>
        <w:widowControl/>
        <w:kinsoku/>
        <w:wordWrap/>
        <w:overflowPunct/>
        <w:bidi w:val="0"/>
        <w:snapToGrid/>
        <w:spacing w:before="0" w:beforeAutospacing="0" w:after="0" w:afterAutospacing="0" w:line="360" w:lineRule="auto"/>
        <w:jc w:val="left"/>
        <w:textAlignment w:val="auto"/>
        <w:rPr>
          <w:rFonts w:hint="eastAsia" w:ascii="宋体" w:hAnsi="宋体" w:eastAsia="宋体" w:cs="宋体"/>
          <w:kern w:val="2"/>
          <w:sz w:val="24"/>
          <w:szCs w:val="22"/>
          <w:highlight w:val="none"/>
          <w:u w:val="single"/>
          <w:lang w:val="en-US" w:eastAsia="zh-CN" w:bidi="ar-SA"/>
        </w:rPr>
      </w:pPr>
      <w:r>
        <w:rPr>
          <w:rFonts w:hint="eastAsia" w:ascii="宋体" w:hAnsi="宋体" w:eastAsia="宋体" w:cs="宋体"/>
          <w:kern w:val="0"/>
          <w:sz w:val="24"/>
          <w:szCs w:val="22"/>
          <w:highlight w:val="none"/>
          <w:lang w:val="en-US" w:eastAsia="zh-CN" w:bidi="ar-SA"/>
        </w:rPr>
        <w:t>致：</w:t>
      </w:r>
      <w:r>
        <w:rPr>
          <w:rFonts w:hint="eastAsia" w:ascii="宋体" w:hAnsi="宋体" w:eastAsia="宋体" w:cs="宋体"/>
          <w:kern w:val="0"/>
          <w:sz w:val="24"/>
          <w:szCs w:val="22"/>
          <w:highlight w:val="none"/>
          <w:u w:val="single"/>
          <w:lang w:val="en-US" w:eastAsia="zh-CN" w:bidi="ar-SA"/>
        </w:rPr>
        <w:t>江苏大中农场集团有限公司</w:t>
      </w:r>
    </w:p>
    <w:p>
      <w:pPr>
        <w:keepNext w:val="0"/>
        <w:keepLines w:val="0"/>
        <w:pageBreakBefore w:val="0"/>
        <w:kinsoku/>
        <w:wordWrap/>
        <w:overflowPunct/>
        <w:bidi w:val="0"/>
        <w:snapToGrid/>
        <w:spacing w:line="360" w:lineRule="auto"/>
        <w:ind w:firstLine="480" w:firstLineChars="200"/>
        <w:jc w:val="left"/>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我公司承诺在本项目的采购活动中，所投</w:t>
      </w:r>
      <w:r>
        <w:rPr>
          <w:rFonts w:hint="eastAsia" w:ascii="宋体" w:hAnsi="宋体" w:cs="宋体"/>
          <w:sz w:val="24"/>
          <w:szCs w:val="22"/>
          <w:highlight w:val="none"/>
          <w:u w:val="single"/>
          <w:lang w:val="en-US" w:eastAsia="zh-CN"/>
        </w:rPr>
        <w:t xml:space="preserve">    （货物名称）     </w:t>
      </w:r>
      <w:r>
        <w:rPr>
          <w:rFonts w:hint="eastAsia" w:ascii="宋体" w:hAnsi="宋体" w:eastAsia="宋体" w:cs="宋体"/>
          <w:sz w:val="24"/>
          <w:szCs w:val="22"/>
          <w:highlight w:val="none"/>
        </w:rPr>
        <w:t>技术参数响应指标参数均是真实的、准确的、是与我公司拟供</w:t>
      </w:r>
      <w:r>
        <w:rPr>
          <w:rFonts w:hint="eastAsia" w:ascii="宋体" w:hAnsi="宋体" w:cs="宋体"/>
          <w:sz w:val="24"/>
          <w:szCs w:val="22"/>
          <w:highlight w:val="none"/>
          <w:u w:val="single"/>
          <w:lang w:val="en-US" w:eastAsia="zh-CN"/>
        </w:rPr>
        <w:t xml:space="preserve">    （货物名称）     </w:t>
      </w:r>
      <w:r>
        <w:rPr>
          <w:rFonts w:hint="eastAsia" w:ascii="宋体" w:hAnsi="宋体" w:eastAsia="宋体" w:cs="宋体"/>
          <w:sz w:val="24"/>
          <w:szCs w:val="22"/>
          <w:highlight w:val="none"/>
          <w:lang w:val="en-US" w:eastAsia="zh-CN"/>
        </w:rPr>
        <w:t>的</w:t>
      </w:r>
      <w:r>
        <w:rPr>
          <w:rFonts w:hint="eastAsia" w:ascii="宋体" w:hAnsi="宋体" w:eastAsia="宋体" w:cs="宋体"/>
          <w:sz w:val="24"/>
          <w:szCs w:val="22"/>
          <w:highlight w:val="none"/>
        </w:rPr>
        <w:t>实际参数一致的</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lang w:val="en-US" w:eastAsia="zh-CN"/>
        </w:rPr>
        <w:t>并得到所供</w:t>
      </w:r>
      <w:r>
        <w:rPr>
          <w:rFonts w:hint="eastAsia" w:ascii="宋体" w:hAnsi="宋体" w:cs="宋体"/>
          <w:sz w:val="24"/>
          <w:szCs w:val="22"/>
          <w:highlight w:val="none"/>
          <w:u w:val="single"/>
          <w:lang w:val="en-US" w:eastAsia="zh-CN"/>
        </w:rPr>
        <w:t xml:space="preserve">    （货物名称）     </w:t>
      </w:r>
      <w:r>
        <w:rPr>
          <w:rFonts w:hint="eastAsia" w:ascii="宋体" w:hAnsi="宋体" w:cs="宋体"/>
          <w:sz w:val="24"/>
          <w:szCs w:val="22"/>
          <w:highlight w:val="none"/>
          <w:lang w:val="en-US" w:eastAsia="zh-CN"/>
        </w:rPr>
        <w:t>制造商</w:t>
      </w:r>
      <w:r>
        <w:rPr>
          <w:rFonts w:hint="eastAsia" w:ascii="宋体" w:hAnsi="宋体" w:eastAsia="宋体" w:cs="宋体"/>
          <w:sz w:val="24"/>
          <w:szCs w:val="22"/>
          <w:highlight w:val="none"/>
          <w:lang w:val="en-US" w:eastAsia="zh-CN"/>
        </w:rPr>
        <w:t>的确认</w:t>
      </w:r>
      <w:r>
        <w:rPr>
          <w:rFonts w:hint="eastAsia" w:ascii="宋体" w:hAnsi="宋体" w:eastAsia="宋体" w:cs="宋体"/>
          <w:sz w:val="24"/>
          <w:szCs w:val="22"/>
          <w:highlight w:val="none"/>
        </w:rPr>
        <w:t>。</w:t>
      </w:r>
    </w:p>
    <w:p>
      <w:pPr>
        <w:keepNext w:val="0"/>
        <w:keepLines w:val="0"/>
        <w:pageBreakBefore w:val="0"/>
        <w:kinsoku/>
        <w:wordWrap/>
        <w:overflowPunct/>
        <w:bidi w:val="0"/>
        <w:snapToGrid/>
        <w:spacing w:line="360" w:lineRule="auto"/>
        <w:ind w:firstLine="480" w:firstLineChars="200"/>
        <w:jc w:val="left"/>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特此声明。</w:t>
      </w:r>
    </w:p>
    <w:p>
      <w:pPr>
        <w:keepNext w:val="0"/>
        <w:keepLines w:val="0"/>
        <w:pageBreakBefore w:val="0"/>
        <w:kinsoku/>
        <w:wordWrap/>
        <w:overflowPunct/>
        <w:bidi w:val="0"/>
        <w:snapToGrid/>
        <w:spacing w:line="360" w:lineRule="auto"/>
        <w:ind w:firstLine="480" w:firstLineChars="200"/>
        <w:jc w:val="left"/>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我公司对上述声明的真实性负责。如有虚假，将依法承担相应责任。</w:t>
      </w:r>
    </w:p>
    <w:p>
      <w:pPr>
        <w:keepNext w:val="0"/>
        <w:keepLines w:val="0"/>
        <w:pageBreakBefore w:val="0"/>
        <w:kinsoku/>
        <w:wordWrap/>
        <w:overflowPunct/>
        <w:bidi w:val="0"/>
        <w:snapToGrid/>
        <w:spacing w:line="360" w:lineRule="auto"/>
        <w:ind w:firstLine="480" w:firstLineChars="200"/>
        <w:jc w:val="left"/>
        <w:textAlignment w:val="auto"/>
        <w:rPr>
          <w:rFonts w:hint="eastAsia" w:ascii="宋体" w:hAnsi="宋体" w:eastAsia="宋体" w:cs="宋体"/>
          <w:sz w:val="24"/>
          <w:szCs w:val="22"/>
          <w:highlight w:val="none"/>
        </w:rPr>
      </w:pPr>
    </w:p>
    <w:p>
      <w:pPr>
        <w:keepNext w:val="0"/>
        <w:keepLines w:val="0"/>
        <w:pageBreakBefore w:val="0"/>
        <w:kinsoku/>
        <w:wordWrap/>
        <w:overflowPunct/>
        <w:bidi w:val="0"/>
        <w:snapToGrid/>
        <w:spacing w:line="360" w:lineRule="auto"/>
        <w:ind w:firstLine="480" w:firstLineChars="200"/>
        <w:jc w:val="left"/>
        <w:textAlignment w:val="auto"/>
        <w:rPr>
          <w:rFonts w:hint="eastAsia" w:ascii="宋体" w:hAnsi="宋体" w:eastAsia="宋体" w:cs="宋体"/>
          <w:sz w:val="24"/>
          <w:szCs w:val="22"/>
          <w:highlight w:val="none"/>
        </w:rPr>
      </w:pPr>
    </w:p>
    <w:p>
      <w:pPr>
        <w:keepNext w:val="0"/>
        <w:keepLines w:val="0"/>
        <w:pageBreakBefore w:val="0"/>
        <w:tabs>
          <w:tab w:val="left" w:pos="794"/>
          <w:tab w:val="left" w:pos="2129"/>
          <w:tab w:val="left" w:pos="3209"/>
          <w:tab w:val="left" w:pos="4289"/>
          <w:tab w:val="left" w:pos="5369"/>
          <w:tab w:val="left" w:pos="6449"/>
          <w:tab w:val="left" w:pos="7529"/>
          <w:tab w:val="left" w:pos="9074"/>
        </w:tabs>
        <w:kinsoku/>
        <w:wordWrap/>
        <w:overflowPunct/>
        <w:autoSpaceDE w:val="0"/>
        <w:autoSpaceDN w:val="0"/>
        <w:bidi w:val="0"/>
        <w:adjustRightInd w:val="0"/>
        <w:snapToGrid/>
        <w:spacing w:line="600" w:lineRule="auto"/>
        <w:ind w:firstLine="480" w:firstLineChars="200"/>
        <w:jc w:val="left"/>
        <w:textAlignment w:val="auto"/>
        <w:rPr>
          <w:rFonts w:hint="eastAsia" w:ascii="宋体" w:hAnsi="宋体" w:eastAsia="宋体" w:cs="宋体"/>
          <w:sz w:val="24"/>
          <w:szCs w:val="22"/>
          <w:highlight w:val="none"/>
          <w:lang w:val="en-US"/>
        </w:rPr>
      </w:pPr>
      <w:r>
        <w:rPr>
          <w:rFonts w:hint="eastAsia" w:ascii="宋体" w:hAnsi="宋体" w:eastAsia="宋体" w:cs="宋体"/>
          <w:sz w:val="24"/>
          <w:szCs w:val="22"/>
          <w:highlight w:val="none"/>
        </w:rPr>
        <w:t>拟供</w:t>
      </w:r>
      <w:r>
        <w:rPr>
          <w:rFonts w:hint="eastAsia" w:ascii="宋体" w:hAnsi="宋体" w:cs="宋体"/>
          <w:sz w:val="24"/>
          <w:szCs w:val="22"/>
          <w:highlight w:val="none"/>
          <w:u w:val="single"/>
          <w:lang w:val="en-US" w:eastAsia="zh-CN"/>
        </w:rPr>
        <w:t xml:space="preserve">  （货物名称）   </w:t>
      </w:r>
      <w:r>
        <w:rPr>
          <w:rFonts w:hint="eastAsia" w:ascii="宋体" w:hAnsi="宋体" w:cs="宋体"/>
          <w:sz w:val="24"/>
          <w:szCs w:val="22"/>
          <w:highlight w:val="none"/>
          <w:lang w:val="en-US" w:eastAsia="zh-CN"/>
        </w:rPr>
        <w:t>制造商</w:t>
      </w:r>
      <w:r>
        <w:rPr>
          <w:rFonts w:hint="eastAsia" w:ascii="宋体" w:hAnsi="宋体" w:eastAsia="宋体" w:cs="宋体"/>
          <w:sz w:val="24"/>
          <w:szCs w:val="22"/>
          <w:highlight w:val="none"/>
        </w:rPr>
        <w:t>：（盖单位公章）</w:t>
      </w:r>
    </w:p>
    <w:p>
      <w:pPr>
        <w:keepNext w:val="0"/>
        <w:keepLines w:val="0"/>
        <w:pageBreakBefore w:val="0"/>
        <w:tabs>
          <w:tab w:val="left" w:pos="794"/>
          <w:tab w:val="left" w:pos="2129"/>
          <w:tab w:val="left" w:pos="3209"/>
          <w:tab w:val="left" w:pos="4289"/>
          <w:tab w:val="left" w:pos="5369"/>
          <w:tab w:val="left" w:pos="6449"/>
          <w:tab w:val="left" w:pos="7529"/>
          <w:tab w:val="left" w:pos="9074"/>
        </w:tabs>
        <w:kinsoku/>
        <w:wordWrap/>
        <w:overflowPunct/>
        <w:autoSpaceDE w:val="0"/>
        <w:autoSpaceDN w:val="0"/>
        <w:bidi w:val="0"/>
        <w:adjustRightInd w:val="0"/>
        <w:snapToGrid/>
        <w:spacing w:line="60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2"/>
          <w:highlight w:val="none"/>
        </w:rPr>
        <w:t>投标人名称</w:t>
      </w:r>
      <w:r>
        <w:rPr>
          <w:rFonts w:hint="eastAsia" w:ascii="宋体" w:hAnsi="宋体" w:eastAsia="宋体" w:cs="宋体"/>
          <w:b/>
          <w:bCs/>
          <w:sz w:val="24"/>
          <w:szCs w:val="22"/>
          <w:highlight w:val="none"/>
        </w:rPr>
        <w:t>：</w:t>
      </w:r>
      <w:r>
        <w:rPr>
          <w:rFonts w:hint="eastAsia" w:ascii="宋体" w:hAnsi="宋体" w:eastAsia="宋体" w:cs="宋体"/>
          <w:b w:val="0"/>
          <w:bCs w:val="0"/>
          <w:sz w:val="24"/>
          <w:szCs w:val="22"/>
          <w:highlight w:val="none"/>
        </w:rPr>
        <w:t>（盖单位公章）</w:t>
      </w:r>
    </w:p>
    <w:p>
      <w:pPr>
        <w:keepNext w:val="0"/>
        <w:keepLines w:val="0"/>
        <w:pageBreakBefore w:val="0"/>
        <w:kinsoku/>
        <w:wordWrap/>
        <w:overflowPunct/>
        <w:topLinePunct/>
        <w:bidi w:val="0"/>
        <w:snapToGrid/>
        <w:spacing w:line="600" w:lineRule="auto"/>
        <w:ind w:firstLine="480" w:firstLineChars="200"/>
        <w:jc w:val="left"/>
        <w:textAlignment w:val="auto"/>
        <w:rPr>
          <w:rFonts w:hint="eastAsia" w:ascii="宋体" w:hAnsi="宋体" w:eastAsia="宋体" w:cs="宋体"/>
          <w:sz w:val="24"/>
          <w:szCs w:val="22"/>
          <w:highlight w:val="none"/>
        </w:rPr>
      </w:pPr>
      <w:r>
        <w:rPr>
          <w:rFonts w:hint="eastAsia" w:ascii="宋体" w:hAnsi="宋体" w:eastAsia="宋体" w:cs="宋体"/>
          <w:sz w:val="24"/>
          <w:szCs w:val="24"/>
          <w:highlight w:val="none"/>
        </w:rPr>
        <w:t>法定代表人（单位负责人）或</w:t>
      </w:r>
      <w:r>
        <w:rPr>
          <w:rFonts w:hint="eastAsia" w:ascii="宋体" w:hAnsi="宋体" w:eastAsia="宋体" w:cs="宋体"/>
          <w:sz w:val="24"/>
          <w:szCs w:val="22"/>
          <w:highlight w:val="none"/>
        </w:rPr>
        <w:t>其委托代理人</w:t>
      </w:r>
      <w:r>
        <w:rPr>
          <w:rFonts w:hint="eastAsia" w:ascii="宋体" w:hAnsi="宋体" w:eastAsia="宋体" w:cs="宋体"/>
          <w:sz w:val="24"/>
          <w:szCs w:val="24"/>
          <w:highlight w:val="none"/>
        </w:rPr>
        <w:t>：（签字或盖章）</w:t>
      </w:r>
    </w:p>
    <w:p>
      <w:pPr>
        <w:keepNext w:val="0"/>
        <w:keepLines w:val="0"/>
        <w:pageBreakBefore w:val="0"/>
        <w:kinsoku/>
        <w:wordWrap/>
        <w:overflowPunct/>
        <w:bidi w:val="0"/>
        <w:snapToGrid/>
        <w:spacing w:line="60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2"/>
          <w:highlight w:val="none"/>
        </w:rPr>
        <w:t>日期：</w:t>
      </w:r>
      <w:r>
        <w:rPr>
          <w:rFonts w:hint="eastAsia" w:ascii="宋体" w:hAnsi="宋体" w:eastAsia="宋体" w:cs="宋体"/>
          <w:sz w:val="24"/>
          <w:szCs w:val="22"/>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pPr>
        <w:pStyle w:val="4"/>
        <w:rPr>
          <w:rFonts w:hint="eastAsia"/>
          <w:highlight w:val="none"/>
        </w:rPr>
      </w:pPr>
    </w:p>
    <w:p>
      <w:pPr>
        <w:autoSpaceDE w:val="0"/>
        <w:autoSpaceDN w:val="0"/>
        <w:adjustRightInd w:val="0"/>
        <w:spacing w:line="700" w:lineRule="exact"/>
        <w:jc w:val="center"/>
        <w:rPr>
          <w:rFonts w:hint="eastAsia" w:ascii="宋体" w:hAnsi="宋体" w:eastAsia="宋体" w:cs="宋体"/>
          <w:b/>
          <w:bCs/>
          <w:color w:val="auto"/>
          <w:kern w:val="0"/>
          <w:sz w:val="44"/>
          <w:szCs w:val="44"/>
          <w:highlight w:val="none"/>
        </w:rPr>
      </w:pPr>
    </w:p>
    <w:p>
      <w:pPr>
        <w:autoSpaceDE w:val="0"/>
        <w:autoSpaceDN w:val="0"/>
        <w:adjustRightInd w:val="0"/>
        <w:spacing w:line="700" w:lineRule="exact"/>
        <w:rPr>
          <w:rFonts w:hint="eastAsia" w:ascii="宋体" w:hAnsi="宋体" w:eastAsia="宋体" w:cs="宋体"/>
          <w:b/>
          <w:bCs/>
          <w:color w:val="auto"/>
          <w:kern w:val="0"/>
          <w:sz w:val="24"/>
          <w:highlight w:val="none"/>
        </w:rPr>
      </w:pP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 w:val="24"/>
          <w:highlight w:val="none"/>
        </w:rPr>
        <w:t>格式七：</w:t>
      </w:r>
    </w:p>
    <w:p>
      <w:pPr>
        <w:autoSpaceDE w:val="0"/>
        <w:autoSpaceDN w:val="0"/>
        <w:adjustRightInd w:val="0"/>
        <w:spacing w:line="700" w:lineRule="exact"/>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商务条款偏离表</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标段</w:t>
      </w:r>
      <w:r>
        <w:rPr>
          <w:rFonts w:hint="eastAsia" w:ascii="宋体" w:hAnsi="宋体" w:eastAsia="宋体" w:cs="宋体"/>
          <w:color w:val="auto"/>
          <w:kern w:val="0"/>
          <w:sz w:val="24"/>
          <w:szCs w:val="24"/>
          <w:highlight w:val="none"/>
        </w:rPr>
        <w:t>名称：</w:t>
      </w:r>
    </w:p>
    <w:p>
      <w:pPr>
        <w:autoSpaceDE w:val="0"/>
        <w:autoSpaceDN w:val="0"/>
        <w:adjustRightInd w:val="0"/>
        <w:spacing w:line="7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标包号：</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971"/>
        <w:gridCol w:w="2349"/>
        <w:gridCol w:w="23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368" w:type="dxa"/>
            <w:vAlign w:val="center"/>
          </w:tcPr>
          <w:p>
            <w:pPr>
              <w:autoSpaceDE w:val="0"/>
              <w:autoSpaceDN w:val="0"/>
              <w:adjustRightInd w:val="0"/>
              <w:spacing w:line="36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序号</w:t>
            </w:r>
          </w:p>
        </w:tc>
        <w:tc>
          <w:tcPr>
            <w:tcW w:w="1971" w:type="dxa"/>
            <w:vAlign w:val="center"/>
          </w:tcPr>
          <w:p>
            <w:pPr>
              <w:autoSpaceDE w:val="0"/>
              <w:autoSpaceDN w:val="0"/>
              <w:adjustRightInd w:val="0"/>
              <w:spacing w:line="36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招标文件</w:t>
            </w:r>
          </w:p>
          <w:p>
            <w:pPr>
              <w:autoSpaceDE w:val="0"/>
              <w:autoSpaceDN w:val="0"/>
              <w:adjustRightInd w:val="0"/>
              <w:spacing w:line="36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条目号</w:t>
            </w:r>
          </w:p>
        </w:tc>
        <w:tc>
          <w:tcPr>
            <w:tcW w:w="2349" w:type="dxa"/>
            <w:vAlign w:val="center"/>
          </w:tcPr>
          <w:p>
            <w:pPr>
              <w:autoSpaceDE w:val="0"/>
              <w:autoSpaceDN w:val="0"/>
              <w:adjustRightInd w:val="0"/>
              <w:spacing w:line="36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招标文件的</w:t>
            </w:r>
          </w:p>
          <w:p>
            <w:pPr>
              <w:autoSpaceDE w:val="0"/>
              <w:autoSpaceDN w:val="0"/>
              <w:adjustRightInd w:val="0"/>
              <w:spacing w:line="36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商务条款</w:t>
            </w:r>
          </w:p>
        </w:tc>
        <w:tc>
          <w:tcPr>
            <w:tcW w:w="2340" w:type="dxa"/>
            <w:vAlign w:val="center"/>
          </w:tcPr>
          <w:p>
            <w:pPr>
              <w:autoSpaceDE w:val="0"/>
              <w:autoSpaceDN w:val="0"/>
              <w:adjustRightInd w:val="0"/>
              <w:spacing w:line="36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投标文件的</w:t>
            </w:r>
          </w:p>
          <w:p>
            <w:pPr>
              <w:autoSpaceDE w:val="0"/>
              <w:autoSpaceDN w:val="0"/>
              <w:adjustRightInd w:val="0"/>
              <w:spacing w:line="36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商务条款</w:t>
            </w:r>
          </w:p>
        </w:tc>
        <w:tc>
          <w:tcPr>
            <w:tcW w:w="1620" w:type="dxa"/>
            <w:vAlign w:val="center"/>
          </w:tcPr>
          <w:p>
            <w:pPr>
              <w:autoSpaceDE w:val="0"/>
              <w:autoSpaceDN w:val="0"/>
              <w:adjustRightInd w:val="0"/>
              <w:spacing w:line="36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971"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9"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62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971"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9"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62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971"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9"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62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971"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9"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62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971"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9"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62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971"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9"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62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971"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9"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62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971"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9"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62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971"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9"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62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r>
    </w:tbl>
    <w:p>
      <w:pPr>
        <w:autoSpaceDE w:val="0"/>
        <w:autoSpaceDN w:val="0"/>
        <w:adjustRightInd w:val="0"/>
        <w:spacing w:line="70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我方承诺：除上表中的偏离外，完全响应招标文件的其他条款。</w:t>
      </w:r>
    </w:p>
    <w:p>
      <w:pPr>
        <w:autoSpaceDE w:val="0"/>
        <w:autoSpaceDN w:val="0"/>
        <w:adjustRightInd w:val="0"/>
        <w:spacing w:line="500" w:lineRule="exact"/>
        <w:jc w:val="left"/>
        <w:rPr>
          <w:rFonts w:hint="eastAsia" w:ascii="宋体" w:hAnsi="宋体" w:eastAsia="宋体" w:cs="宋体"/>
          <w:color w:val="auto"/>
          <w:kern w:val="0"/>
          <w:sz w:val="24"/>
          <w:szCs w:val="24"/>
          <w:highlight w:val="none"/>
        </w:rPr>
      </w:pPr>
    </w:p>
    <w:p>
      <w:pPr>
        <w:autoSpaceDE w:val="0"/>
        <w:autoSpaceDN w:val="0"/>
        <w:adjustRightInd w:val="0"/>
        <w:spacing w:line="500" w:lineRule="exact"/>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投标人(公章)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授权代表(签字) ：</w:t>
      </w:r>
      <w:r>
        <w:rPr>
          <w:rFonts w:hint="eastAsia" w:ascii="宋体" w:hAnsi="宋体" w:eastAsia="宋体" w:cs="宋体"/>
          <w:color w:val="auto"/>
          <w:kern w:val="0"/>
          <w:sz w:val="24"/>
          <w:szCs w:val="24"/>
          <w:highlight w:val="none"/>
          <w:u w:val="single"/>
        </w:rPr>
        <w:t xml:space="preserve">                </w:t>
      </w:r>
    </w:p>
    <w:p>
      <w:pPr>
        <w:autoSpaceDE w:val="0"/>
        <w:autoSpaceDN w:val="0"/>
        <w:adjustRightInd w:val="0"/>
        <w:spacing w:line="700" w:lineRule="exact"/>
        <w:ind w:right="630"/>
        <w:jc w:val="righ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 xml:space="preserve">日期：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pPr>
        <w:autoSpaceDE w:val="0"/>
        <w:autoSpaceDN w:val="0"/>
        <w:adjustRightInd w:val="0"/>
        <w:spacing w:line="700" w:lineRule="exact"/>
        <w:jc w:val="center"/>
        <w:rPr>
          <w:rFonts w:hint="eastAsia" w:ascii="宋体" w:hAnsi="宋体" w:eastAsia="宋体" w:cs="宋体"/>
          <w:b/>
          <w:bCs/>
          <w:color w:val="auto"/>
          <w:kern w:val="0"/>
          <w:sz w:val="44"/>
          <w:szCs w:val="44"/>
          <w:highlight w:val="none"/>
        </w:rPr>
      </w:pPr>
    </w:p>
    <w:p>
      <w:pP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br w:type="page"/>
      </w:r>
    </w:p>
    <w:p>
      <w:pPr>
        <w:spacing w:line="360" w:lineRule="auto"/>
        <w:outlineLvl w:val="2"/>
        <w:rPr>
          <w:rFonts w:hint="eastAsia" w:ascii="宋体" w:hAnsi="宋体" w:eastAsia="宋体" w:cs="宋体"/>
          <w:color w:val="auto"/>
          <w:kern w:val="0"/>
          <w:sz w:val="24"/>
          <w:highlight w:val="none"/>
        </w:rPr>
      </w:pPr>
    </w:p>
    <w:p>
      <w:pPr>
        <w:spacing w:line="360" w:lineRule="auto"/>
        <w:outlineLvl w:val="2"/>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格式八：</w:t>
      </w:r>
    </w:p>
    <w:p>
      <w:pPr>
        <w:spacing w:line="360" w:lineRule="auto"/>
        <w:jc w:val="center"/>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人员情况</w:t>
      </w:r>
    </w:p>
    <w:p>
      <w:pPr>
        <w:spacing w:line="360" w:lineRule="auto"/>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项目人员配置情况表</w:t>
      </w:r>
    </w:p>
    <w:tbl>
      <w:tblPr>
        <w:tblStyle w:val="5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842"/>
        <w:gridCol w:w="824"/>
        <w:gridCol w:w="1057"/>
        <w:gridCol w:w="1057"/>
        <w:gridCol w:w="1057"/>
        <w:gridCol w:w="1057"/>
        <w:gridCol w:w="105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restart"/>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类别</w:t>
            </w:r>
          </w:p>
        </w:tc>
        <w:tc>
          <w:tcPr>
            <w:tcW w:w="842" w:type="dxa"/>
            <w:vMerge w:val="restart"/>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职务</w:t>
            </w:r>
          </w:p>
        </w:tc>
        <w:tc>
          <w:tcPr>
            <w:tcW w:w="824" w:type="dxa"/>
            <w:vMerge w:val="restart"/>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姓名</w:t>
            </w:r>
          </w:p>
        </w:tc>
        <w:tc>
          <w:tcPr>
            <w:tcW w:w="1057" w:type="dxa"/>
            <w:vMerge w:val="restart"/>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职称</w:t>
            </w:r>
          </w:p>
        </w:tc>
        <w:tc>
          <w:tcPr>
            <w:tcW w:w="1057" w:type="dxa"/>
            <w:vMerge w:val="restar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学历</w:t>
            </w:r>
          </w:p>
        </w:tc>
        <w:tc>
          <w:tcPr>
            <w:tcW w:w="4230" w:type="dxa"/>
            <w:gridSpan w:val="4"/>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vAlign w:val="center"/>
          </w:tcPr>
          <w:p>
            <w:pPr>
              <w:jc w:val="center"/>
              <w:rPr>
                <w:rFonts w:hint="eastAsia" w:ascii="宋体" w:hAnsi="宋体" w:eastAsia="宋体" w:cs="宋体"/>
                <w:b/>
                <w:color w:val="auto"/>
                <w:sz w:val="24"/>
                <w:szCs w:val="24"/>
                <w:highlight w:val="none"/>
              </w:rPr>
            </w:pPr>
          </w:p>
        </w:tc>
        <w:tc>
          <w:tcPr>
            <w:tcW w:w="842" w:type="dxa"/>
            <w:vMerge w:val="continue"/>
            <w:vAlign w:val="center"/>
          </w:tcPr>
          <w:p>
            <w:pPr>
              <w:jc w:val="center"/>
              <w:rPr>
                <w:rFonts w:hint="eastAsia" w:ascii="宋体" w:hAnsi="宋体" w:eastAsia="宋体" w:cs="宋体"/>
                <w:b/>
                <w:color w:val="auto"/>
                <w:sz w:val="24"/>
                <w:szCs w:val="24"/>
                <w:highlight w:val="none"/>
              </w:rPr>
            </w:pPr>
          </w:p>
        </w:tc>
        <w:tc>
          <w:tcPr>
            <w:tcW w:w="824" w:type="dxa"/>
            <w:vMerge w:val="continue"/>
            <w:vAlign w:val="center"/>
          </w:tcPr>
          <w:p>
            <w:pPr>
              <w:jc w:val="center"/>
              <w:rPr>
                <w:rFonts w:hint="eastAsia" w:ascii="宋体" w:hAnsi="宋体" w:eastAsia="宋体" w:cs="宋体"/>
                <w:b/>
                <w:color w:val="auto"/>
                <w:sz w:val="24"/>
                <w:szCs w:val="24"/>
                <w:highlight w:val="none"/>
              </w:rPr>
            </w:pPr>
          </w:p>
        </w:tc>
        <w:tc>
          <w:tcPr>
            <w:tcW w:w="1057" w:type="dxa"/>
            <w:vMerge w:val="continue"/>
            <w:vAlign w:val="center"/>
          </w:tcPr>
          <w:p>
            <w:pPr>
              <w:jc w:val="center"/>
              <w:rPr>
                <w:rFonts w:hint="eastAsia" w:ascii="宋体" w:hAnsi="宋体" w:eastAsia="宋体" w:cs="宋体"/>
                <w:b/>
                <w:color w:val="auto"/>
                <w:sz w:val="24"/>
                <w:szCs w:val="24"/>
                <w:highlight w:val="none"/>
              </w:rPr>
            </w:pPr>
          </w:p>
        </w:tc>
        <w:tc>
          <w:tcPr>
            <w:tcW w:w="1057" w:type="dxa"/>
            <w:vMerge w:val="continue"/>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证书名称</w:t>
            </w:r>
          </w:p>
        </w:tc>
        <w:tc>
          <w:tcPr>
            <w:tcW w:w="1057" w:type="dxa"/>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级别</w:t>
            </w:r>
          </w:p>
        </w:tc>
        <w:tc>
          <w:tcPr>
            <w:tcW w:w="1058" w:type="dxa"/>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证号</w:t>
            </w:r>
          </w:p>
        </w:tc>
        <w:tc>
          <w:tcPr>
            <w:tcW w:w="105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项目负责人</w:t>
            </w:r>
          </w:p>
        </w:tc>
        <w:tc>
          <w:tcPr>
            <w:tcW w:w="842" w:type="dxa"/>
            <w:vAlign w:val="center"/>
          </w:tcPr>
          <w:p>
            <w:pPr>
              <w:jc w:val="center"/>
              <w:rPr>
                <w:rFonts w:hint="eastAsia" w:ascii="宋体" w:hAnsi="宋体" w:eastAsia="宋体" w:cs="宋体"/>
                <w:b/>
                <w:color w:val="auto"/>
                <w:sz w:val="24"/>
                <w:szCs w:val="24"/>
                <w:highlight w:val="none"/>
              </w:rPr>
            </w:pPr>
          </w:p>
        </w:tc>
        <w:tc>
          <w:tcPr>
            <w:tcW w:w="824"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8" w:type="dxa"/>
            <w:vAlign w:val="center"/>
          </w:tcPr>
          <w:p>
            <w:pPr>
              <w:jc w:val="center"/>
              <w:rPr>
                <w:rFonts w:hint="eastAsia" w:ascii="宋体" w:hAnsi="宋体" w:eastAsia="宋体" w:cs="宋体"/>
                <w:b/>
                <w:color w:val="auto"/>
                <w:sz w:val="24"/>
                <w:szCs w:val="24"/>
                <w:highlight w:val="none"/>
              </w:rPr>
            </w:pPr>
          </w:p>
        </w:tc>
        <w:tc>
          <w:tcPr>
            <w:tcW w:w="1058" w:type="dxa"/>
            <w:vAlign w:val="center"/>
          </w:tcPr>
          <w:p>
            <w:pPr>
              <w:jc w:val="center"/>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Align w:val="center"/>
          </w:tcPr>
          <w:p>
            <w:pPr>
              <w:jc w:val="center"/>
              <w:rPr>
                <w:rFonts w:hint="eastAsia" w:ascii="宋体" w:hAnsi="宋体" w:eastAsia="宋体" w:cs="宋体"/>
                <w:b/>
                <w:color w:val="auto"/>
                <w:sz w:val="24"/>
                <w:szCs w:val="24"/>
                <w:highlight w:val="none"/>
              </w:rPr>
            </w:pPr>
          </w:p>
        </w:tc>
        <w:tc>
          <w:tcPr>
            <w:tcW w:w="842" w:type="dxa"/>
            <w:vAlign w:val="center"/>
          </w:tcPr>
          <w:p>
            <w:pPr>
              <w:jc w:val="center"/>
              <w:rPr>
                <w:rFonts w:hint="eastAsia" w:ascii="宋体" w:hAnsi="宋体" w:eastAsia="宋体" w:cs="宋体"/>
                <w:b/>
                <w:color w:val="auto"/>
                <w:sz w:val="24"/>
                <w:szCs w:val="24"/>
                <w:highlight w:val="none"/>
              </w:rPr>
            </w:pPr>
          </w:p>
        </w:tc>
        <w:tc>
          <w:tcPr>
            <w:tcW w:w="824"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8" w:type="dxa"/>
            <w:vAlign w:val="center"/>
          </w:tcPr>
          <w:p>
            <w:pPr>
              <w:jc w:val="center"/>
              <w:rPr>
                <w:rFonts w:hint="eastAsia" w:ascii="宋体" w:hAnsi="宋体" w:eastAsia="宋体" w:cs="宋体"/>
                <w:b/>
                <w:color w:val="auto"/>
                <w:sz w:val="24"/>
                <w:szCs w:val="24"/>
                <w:highlight w:val="none"/>
              </w:rPr>
            </w:pPr>
          </w:p>
        </w:tc>
        <w:tc>
          <w:tcPr>
            <w:tcW w:w="1058" w:type="dxa"/>
            <w:vAlign w:val="center"/>
          </w:tcPr>
          <w:p>
            <w:pPr>
              <w:jc w:val="center"/>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tc>
        <w:tc>
          <w:tcPr>
            <w:tcW w:w="842" w:type="dxa"/>
            <w:vAlign w:val="center"/>
          </w:tcPr>
          <w:p>
            <w:pPr>
              <w:jc w:val="center"/>
              <w:rPr>
                <w:rFonts w:hint="eastAsia" w:ascii="宋体" w:hAnsi="宋体" w:eastAsia="宋体" w:cs="宋体"/>
                <w:b/>
                <w:color w:val="auto"/>
                <w:sz w:val="24"/>
                <w:szCs w:val="24"/>
                <w:highlight w:val="none"/>
              </w:rPr>
            </w:pPr>
          </w:p>
        </w:tc>
        <w:tc>
          <w:tcPr>
            <w:tcW w:w="824"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8" w:type="dxa"/>
            <w:vAlign w:val="center"/>
          </w:tcPr>
          <w:p>
            <w:pPr>
              <w:jc w:val="center"/>
              <w:rPr>
                <w:rFonts w:hint="eastAsia" w:ascii="宋体" w:hAnsi="宋体" w:eastAsia="宋体" w:cs="宋体"/>
                <w:b/>
                <w:color w:val="auto"/>
                <w:sz w:val="24"/>
                <w:szCs w:val="24"/>
                <w:highlight w:val="none"/>
              </w:rPr>
            </w:pPr>
          </w:p>
        </w:tc>
        <w:tc>
          <w:tcPr>
            <w:tcW w:w="1058" w:type="dxa"/>
            <w:vAlign w:val="center"/>
          </w:tcPr>
          <w:p>
            <w:pPr>
              <w:jc w:val="center"/>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tc>
        <w:tc>
          <w:tcPr>
            <w:tcW w:w="842" w:type="dxa"/>
            <w:vAlign w:val="center"/>
          </w:tcPr>
          <w:p>
            <w:pPr>
              <w:jc w:val="center"/>
              <w:rPr>
                <w:rFonts w:hint="eastAsia" w:ascii="宋体" w:hAnsi="宋体" w:eastAsia="宋体" w:cs="宋体"/>
                <w:b/>
                <w:color w:val="auto"/>
                <w:sz w:val="24"/>
                <w:szCs w:val="24"/>
                <w:highlight w:val="none"/>
              </w:rPr>
            </w:pPr>
          </w:p>
        </w:tc>
        <w:tc>
          <w:tcPr>
            <w:tcW w:w="824"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8" w:type="dxa"/>
            <w:vAlign w:val="center"/>
          </w:tcPr>
          <w:p>
            <w:pPr>
              <w:jc w:val="center"/>
              <w:rPr>
                <w:rFonts w:hint="eastAsia" w:ascii="宋体" w:hAnsi="宋体" w:eastAsia="宋体" w:cs="宋体"/>
                <w:b/>
                <w:color w:val="auto"/>
                <w:sz w:val="24"/>
                <w:szCs w:val="24"/>
                <w:highlight w:val="none"/>
              </w:rPr>
            </w:pPr>
          </w:p>
        </w:tc>
        <w:tc>
          <w:tcPr>
            <w:tcW w:w="1058" w:type="dxa"/>
            <w:vAlign w:val="center"/>
          </w:tcPr>
          <w:p>
            <w:pPr>
              <w:jc w:val="center"/>
              <w:rPr>
                <w:rFonts w:hint="eastAsia" w:ascii="宋体" w:hAnsi="宋体" w:eastAsia="宋体" w:cs="宋体"/>
                <w:b/>
                <w:color w:val="auto"/>
                <w:sz w:val="24"/>
                <w:szCs w:val="24"/>
                <w:highlight w:val="none"/>
              </w:rPr>
            </w:pPr>
          </w:p>
        </w:tc>
      </w:tr>
    </w:tbl>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注：以上表格格式行、列可增减。</w:t>
      </w:r>
    </w:p>
    <w:p>
      <w:pPr>
        <w:rPr>
          <w:rFonts w:hint="eastAsia" w:ascii="宋体" w:hAnsi="宋体" w:eastAsia="宋体" w:cs="宋体"/>
          <w:color w:val="auto"/>
          <w:sz w:val="24"/>
          <w:szCs w:val="24"/>
          <w:highlight w:val="none"/>
        </w:rPr>
      </w:pPr>
    </w:p>
    <w:p>
      <w:pPr>
        <w:spacing w:before="100" w:beforeAutospacing="1" w:after="100" w:afterAutospacing="1"/>
        <w:ind w:left="256" w:right="6" w:firstLine="624"/>
        <w:rPr>
          <w:rFonts w:hint="eastAsia" w:ascii="宋体" w:hAnsi="宋体" w:eastAsia="宋体" w:cs="宋体"/>
          <w:color w:val="auto"/>
          <w:sz w:val="24"/>
          <w:szCs w:val="24"/>
          <w:highlight w:val="none"/>
        </w:r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供应商名称（盖章）：</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供应商代表签字：</w:t>
      </w:r>
    </w:p>
    <w:p>
      <w:pPr>
        <w:spacing w:line="360" w:lineRule="auto"/>
        <w:rPr>
          <w:rFonts w:hint="eastAsia" w:ascii="宋体" w:hAnsi="宋体" w:eastAsia="宋体" w:cs="宋体"/>
          <w:color w:val="auto"/>
          <w:kern w:val="0"/>
          <w:szCs w:val="21"/>
          <w:highlight w:val="none"/>
        </w:rPr>
      </w:pPr>
      <w:r>
        <w:rPr>
          <w:rFonts w:hint="eastAsia" w:ascii="宋体" w:hAnsi="宋体" w:eastAsia="宋体" w:cs="宋体"/>
          <w:b/>
          <w:bCs/>
          <w:color w:val="auto"/>
          <w:sz w:val="24"/>
          <w:szCs w:val="24"/>
          <w:highlight w:val="none"/>
        </w:rPr>
        <w:t>日期：     年   月   日</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48"/>
        <w:rPr>
          <w:rFonts w:hint="eastAsia"/>
          <w:highlight w:val="none"/>
        </w:rPr>
        <w:sectPr>
          <w:footerReference r:id="rId4" w:type="default"/>
          <w:footerReference r:id="rId5" w:type="even"/>
          <w:pgSz w:w="11906" w:h="16838"/>
          <w:pgMar w:top="1191" w:right="992" w:bottom="1191" w:left="1134" w:header="851" w:footer="992" w:gutter="0"/>
          <w:cols w:space="0" w:num="1"/>
          <w:rtlGutter w:val="0"/>
          <w:docGrid w:linePitch="312" w:charSpace="0"/>
        </w:sectPr>
      </w:pP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格式</w:t>
      </w:r>
      <w:r>
        <w:rPr>
          <w:rFonts w:hint="eastAsia" w:ascii="宋体" w:hAnsi="宋体" w:cs="宋体"/>
          <w:color w:val="auto"/>
          <w:sz w:val="24"/>
          <w:highlight w:val="none"/>
          <w:lang w:val="en-US" w:eastAsia="zh-CN"/>
        </w:rPr>
        <w:t>九</w:t>
      </w:r>
      <w:r>
        <w:rPr>
          <w:rFonts w:hint="eastAsia" w:ascii="宋体" w:hAnsi="宋体" w:eastAsia="宋体" w:cs="宋体"/>
          <w:color w:val="auto"/>
          <w:sz w:val="24"/>
          <w:highlight w:val="none"/>
        </w:rPr>
        <w:t>：</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pPr>
        <w:snapToGrid w:val="0"/>
        <w:spacing w:before="50" w:after="50" w:line="480" w:lineRule="exact"/>
        <w:ind w:firstLine="420" w:firstLineChars="200"/>
        <w:rPr>
          <w:rFonts w:hint="default" w:ascii="宋体" w:hAnsi="宋体" w:eastAsia="宋体" w:cs="宋体"/>
          <w:b/>
          <w:bCs/>
          <w:color w:val="auto"/>
          <w:szCs w:val="21"/>
          <w:highlight w:val="none"/>
          <w:u w:val="none"/>
          <w:lang w:val="en-US"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江苏大中农场集团有限公司75履带挖掘机、翻转四铧犁、深松联合整地机采购项目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p>
    <w:p>
      <w:pPr>
        <w:snapToGrid w:val="0"/>
        <w:spacing w:before="50" w:after="5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单位：元</w:t>
      </w:r>
    </w:p>
    <w:tbl>
      <w:tblPr>
        <w:tblStyle w:val="50"/>
        <w:tblW w:w="14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5242"/>
        <w:gridCol w:w="85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2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jc w:val="center"/>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标段</w:t>
            </w:r>
            <w:r>
              <w:rPr>
                <w:rFonts w:hint="eastAsia" w:ascii="宋体" w:hAnsi="宋体" w:eastAsia="宋体" w:cs="宋体"/>
                <w:b/>
                <w:color w:val="auto"/>
                <w:szCs w:val="21"/>
                <w:highlight w:val="none"/>
              </w:rPr>
              <w:t>名称</w:t>
            </w:r>
          </w:p>
        </w:tc>
        <w:tc>
          <w:tcPr>
            <w:tcW w:w="852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720" w:type="dxa"/>
            <w:vMerge w:val="restart"/>
            <w:tcBorders>
              <w:top w:val="single" w:color="auto" w:sz="4" w:space="0"/>
              <w:left w:val="single" w:color="auto" w:sz="4" w:space="0"/>
              <w:right w:val="single" w:color="auto" w:sz="4" w:space="0"/>
            </w:tcBorders>
            <w:vAlign w:val="center"/>
          </w:tcPr>
          <w:p>
            <w:pPr>
              <w:snapToGrid w:val="0"/>
              <w:spacing w:before="50" w:after="50"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242" w:type="dxa"/>
            <w:vMerge w:val="restart"/>
            <w:tcBorders>
              <w:top w:val="single" w:color="auto" w:sz="4" w:space="0"/>
              <w:left w:val="single" w:color="auto" w:sz="4" w:space="0"/>
              <w:right w:val="single" w:color="auto" w:sz="4" w:space="0"/>
            </w:tcBorders>
            <w:vAlign w:val="center"/>
          </w:tcPr>
          <w:p>
            <w:pPr>
              <w:widowControl/>
              <w:spacing w:line="480" w:lineRule="exact"/>
              <w:jc w:val="center"/>
              <w:rPr>
                <w:rFonts w:hint="eastAsia" w:ascii="宋体" w:hAnsi="宋体" w:eastAsia="宋体" w:cs="宋体"/>
                <w:color w:val="auto"/>
                <w:kern w:val="0"/>
                <w:szCs w:val="21"/>
                <w:highlight w:val="none"/>
                <w:lang w:eastAsia="zh-CN"/>
              </w:rPr>
            </w:pPr>
          </w:p>
        </w:tc>
        <w:tc>
          <w:tcPr>
            <w:tcW w:w="852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ind w:right="-861" w:rightChars="-41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20" w:type="dxa"/>
            <w:vMerge w:val="continue"/>
            <w:tcBorders>
              <w:left w:val="single" w:color="auto" w:sz="4" w:space="0"/>
              <w:bottom w:val="single" w:color="auto" w:sz="4" w:space="0"/>
              <w:right w:val="single" w:color="auto" w:sz="4" w:space="0"/>
            </w:tcBorders>
            <w:vAlign w:val="center"/>
          </w:tcPr>
          <w:p>
            <w:pPr>
              <w:snapToGrid w:val="0"/>
              <w:spacing w:before="50" w:after="50" w:line="480" w:lineRule="exact"/>
              <w:jc w:val="center"/>
              <w:rPr>
                <w:rFonts w:hint="eastAsia" w:ascii="宋体" w:hAnsi="宋体" w:eastAsia="宋体" w:cs="宋体"/>
                <w:color w:val="auto"/>
                <w:szCs w:val="21"/>
                <w:highlight w:val="none"/>
              </w:rPr>
            </w:pPr>
          </w:p>
        </w:tc>
        <w:tc>
          <w:tcPr>
            <w:tcW w:w="5242" w:type="dxa"/>
            <w:vMerge w:val="continue"/>
            <w:tcBorders>
              <w:left w:val="single" w:color="auto" w:sz="4" w:space="0"/>
              <w:bottom w:val="single" w:color="auto" w:sz="4" w:space="0"/>
              <w:right w:val="single" w:color="auto" w:sz="4" w:space="0"/>
            </w:tcBorders>
            <w:vAlign w:val="center"/>
          </w:tcPr>
          <w:p>
            <w:pPr>
              <w:widowControl/>
              <w:spacing w:line="480" w:lineRule="exact"/>
              <w:jc w:val="center"/>
              <w:rPr>
                <w:rFonts w:hint="eastAsia" w:ascii="宋体" w:hAnsi="宋体" w:eastAsia="宋体" w:cs="宋体"/>
                <w:color w:val="auto"/>
                <w:szCs w:val="21"/>
                <w:highlight w:val="none"/>
              </w:rPr>
            </w:pPr>
          </w:p>
        </w:tc>
        <w:tc>
          <w:tcPr>
            <w:tcW w:w="852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ind w:right="-861" w:rightChars="-41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96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jc w:val="center"/>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供货期</w:t>
            </w:r>
          </w:p>
        </w:tc>
        <w:tc>
          <w:tcPr>
            <w:tcW w:w="852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single"/>
                <w:shd w:val="clear" w:color="auto" w:fill="FFFFFF"/>
                <w:lang w:val="en-US" w:eastAsia="zh-CN"/>
              </w:rPr>
              <w:t xml:space="preserve">      </w:t>
            </w:r>
            <w:r>
              <w:rPr>
                <w:rFonts w:hint="eastAsia" w:ascii="宋体" w:hAnsi="宋体" w:eastAsia="宋体" w:cs="宋体"/>
                <w:color w:val="auto"/>
                <w:szCs w:val="21"/>
                <w:highlight w:val="none"/>
                <w:shd w:val="clear" w:color="auto" w:fill="FFFFFF"/>
                <w:lang w:val="en-US" w:eastAsia="zh-CN"/>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96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jc w:val="center"/>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质保期</w:t>
            </w:r>
          </w:p>
        </w:tc>
        <w:tc>
          <w:tcPr>
            <w:tcW w:w="852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lang w:val="en-US" w:eastAsia="zh-CN"/>
              </w:rPr>
              <w:t>整机验收合格（验收报告签署之日起），整机质保期</w:t>
            </w:r>
            <w:r>
              <w:rPr>
                <w:rFonts w:hint="eastAsia" w:ascii="宋体" w:hAnsi="宋体" w:cs="宋体"/>
                <w:color w:val="auto"/>
                <w:szCs w:val="21"/>
                <w:highlight w:val="none"/>
                <w:u w:val="single"/>
                <w:shd w:val="clear" w:color="auto" w:fill="FFFFFF"/>
                <w:lang w:val="en-US" w:eastAsia="zh-CN"/>
              </w:rPr>
              <w:t xml:space="preserve">      </w:t>
            </w:r>
            <w:r>
              <w:rPr>
                <w:rFonts w:hint="eastAsia" w:ascii="宋体" w:hAnsi="宋体" w:eastAsia="宋体" w:cs="宋体"/>
                <w:color w:val="auto"/>
                <w:szCs w:val="21"/>
                <w:highlight w:val="none"/>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96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项目负责人</w:t>
            </w:r>
          </w:p>
        </w:tc>
        <w:tc>
          <w:tcPr>
            <w:tcW w:w="852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jc w:val="center"/>
              <w:rPr>
                <w:rFonts w:hint="eastAsia" w:ascii="宋体" w:hAnsi="宋体" w:eastAsia="宋体" w:cs="宋体"/>
                <w:color w:val="auto"/>
                <w:szCs w:val="21"/>
                <w:highlight w:val="none"/>
              </w:rPr>
            </w:pPr>
          </w:p>
        </w:tc>
      </w:tr>
    </w:tbl>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 1、报价一经涂改，应在涂改处加盖单位公章或者由法定代表人或授权委托人签字或盖章，否则其投标作无效标处理。</w:t>
      </w:r>
    </w:p>
    <w:p>
      <w:pPr>
        <w:snapToGrid w:val="0"/>
        <w:spacing w:line="400" w:lineRule="exact"/>
        <w:ind w:left="479" w:leftChars="228" w:firstLine="315" w:firstLine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2、投标费用包括本项目招标文件规定的一切费用。</w:t>
      </w:r>
    </w:p>
    <w:p>
      <w:pPr>
        <w:snapToGrid w:val="0"/>
        <w:spacing w:line="400" w:lineRule="exact"/>
        <w:ind w:left="479" w:leftChars="228" w:firstLine="315" w:firstLine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3、以上报价应与投标报价明细表中的汇总价格相一致。</w:t>
      </w:r>
    </w:p>
    <w:p>
      <w:pPr>
        <w:snapToGrid w:val="0"/>
        <w:spacing w:line="400" w:lineRule="exact"/>
        <w:ind w:left="479" w:leftChars="228" w:firstLine="315" w:firstLine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u w:val="single"/>
        </w:rPr>
        <w:t>此表请单独信封放入投标文件袋，信封封面请注明招标编号、项目名称、投标人名称及“开标一览表”字样。</w:t>
      </w:r>
    </w:p>
    <w:p>
      <w:pPr>
        <w:snapToGrid w:val="0"/>
        <w:spacing w:line="400" w:lineRule="exact"/>
        <w:ind w:left="-2" w:leftChars="-1" w:right="-817" w:rightChars="-389" w:firstLine="420" w:firstLineChars="200"/>
        <w:rPr>
          <w:rFonts w:hint="eastAsia" w:ascii="宋体" w:hAnsi="宋体" w:eastAsia="宋体" w:cs="宋体"/>
          <w:color w:val="auto"/>
          <w:szCs w:val="21"/>
          <w:highlight w:val="none"/>
        </w:rPr>
      </w:pPr>
    </w:p>
    <w:p>
      <w:pPr>
        <w:snapToGrid w:val="0"/>
        <w:spacing w:line="400" w:lineRule="exact"/>
        <w:ind w:left="-2" w:leftChars="-1" w:right="-817" w:rightChars="-389"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投标人名称（盖章）：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400" w:lineRule="exact"/>
        <w:ind w:left="-2" w:leftChars="-1" w:right="-817" w:rightChars="-389"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法定代表人（签字或盖章）：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400" w:lineRule="exact"/>
        <w:ind w:left="-2" w:leftChars="-1" w:right="-817" w:rightChars="-389"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授权委托代理人（签字或盖章）：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（如有授权）                             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before="50" w:after="50" w:line="400" w:lineRule="exact"/>
        <w:ind w:left="-21" w:leftChars="-10" w:right="-817" w:rightChars="-389" w:firstLine="310" w:firstLineChars="147"/>
        <w:rPr>
          <w:rFonts w:hint="eastAsia" w:ascii="宋体" w:hAnsi="宋体" w:eastAsia="宋体" w:cs="宋体"/>
          <w:b/>
          <w:bCs/>
          <w:color w:val="auto"/>
          <w:sz w:val="24"/>
          <w:highlight w:val="none"/>
        </w:rPr>
      </w:pPr>
      <w:r>
        <w:rPr>
          <w:rFonts w:hint="eastAsia" w:ascii="宋体" w:hAnsi="宋体" w:eastAsia="宋体" w:cs="宋体"/>
          <w:b/>
          <w:color w:val="auto"/>
          <w:szCs w:val="21"/>
          <w:highlight w:val="none"/>
        </w:rPr>
        <w:t>需附：法定代表人身份证明书或授权委托代理人身份证复印件及授权委托书原件。</w:t>
      </w:r>
    </w:p>
    <w:sectPr>
      <w:footerReference r:id="rId6" w:type="default"/>
      <w:footerReference r:id="rId7" w:type="even"/>
      <w:pgSz w:w="16838" w:h="11906" w:orient="landscape"/>
      <w:pgMar w:top="1134" w:right="1191" w:bottom="992" w:left="1191"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Impact">
    <w:panose1 w:val="020B080603090205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4"/>
      </w:rPr>
    </w:pPr>
    <w:r>
      <w:fldChar w:fldCharType="begin"/>
    </w:r>
    <w:r>
      <w:rPr>
        <w:rStyle w:val="54"/>
      </w:rPr>
      <w:instrText xml:space="preserve">PAGE  </w:instrText>
    </w:r>
    <w:r>
      <w:fldChar w:fldCharType="separate"/>
    </w:r>
    <w:r>
      <w:rPr>
        <w:rStyle w:val="54"/>
      </w:rPr>
      <w:t>19</w:t>
    </w:r>
    <w:r>
      <w:fldChar w:fldCharType="end"/>
    </w:r>
  </w:p>
  <w:p>
    <w:pPr>
      <w:pStyle w:val="30"/>
      <w:jc w:val="center"/>
    </w:pP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43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4"/>
      </w:rPr>
    </w:pPr>
    <w:r>
      <w:fldChar w:fldCharType="begin"/>
    </w:r>
    <w:r>
      <w:rPr>
        <w:rStyle w:val="54"/>
      </w:rPr>
      <w:instrText xml:space="preserve">PAGE  </w:instrText>
    </w:r>
    <w:r>
      <w:fldChar w:fldCharType="end"/>
    </w:r>
  </w:p>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w:t>
    </w:r>
    <w:r>
      <w:t xml:space="preserve"> 44 -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4"/>
      </w:rPr>
    </w:pPr>
    <w:r>
      <w:fldChar w:fldCharType="begin"/>
    </w:r>
    <w:r>
      <w:rPr>
        <w:rStyle w:val="54"/>
      </w:rPr>
      <w:instrText xml:space="preserve">PAGE  </w:instrText>
    </w:r>
    <w:r>
      <w:fldChar w:fldCharType="end"/>
    </w:r>
  </w:p>
  <w:p>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0BC3"/>
    <w:multiLevelType w:val="multilevel"/>
    <w:tmpl w:val="09930BC3"/>
    <w:lvl w:ilvl="0" w:tentative="0">
      <w:start w:val="1"/>
      <w:numFmt w:val="decimal"/>
      <w:pStyle w:val="12"/>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9A01F3"/>
    <w:multiLevelType w:val="singleLevel"/>
    <w:tmpl w:val="559A01F3"/>
    <w:lvl w:ilvl="0" w:tentative="0">
      <w:start w:val="8"/>
      <w:numFmt w:val="decimal"/>
      <w:pStyle w:val="20"/>
      <w:suff w:val="nothing"/>
      <w:lvlText w:val="%1、"/>
      <w:lvlJc w:val="left"/>
    </w:lvl>
  </w:abstractNum>
  <w:abstractNum w:abstractNumId="2">
    <w:nsid w:val="57D89C6F"/>
    <w:multiLevelType w:val="singleLevel"/>
    <w:tmpl w:val="57D89C6F"/>
    <w:lvl w:ilvl="0" w:tentative="0">
      <w:start w:val="1"/>
      <w:numFmt w:val="chineseCounting"/>
      <w:suff w:val="space"/>
      <w:lvlText w:val="第%1章"/>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NDlhOTY0NGU2MzFhNGI1MjNlMjI4NmRmZWY1NmQifQ=="/>
  </w:docVars>
  <w:rsids>
    <w:rsidRoot w:val="00172A27"/>
    <w:rsid w:val="00000A37"/>
    <w:rsid w:val="00001C06"/>
    <w:rsid w:val="000022B1"/>
    <w:rsid w:val="0000378D"/>
    <w:rsid w:val="00005BA9"/>
    <w:rsid w:val="00006032"/>
    <w:rsid w:val="0001066C"/>
    <w:rsid w:val="0001155B"/>
    <w:rsid w:val="00014935"/>
    <w:rsid w:val="000158F3"/>
    <w:rsid w:val="00017113"/>
    <w:rsid w:val="00017769"/>
    <w:rsid w:val="00017CFF"/>
    <w:rsid w:val="000202AD"/>
    <w:rsid w:val="000218AB"/>
    <w:rsid w:val="0002282C"/>
    <w:rsid w:val="000228CD"/>
    <w:rsid w:val="00022A17"/>
    <w:rsid w:val="00022DF9"/>
    <w:rsid w:val="00023C84"/>
    <w:rsid w:val="00025071"/>
    <w:rsid w:val="000273B0"/>
    <w:rsid w:val="00030412"/>
    <w:rsid w:val="000311FC"/>
    <w:rsid w:val="00033187"/>
    <w:rsid w:val="0003369F"/>
    <w:rsid w:val="000346FF"/>
    <w:rsid w:val="0003545D"/>
    <w:rsid w:val="00035661"/>
    <w:rsid w:val="00035F52"/>
    <w:rsid w:val="0003648F"/>
    <w:rsid w:val="0004002C"/>
    <w:rsid w:val="00040233"/>
    <w:rsid w:val="000416FA"/>
    <w:rsid w:val="00043CDE"/>
    <w:rsid w:val="00043D9F"/>
    <w:rsid w:val="00043ECC"/>
    <w:rsid w:val="000458B7"/>
    <w:rsid w:val="00045EF0"/>
    <w:rsid w:val="0004702F"/>
    <w:rsid w:val="00047CAE"/>
    <w:rsid w:val="000503CB"/>
    <w:rsid w:val="000503D1"/>
    <w:rsid w:val="00051131"/>
    <w:rsid w:val="0005448E"/>
    <w:rsid w:val="00056058"/>
    <w:rsid w:val="00056EF6"/>
    <w:rsid w:val="00056F80"/>
    <w:rsid w:val="000570B8"/>
    <w:rsid w:val="000576F4"/>
    <w:rsid w:val="00057B7A"/>
    <w:rsid w:val="000615AB"/>
    <w:rsid w:val="00062780"/>
    <w:rsid w:val="00063D07"/>
    <w:rsid w:val="0006572D"/>
    <w:rsid w:val="00065FDE"/>
    <w:rsid w:val="00067F2F"/>
    <w:rsid w:val="0007232A"/>
    <w:rsid w:val="00073BE5"/>
    <w:rsid w:val="000760D0"/>
    <w:rsid w:val="00077729"/>
    <w:rsid w:val="000803A0"/>
    <w:rsid w:val="000807A5"/>
    <w:rsid w:val="000807DB"/>
    <w:rsid w:val="0008099E"/>
    <w:rsid w:val="00080D52"/>
    <w:rsid w:val="000815E4"/>
    <w:rsid w:val="00081B9D"/>
    <w:rsid w:val="00083E59"/>
    <w:rsid w:val="0008456E"/>
    <w:rsid w:val="000865A4"/>
    <w:rsid w:val="00086791"/>
    <w:rsid w:val="00087283"/>
    <w:rsid w:val="00087836"/>
    <w:rsid w:val="00091771"/>
    <w:rsid w:val="00092A74"/>
    <w:rsid w:val="00096072"/>
    <w:rsid w:val="00096123"/>
    <w:rsid w:val="0009620F"/>
    <w:rsid w:val="00097D74"/>
    <w:rsid w:val="000A07EC"/>
    <w:rsid w:val="000A234C"/>
    <w:rsid w:val="000A4392"/>
    <w:rsid w:val="000A5E53"/>
    <w:rsid w:val="000A6111"/>
    <w:rsid w:val="000A6AD1"/>
    <w:rsid w:val="000B06C0"/>
    <w:rsid w:val="000B2EC3"/>
    <w:rsid w:val="000B4E8A"/>
    <w:rsid w:val="000B5A95"/>
    <w:rsid w:val="000B77EA"/>
    <w:rsid w:val="000C011E"/>
    <w:rsid w:val="000C0672"/>
    <w:rsid w:val="000C0D04"/>
    <w:rsid w:val="000C2861"/>
    <w:rsid w:val="000C4904"/>
    <w:rsid w:val="000C5A51"/>
    <w:rsid w:val="000D14F7"/>
    <w:rsid w:val="000D1538"/>
    <w:rsid w:val="000D54D9"/>
    <w:rsid w:val="000D73FC"/>
    <w:rsid w:val="000D7A22"/>
    <w:rsid w:val="000E10C5"/>
    <w:rsid w:val="000E1D67"/>
    <w:rsid w:val="000E3366"/>
    <w:rsid w:val="000E4830"/>
    <w:rsid w:val="000E762B"/>
    <w:rsid w:val="000E7DD8"/>
    <w:rsid w:val="000F3A20"/>
    <w:rsid w:val="000F4CA5"/>
    <w:rsid w:val="000F54D6"/>
    <w:rsid w:val="000F5553"/>
    <w:rsid w:val="000F77F5"/>
    <w:rsid w:val="00102062"/>
    <w:rsid w:val="00102BC2"/>
    <w:rsid w:val="0010386B"/>
    <w:rsid w:val="00103897"/>
    <w:rsid w:val="00103D8C"/>
    <w:rsid w:val="00104531"/>
    <w:rsid w:val="00104C03"/>
    <w:rsid w:val="0010557E"/>
    <w:rsid w:val="00107AEF"/>
    <w:rsid w:val="00110301"/>
    <w:rsid w:val="001109F3"/>
    <w:rsid w:val="00111371"/>
    <w:rsid w:val="00112333"/>
    <w:rsid w:val="00113D58"/>
    <w:rsid w:val="001156D2"/>
    <w:rsid w:val="00115782"/>
    <w:rsid w:val="001167C7"/>
    <w:rsid w:val="00116901"/>
    <w:rsid w:val="00116B3B"/>
    <w:rsid w:val="00116C40"/>
    <w:rsid w:val="001221E9"/>
    <w:rsid w:val="00122754"/>
    <w:rsid w:val="001236DB"/>
    <w:rsid w:val="00123E8D"/>
    <w:rsid w:val="001262EB"/>
    <w:rsid w:val="0012726A"/>
    <w:rsid w:val="00127B58"/>
    <w:rsid w:val="00127C83"/>
    <w:rsid w:val="001318BD"/>
    <w:rsid w:val="00132048"/>
    <w:rsid w:val="00135633"/>
    <w:rsid w:val="00135DF3"/>
    <w:rsid w:val="001363C3"/>
    <w:rsid w:val="001409B6"/>
    <w:rsid w:val="001426C3"/>
    <w:rsid w:val="001431CA"/>
    <w:rsid w:val="00143729"/>
    <w:rsid w:val="001458D7"/>
    <w:rsid w:val="00145DFE"/>
    <w:rsid w:val="00147C37"/>
    <w:rsid w:val="00147E0F"/>
    <w:rsid w:val="00150B8E"/>
    <w:rsid w:val="00150FE9"/>
    <w:rsid w:val="00150FF0"/>
    <w:rsid w:val="001542E4"/>
    <w:rsid w:val="001545AB"/>
    <w:rsid w:val="00155709"/>
    <w:rsid w:val="0015747B"/>
    <w:rsid w:val="001600EE"/>
    <w:rsid w:val="001605F3"/>
    <w:rsid w:val="00162668"/>
    <w:rsid w:val="0016285B"/>
    <w:rsid w:val="00164960"/>
    <w:rsid w:val="00164AC7"/>
    <w:rsid w:val="001670EC"/>
    <w:rsid w:val="00167988"/>
    <w:rsid w:val="00167D24"/>
    <w:rsid w:val="0017024E"/>
    <w:rsid w:val="001706BB"/>
    <w:rsid w:val="0017144B"/>
    <w:rsid w:val="001718FF"/>
    <w:rsid w:val="00171B0F"/>
    <w:rsid w:val="00171CF2"/>
    <w:rsid w:val="00172A27"/>
    <w:rsid w:val="00173843"/>
    <w:rsid w:val="001751F9"/>
    <w:rsid w:val="00175994"/>
    <w:rsid w:val="00177A2E"/>
    <w:rsid w:val="0018124B"/>
    <w:rsid w:val="001813D5"/>
    <w:rsid w:val="0018419B"/>
    <w:rsid w:val="00184892"/>
    <w:rsid w:val="00185314"/>
    <w:rsid w:val="00185CF1"/>
    <w:rsid w:val="00190479"/>
    <w:rsid w:val="00190D24"/>
    <w:rsid w:val="00191CDA"/>
    <w:rsid w:val="00192CE2"/>
    <w:rsid w:val="00193CA0"/>
    <w:rsid w:val="00195F15"/>
    <w:rsid w:val="00197E6C"/>
    <w:rsid w:val="001A0194"/>
    <w:rsid w:val="001A0506"/>
    <w:rsid w:val="001A052D"/>
    <w:rsid w:val="001A5AB8"/>
    <w:rsid w:val="001A6236"/>
    <w:rsid w:val="001A655B"/>
    <w:rsid w:val="001B018B"/>
    <w:rsid w:val="001B0FD9"/>
    <w:rsid w:val="001B15E3"/>
    <w:rsid w:val="001B1F4D"/>
    <w:rsid w:val="001B2544"/>
    <w:rsid w:val="001B2E8A"/>
    <w:rsid w:val="001B3CF1"/>
    <w:rsid w:val="001B42C2"/>
    <w:rsid w:val="001B453D"/>
    <w:rsid w:val="001B632F"/>
    <w:rsid w:val="001B64B2"/>
    <w:rsid w:val="001B7301"/>
    <w:rsid w:val="001C27C8"/>
    <w:rsid w:val="001C3A74"/>
    <w:rsid w:val="001C4306"/>
    <w:rsid w:val="001C43E3"/>
    <w:rsid w:val="001C5A3C"/>
    <w:rsid w:val="001C7E13"/>
    <w:rsid w:val="001D2121"/>
    <w:rsid w:val="001D21A4"/>
    <w:rsid w:val="001D3BB5"/>
    <w:rsid w:val="001D3D9A"/>
    <w:rsid w:val="001D5403"/>
    <w:rsid w:val="001D5AE1"/>
    <w:rsid w:val="001E0855"/>
    <w:rsid w:val="001E0D6D"/>
    <w:rsid w:val="001E2497"/>
    <w:rsid w:val="001E25B6"/>
    <w:rsid w:val="001E25FF"/>
    <w:rsid w:val="001E2C55"/>
    <w:rsid w:val="001E3637"/>
    <w:rsid w:val="001E39C7"/>
    <w:rsid w:val="001E4CC4"/>
    <w:rsid w:val="001E4EC7"/>
    <w:rsid w:val="001E5AD3"/>
    <w:rsid w:val="001E5D34"/>
    <w:rsid w:val="001E61EE"/>
    <w:rsid w:val="001E66C7"/>
    <w:rsid w:val="001F0421"/>
    <w:rsid w:val="001F31FA"/>
    <w:rsid w:val="001F3781"/>
    <w:rsid w:val="001F43D7"/>
    <w:rsid w:val="001F4579"/>
    <w:rsid w:val="001F56D0"/>
    <w:rsid w:val="00200A40"/>
    <w:rsid w:val="00200E30"/>
    <w:rsid w:val="00201108"/>
    <w:rsid w:val="00201933"/>
    <w:rsid w:val="00201FCB"/>
    <w:rsid w:val="00203EA2"/>
    <w:rsid w:val="0020530D"/>
    <w:rsid w:val="00205846"/>
    <w:rsid w:val="002064A8"/>
    <w:rsid w:val="00211E26"/>
    <w:rsid w:val="00212D9E"/>
    <w:rsid w:val="00213311"/>
    <w:rsid w:val="00213FD4"/>
    <w:rsid w:val="00215349"/>
    <w:rsid w:val="0021667C"/>
    <w:rsid w:val="00217205"/>
    <w:rsid w:val="0022074B"/>
    <w:rsid w:val="0022127A"/>
    <w:rsid w:val="00222646"/>
    <w:rsid w:val="002226B6"/>
    <w:rsid w:val="0022367D"/>
    <w:rsid w:val="002246DE"/>
    <w:rsid w:val="00225EAF"/>
    <w:rsid w:val="00226D4B"/>
    <w:rsid w:val="00226D73"/>
    <w:rsid w:val="002274BD"/>
    <w:rsid w:val="00227516"/>
    <w:rsid w:val="0023025D"/>
    <w:rsid w:val="0023053C"/>
    <w:rsid w:val="00230E43"/>
    <w:rsid w:val="00233C45"/>
    <w:rsid w:val="00234FFD"/>
    <w:rsid w:val="002374D6"/>
    <w:rsid w:val="0024129A"/>
    <w:rsid w:val="00242614"/>
    <w:rsid w:val="00243856"/>
    <w:rsid w:val="0024430F"/>
    <w:rsid w:val="0024443D"/>
    <w:rsid w:val="002453FA"/>
    <w:rsid w:val="00245E2A"/>
    <w:rsid w:val="0024632E"/>
    <w:rsid w:val="002463E6"/>
    <w:rsid w:val="002467C8"/>
    <w:rsid w:val="0025007D"/>
    <w:rsid w:val="00251E62"/>
    <w:rsid w:val="002520FB"/>
    <w:rsid w:val="00253581"/>
    <w:rsid w:val="00256B68"/>
    <w:rsid w:val="00257E3E"/>
    <w:rsid w:val="0026166A"/>
    <w:rsid w:val="002624CE"/>
    <w:rsid w:val="002625ED"/>
    <w:rsid w:val="002638C2"/>
    <w:rsid w:val="00264361"/>
    <w:rsid w:val="0026537A"/>
    <w:rsid w:val="0026712C"/>
    <w:rsid w:val="00267AF4"/>
    <w:rsid w:val="00267F46"/>
    <w:rsid w:val="00270E4B"/>
    <w:rsid w:val="00274364"/>
    <w:rsid w:val="00274AE8"/>
    <w:rsid w:val="002751FB"/>
    <w:rsid w:val="00275C8F"/>
    <w:rsid w:val="00276D49"/>
    <w:rsid w:val="00276D72"/>
    <w:rsid w:val="002778E3"/>
    <w:rsid w:val="00281232"/>
    <w:rsid w:val="002819B0"/>
    <w:rsid w:val="00282C84"/>
    <w:rsid w:val="00283A00"/>
    <w:rsid w:val="00283D48"/>
    <w:rsid w:val="00284B31"/>
    <w:rsid w:val="00287584"/>
    <w:rsid w:val="002914DE"/>
    <w:rsid w:val="00291A45"/>
    <w:rsid w:val="00292B74"/>
    <w:rsid w:val="00292C47"/>
    <w:rsid w:val="00293DC3"/>
    <w:rsid w:val="00296BD6"/>
    <w:rsid w:val="002A0E8F"/>
    <w:rsid w:val="002A0F15"/>
    <w:rsid w:val="002A13DE"/>
    <w:rsid w:val="002A2BDF"/>
    <w:rsid w:val="002A4BBE"/>
    <w:rsid w:val="002A4D50"/>
    <w:rsid w:val="002A5EF0"/>
    <w:rsid w:val="002A6ABE"/>
    <w:rsid w:val="002A7937"/>
    <w:rsid w:val="002A7DB5"/>
    <w:rsid w:val="002B0A93"/>
    <w:rsid w:val="002B1C86"/>
    <w:rsid w:val="002B537B"/>
    <w:rsid w:val="002B64ED"/>
    <w:rsid w:val="002B6E8C"/>
    <w:rsid w:val="002B7258"/>
    <w:rsid w:val="002B7D26"/>
    <w:rsid w:val="002B7EFC"/>
    <w:rsid w:val="002C08E2"/>
    <w:rsid w:val="002C2199"/>
    <w:rsid w:val="002C31DF"/>
    <w:rsid w:val="002C3CEC"/>
    <w:rsid w:val="002C43EE"/>
    <w:rsid w:val="002C506A"/>
    <w:rsid w:val="002C578A"/>
    <w:rsid w:val="002C645C"/>
    <w:rsid w:val="002C7CEB"/>
    <w:rsid w:val="002D1ACC"/>
    <w:rsid w:val="002D1D6D"/>
    <w:rsid w:val="002D2821"/>
    <w:rsid w:val="002D3356"/>
    <w:rsid w:val="002D4155"/>
    <w:rsid w:val="002D43A1"/>
    <w:rsid w:val="002D4A51"/>
    <w:rsid w:val="002D5F3B"/>
    <w:rsid w:val="002E07CF"/>
    <w:rsid w:val="002E13DA"/>
    <w:rsid w:val="002E30AA"/>
    <w:rsid w:val="002E3D5C"/>
    <w:rsid w:val="002E408D"/>
    <w:rsid w:val="002E5858"/>
    <w:rsid w:val="002E58E0"/>
    <w:rsid w:val="002E6856"/>
    <w:rsid w:val="002E6F2A"/>
    <w:rsid w:val="002E7091"/>
    <w:rsid w:val="002F0886"/>
    <w:rsid w:val="002F0C8E"/>
    <w:rsid w:val="002F0E4E"/>
    <w:rsid w:val="002F13C3"/>
    <w:rsid w:val="002F23FC"/>
    <w:rsid w:val="002F28FD"/>
    <w:rsid w:val="002F4E30"/>
    <w:rsid w:val="002F510E"/>
    <w:rsid w:val="002F5D70"/>
    <w:rsid w:val="002F6514"/>
    <w:rsid w:val="002F7288"/>
    <w:rsid w:val="002F72DD"/>
    <w:rsid w:val="00300CC3"/>
    <w:rsid w:val="00301420"/>
    <w:rsid w:val="00303726"/>
    <w:rsid w:val="00303C99"/>
    <w:rsid w:val="0030593B"/>
    <w:rsid w:val="003069C2"/>
    <w:rsid w:val="00307277"/>
    <w:rsid w:val="00307BE0"/>
    <w:rsid w:val="00310BDF"/>
    <w:rsid w:val="00311066"/>
    <w:rsid w:val="003117EE"/>
    <w:rsid w:val="003118C1"/>
    <w:rsid w:val="003123FA"/>
    <w:rsid w:val="003131D6"/>
    <w:rsid w:val="00313DE9"/>
    <w:rsid w:val="0031420E"/>
    <w:rsid w:val="003200F9"/>
    <w:rsid w:val="003209BF"/>
    <w:rsid w:val="00320E69"/>
    <w:rsid w:val="003211B1"/>
    <w:rsid w:val="00322C24"/>
    <w:rsid w:val="00323A8F"/>
    <w:rsid w:val="00324539"/>
    <w:rsid w:val="0032471A"/>
    <w:rsid w:val="00325183"/>
    <w:rsid w:val="00325AF5"/>
    <w:rsid w:val="0032603C"/>
    <w:rsid w:val="003271CA"/>
    <w:rsid w:val="00330463"/>
    <w:rsid w:val="003311CC"/>
    <w:rsid w:val="0033160F"/>
    <w:rsid w:val="003319E3"/>
    <w:rsid w:val="0033231C"/>
    <w:rsid w:val="003337E4"/>
    <w:rsid w:val="00335B47"/>
    <w:rsid w:val="00335E69"/>
    <w:rsid w:val="0033620A"/>
    <w:rsid w:val="003408C6"/>
    <w:rsid w:val="003419A7"/>
    <w:rsid w:val="003426F5"/>
    <w:rsid w:val="00342781"/>
    <w:rsid w:val="00342A47"/>
    <w:rsid w:val="0034344C"/>
    <w:rsid w:val="00343511"/>
    <w:rsid w:val="003446B3"/>
    <w:rsid w:val="0034558C"/>
    <w:rsid w:val="00346792"/>
    <w:rsid w:val="00346E5A"/>
    <w:rsid w:val="00350F81"/>
    <w:rsid w:val="003518D5"/>
    <w:rsid w:val="00352207"/>
    <w:rsid w:val="00352276"/>
    <w:rsid w:val="00355514"/>
    <w:rsid w:val="00355C5D"/>
    <w:rsid w:val="00356049"/>
    <w:rsid w:val="003608A6"/>
    <w:rsid w:val="003621CA"/>
    <w:rsid w:val="00362482"/>
    <w:rsid w:val="003624C3"/>
    <w:rsid w:val="00363E13"/>
    <w:rsid w:val="003641F2"/>
    <w:rsid w:val="00365B86"/>
    <w:rsid w:val="0036677F"/>
    <w:rsid w:val="00367475"/>
    <w:rsid w:val="0037043A"/>
    <w:rsid w:val="00371A19"/>
    <w:rsid w:val="00371A2D"/>
    <w:rsid w:val="00371EF2"/>
    <w:rsid w:val="00373663"/>
    <w:rsid w:val="00373B28"/>
    <w:rsid w:val="00375D03"/>
    <w:rsid w:val="00375D46"/>
    <w:rsid w:val="00375F76"/>
    <w:rsid w:val="003773B3"/>
    <w:rsid w:val="0038037F"/>
    <w:rsid w:val="00380EA0"/>
    <w:rsid w:val="00380FB5"/>
    <w:rsid w:val="00382DE3"/>
    <w:rsid w:val="00385474"/>
    <w:rsid w:val="00385BB8"/>
    <w:rsid w:val="00391253"/>
    <w:rsid w:val="00393225"/>
    <w:rsid w:val="00395875"/>
    <w:rsid w:val="003A0B87"/>
    <w:rsid w:val="003A0F58"/>
    <w:rsid w:val="003A21D0"/>
    <w:rsid w:val="003A238E"/>
    <w:rsid w:val="003A4A0D"/>
    <w:rsid w:val="003A5A3A"/>
    <w:rsid w:val="003A6D6D"/>
    <w:rsid w:val="003B04C6"/>
    <w:rsid w:val="003B07DC"/>
    <w:rsid w:val="003B2234"/>
    <w:rsid w:val="003B309B"/>
    <w:rsid w:val="003B411D"/>
    <w:rsid w:val="003B4A71"/>
    <w:rsid w:val="003B66AA"/>
    <w:rsid w:val="003B6A91"/>
    <w:rsid w:val="003B7216"/>
    <w:rsid w:val="003B72B8"/>
    <w:rsid w:val="003B72C3"/>
    <w:rsid w:val="003B7566"/>
    <w:rsid w:val="003C0E28"/>
    <w:rsid w:val="003C103F"/>
    <w:rsid w:val="003C1F0C"/>
    <w:rsid w:val="003C2BE3"/>
    <w:rsid w:val="003C3091"/>
    <w:rsid w:val="003D1E90"/>
    <w:rsid w:val="003D240C"/>
    <w:rsid w:val="003D3B42"/>
    <w:rsid w:val="003D5EF1"/>
    <w:rsid w:val="003E27A4"/>
    <w:rsid w:val="003E2F6E"/>
    <w:rsid w:val="003E43EB"/>
    <w:rsid w:val="003E4490"/>
    <w:rsid w:val="003E4535"/>
    <w:rsid w:val="003E46CA"/>
    <w:rsid w:val="003E6A68"/>
    <w:rsid w:val="003E6ABB"/>
    <w:rsid w:val="003E7133"/>
    <w:rsid w:val="003E7BB4"/>
    <w:rsid w:val="003E7C20"/>
    <w:rsid w:val="003F073B"/>
    <w:rsid w:val="003F35AC"/>
    <w:rsid w:val="003F50FC"/>
    <w:rsid w:val="003F536E"/>
    <w:rsid w:val="003F5F12"/>
    <w:rsid w:val="003F77C4"/>
    <w:rsid w:val="004001ED"/>
    <w:rsid w:val="004010E3"/>
    <w:rsid w:val="004016A5"/>
    <w:rsid w:val="00401814"/>
    <w:rsid w:val="00402BAA"/>
    <w:rsid w:val="00404A2D"/>
    <w:rsid w:val="0040525E"/>
    <w:rsid w:val="004062D2"/>
    <w:rsid w:val="0041078D"/>
    <w:rsid w:val="004119ED"/>
    <w:rsid w:val="00411EAD"/>
    <w:rsid w:val="00411FB3"/>
    <w:rsid w:val="004134CB"/>
    <w:rsid w:val="00413E07"/>
    <w:rsid w:val="00416A4D"/>
    <w:rsid w:val="00417BBF"/>
    <w:rsid w:val="004204A9"/>
    <w:rsid w:val="00421C90"/>
    <w:rsid w:val="00423732"/>
    <w:rsid w:val="00424033"/>
    <w:rsid w:val="00424505"/>
    <w:rsid w:val="004248C7"/>
    <w:rsid w:val="004260EC"/>
    <w:rsid w:val="004267E5"/>
    <w:rsid w:val="0042702E"/>
    <w:rsid w:val="0043000F"/>
    <w:rsid w:val="00430301"/>
    <w:rsid w:val="0043131B"/>
    <w:rsid w:val="00432D5F"/>
    <w:rsid w:val="00436606"/>
    <w:rsid w:val="00436E54"/>
    <w:rsid w:val="00443B7D"/>
    <w:rsid w:val="00443D63"/>
    <w:rsid w:val="00444034"/>
    <w:rsid w:val="00444C43"/>
    <w:rsid w:val="00445180"/>
    <w:rsid w:val="00445B3B"/>
    <w:rsid w:val="0044636C"/>
    <w:rsid w:val="004464A5"/>
    <w:rsid w:val="004477C4"/>
    <w:rsid w:val="004501DA"/>
    <w:rsid w:val="00451462"/>
    <w:rsid w:val="00452224"/>
    <w:rsid w:val="004543B9"/>
    <w:rsid w:val="00454941"/>
    <w:rsid w:val="0045726E"/>
    <w:rsid w:val="004611D1"/>
    <w:rsid w:val="004634D8"/>
    <w:rsid w:val="00463773"/>
    <w:rsid w:val="00464867"/>
    <w:rsid w:val="00465D8E"/>
    <w:rsid w:val="00467019"/>
    <w:rsid w:val="00467938"/>
    <w:rsid w:val="00467968"/>
    <w:rsid w:val="00470992"/>
    <w:rsid w:val="00470BFF"/>
    <w:rsid w:val="00471DFF"/>
    <w:rsid w:val="00474345"/>
    <w:rsid w:val="00475179"/>
    <w:rsid w:val="00475938"/>
    <w:rsid w:val="00475D04"/>
    <w:rsid w:val="004765D7"/>
    <w:rsid w:val="004804F1"/>
    <w:rsid w:val="00480F91"/>
    <w:rsid w:val="00481623"/>
    <w:rsid w:val="00481AB5"/>
    <w:rsid w:val="00481EB4"/>
    <w:rsid w:val="004839E2"/>
    <w:rsid w:val="004851F8"/>
    <w:rsid w:val="00485286"/>
    <w:rsid w:val="0048546A"/>
    <w:rsid w:val="004865A9"/>
    <w:rsid w:val="00487A64"/>
    <w:rsid w:val="00487CFC"/>
    <w:rsid w:val="0049076F"/>
    <w:rsid w:val="00490A01"/>
    <w:rsid w:val="00490F1E"/>
    <w:rsid w:val="004914DC"/>
    <w:rsid w:val="0049191F"/>
    <w:rsid w:val="00491A32"/>
    <w:rsid w:val="004931E8"/>
    <w:rsid w:val="0049443C"/>
    <w:rsid w:val="00494BB7"/>
    <w:rsid w:val="00495646"/>
    <w:rsid w:val="0049580C"/>
    <w:rsid w:val="00495C05"/>
    <w:rsid w:val="00497CF1"/>
    <w:rsid w:val="004A0D7A"/>
    <w:rsid w:val="004A0DAD"/>
    <w:rsid w:val="004A15B5"/>
    <w:rsid w:val="004A248C"/>
    <w:rsid w:val="004A25E7"/>
    <w:rsid w:val="004A2FB9"/>
    <w:rsid w:val="004A3A1B"/>
    <w:rsid w:val="004A46F7"/>
    <w:rsid w:val="004A5778"/>
    <w:rsid w:val="004A7AAA"/>
    <w:rsid w:val="004B0392"/>
    <w:rsid w:val="004B11EE"/>
    <w:rsid w:val="004B210D"/>
    <w:rsid w:val="004B3B9A"/>
    <w:rsid w:val="004B4070"/>
    <w:rsid w:val="004B4C03"/>
    <w:rsid w:val="004B58DE"/>
    <w:rsid w:val="004B6972"/>
    <w:rsid w:val="004B7B61"/>
    <w:rsid w:val="004C11D3"/>
    <w:rsid w:val="004C1D51"/>
    <w:rsid w:val="004C36A9"/>
    <w:rsid w:val="004C3A87"/>
    <w:rsid w:val="004C5BBF"/>
    <w:rsid w:val="004D0F22"/>
    <w:rsid w:val="004D1D00"/>
    <w:rsid w:val="004D2784"/>
    <w:rsid w:val="004D294E"/>
    <w:rsid w:val="004D2E4A"/>
    <w:rsid w:val="004D4BEC"/>
    <w:rsid w:val="004D6AE6"/>
    <w:rsid w:val="004E0279"/>
    <w:rsid w:val="004E03E0"/>
    <w:rsid w:val="004E0566"/>
    <w:rsid w:val="004E1ED7"/>
    <w:rsid w:val="004E3F10"/>
    <w:rsid w:val="004E482B"/>
    <w:rsid w:val="004E5BFC"/>
    <w:rsid w:val="004F0092"/>
    <w:rsid w:val="004F0711"/>
    <w:rsid w:val="004F0CFD"/>
    <w:rsid w:val="004F0D02"/>
    <w:rsid w:val="004F1F1A"/>
    <w:rsid w:val="004F29C4"/>
    <w:rsid w:val="004F2B98"/>
    <w:rsid w:val="004F2DA9"/>
    <w:rsid w:val="004F3C9D"/>
    <w:rsid w:val="00500BE8"/>
    <w:rsid w:val="00500BED"/>
    <w:rsid w:val="005013C9"/>
    <w:rsid w:val="00501510"/>
    <w:rsid w:val="00501692"/>
    <w:rsid w:val="005018F6"/>
    <w:rsid w:val="00503205"/>
    <w:rsid w:val="00503852"/>
    <w:rsid w:val="00504AD2"/>
    <w:rsid w:val="00504C19"/>
    <w:rsid w:val="00504E19"/>
    <w:rsid w:val="005062E2"/>
    <w:rsid w:val="00506E54"/>
    <w:rsid w:val="00510905"/>
    <w:rsid w:val="005109EF"/>
    <w:rsid w:val="00511145"/>
    <w:rsid w:val="00514FA0"/>
    <w:rsid w:val="00515D9E"/>
    <w:rsid w:val="00516D13"/>
    <w:rsid w:val="00520A11"/>
    <w:rsid w:val="00521A40"/>
    <w:rsid w:val="00522BCE"/>
    <w:rsid w:val="005238DF"/>
    <w:rsid w:val="00526A78"/>
    <w:rsid w:val="00526E8B"/>
    <w:rsid w:val="005302CD"/>
    <w:rsid w:val="005311BF"/>
    <w:rsid w:val="00531F26"/>
    <w:rsid w:val="00532453"/>
    <w:rsid w:val="00534258"/>
    <w:rsid w:val="00535C5D"/>
    <w:rsid w:val="00536A09"/>
    <w:rsid w:val="005378A6"/>
    <w:rsid w:val="00537912"/>
    <w:rsid w:val="00537C21"/>
    <w:rsid w:val="005401A2"/>
    <w:rsid w:val="00541708"/>
    <w:rsid w:val="00542200"/>
    <w:rsid w:val="00542413"/>
    <w:rsid w:val="00543905"/>
    <w:rsid w:val="00543C6E"/>
    <w:rsid w:val="00545071"/>
    <w:rsid w:val="0054555E"/>
    <w:rsid w:val="00545748"/>
    <w:rsid w:val="00545C45"/>
    <w:rsid w:val="005464C6"/>
    <w:rsid w:val="005466C6"/>
    <w:rsid w:val="00546B31"/>
    <w:rsid w:val="00546D80"/>
    <w:rsid w:val="00546F49"/>
    <w:rsid w:val="005473B4"/>
    <w:rsid w:val="00550E50"/>
    <w:rsid w:val="00552679"/>
    <w:rsid w:val="005528B6"/>
    <w:rsid w:val="00555F2E"/>
    <w:rsid w:val="00556000"/>
    <w:rsid w:val="005563E9"/>
    <w:rsid w:val="00556B83"/>
    <w:rsid w:val="00557544"/>
    <w:rsid w:val="00560868"/>
    <w:rsid w:val="0056088B"/>
    <w:rsid w:val="005608D3"/>
    <w:rsid w:val="00562099"/>
    <w:rsid w:val="005624CB"/>
    <w:rsid w:val="00564198"/>
    <w:rsid w:val="00564C9B"/>
    <w:rsid w:val="00564FCC"/>
    <w:rsid w:val="00565DBE"/>
    <w:rsid w:val="0056708A"/>
    <w:rsid w:val="00567826"/>
    <w:rsid w:val="00567A66"/>
    <w:rsid w:val="00571F8D"/>
    <w:rsid w:val="005734F4"/>
    <w:rsid w:val="00574B49"/>
    <w:rsid w:val="00576782"/>
    <w:rsid w:val="005772E7"/>
    <w:rsid w:val="00577392"/>
    <w:rsid w:val="005808C6"/>
    <w:rsid w:val="00582581"/>
    <w:rsid w:val="00582907"/>
    <w:rsid w:val="0058342E"/>
    <w:rsid w:val="0058526D"/>
    <w:rsid w:val="005867B1"/>
    <w:rsid w:val="00587EA3"/>
    <w:rsid w:val="00590883"/>
    <w:rsid w:val="005917B6"/>
    <w:rsid w:val="005927CC"/>
    <w:rsid w:val="005939D7"/>
    <w:rsid w:val="00594FA6"/>
    <w:rsid w:val="0059590C"/>
    <w:rsid w:val="00596CFD"/>
    <w:rsid w:val="00597208"/>
    <w:rsid w:val="005A044D"/>
    <w:rsid w:val="005A068C"/>
    <w:rsid w:val="005A145D"/>
    <w:rsid w:val="005A2105"/>
    <w:rsid w:val="005A2151"/>
    <w:rsid w:val="005A2158"/>
    <w:rsid w:val="005A3988"/>
    <w:rsid w:val="005A598C"/>
    <w:rsid w:val="005A5BDA"/>
    <w:rsid w:val="005A64DE"/>
    <w:rsid w:val="005A6DF6"/>
    <w:rsid w:val="005A71C8"/>
    <w:rsid w:val="005A7441"/>
    <w:rsid w:val="005A7B65"/>
    <w:rsid w:val="005A7CE0"/>
    <w:rsid w:val="005A7FFE"/>
    <w:rsid w:val="005B0433"/>
    <w:rsid w:val="005B0E4E"/>
    <w:rsid w:val="005B2082"/>
    <w:rsid w:val="005B2908"/>
    <w:rsid w:val="005B35C8"/>
    <w:rsid w:val="005B57F1"/>
    <w:rsid w:val="005B5FA8"/>
    <w:rsid w:val="005B657E"/>
    <w:rsid w:val="005B669C"/>
    <w:rsid w:val="005B7205"/>
    <w:rsid w:val="005C05F4"/>
    <w:rsid w:val="005C0C82"/>
    <w:rsid w:val="005C5667"/>
    <w:rsid w:val="005C5728"/>
    <w:rsid w:val="005C6512"/>
    <w:rsid w:val="005C6782"/>
    <w:rsid w:val="005C69E5"/>
    <w:rsid w:val="005C7C6E"/>
    <w:rsid w:val="005C7F5D"/>
    <w:rsid w:val="005D1F2C"/>
    <w:rsid w:val="005D22B0"/>
    <w:rsid w:val="005D2BCB"/>
    <w:rsid w:val="005D32CC"/>
    <w:rsid w:val="005D3762"/>
    <w:rsid w:val="005D5C4D"/>
    <w:rsid w:val="005D6720"/>
    <w:rsid w:val="005D6FA2"/>
    <w:rsid w:val="005D78A6"/>
    <w:rsid w:val="005D7B30"/>
    <w:rsid w:val="005E05E1"/>
    <w:rsid w:val="005E0C79"/>
    <w:rsid w:val="005E208A"/>
    <w:rsid w:val="005E226A"/>
    <w:rsid w:val="005E28A3"/>
    <w:rsid w:val="005E65CA"/>
    <w:rsid w:val="005E7D85"/>
    <w:rsid w:val="005F1877"/>
    <w:rsid w:val="005F1B5E"/>
    <w:rsid w:val="005F1DC5"/>
    <w:rsid w:val="005F2D07"/>
    <w:rsid w:val="005F2DF4"/>
    <w:rsid w:val="005F4EE9"/>
    <w:rsid w:val="005F63E1"/>
    <w:rsid w:val="005F654A"/>
    <w:rsid w:val="005F6AC6"/>
    <w:rsid w:val="006024C5"/>
    <w:rsid w:val="006024F2"/>
    <w:rsid w:val="00602C58"/>
    <w:rsid w:val="00602F1C"/>
    <w:rsid w:val="00603B09"/>
    <w:rsid w:val="00604FD1"/>
    <w:rsid w:val="0060516E"/>
    <w:rsid w:val="006057A5"/>
    <w:rsid w:val="00605EEE"/>
    <w:rsid w:val="00605EF4"/>
    <w:rsid w:val="00605F5D"/>
    <w:rsid w:val="0060756B"/>
    <w:rsid w:val="00611082"/>
    <w:rsid w:val="006121B5"/>
    <w:rsid w:val="00612579"/>
    <w:rsid w:val="006138D9"/>
    <w:rsid w:val="00613A8B"/>
    <w:rsid w:val="00613BAA"/>
    <w:rsid w:val="0061452A"/>
    <w:rsid w:val="006164A4"/>
    <w:rsid w:val="00616BEB"/>
    <w:rsid w:val="00616F86"/>
    <w:rsid w:val="00620B28"/>
    <w:rsid w:val="00620E26"/>
    <w:rsid w:val="00621A1D"/>
    <w:rsid w:val="00623DD4"/>
    <w:rsid w:val="006243E8"/>
    <w:rsid w:val="0062538E"/>
    <w:rsid w:val="0062548F"/>
    <w:rsid w:val="00625C05"/>
    <w:rsid w:val="00626534"/>
    <w:rsid w:val="00626F27"/>
    <w:rsid w:val="00630BFE"/>
    <w:rsid w:val="00630E47"/>
    <w:rsid w:val="00631CFD"/>
    <w:rsid w:val="006365BB"/>
    <w:rsid w:val="00640026"/>
    <w:rsid w:val="00640A27"/>
    <w:rsid w:val="00642E29"/>
    <w:rsid w:val="0064374C"/>
    <w:rsid w:val="0064453B"/>
    <w:rsid w:val="00644DE7"/>
    <w:rsid w:val="00645F11"/>
    <w:rsid w:val="006472B5"/>
    <w:rsid w:val="006473FB"/>
    <w:rsid w:val="00647C3A"/>
    <w:rsid w:val="00647D94"/>
    <w:rsid w:val="006506CD"/>
    <w:rsid w:val="00650902"/>
    <w:rsid w:val="00650A5C"/>
    <w:rsid w:val="00650C3C"/>
    <w:rsid w:val="006511A6"/>
    <w:rsid w:val="00651E26"/>
    <w:rsid w:val="006524D5"/>
    <w:rsid w:val="00652530"/>
    <w:rsid w:val="00652F35"/>
    <w:rsid w:val="00654EDB"/>
    <w:rsid w:val="00655AB1"/>
    <w:rsid w:val="00655BE8"/>
    <w:rsid w:val="00657B89"/>
    <w:rsid w:val="0066197C"/>
    <w:rsid w:val="00662D86"/>
    <w:rsid w:val="00664DFF"/>
    <w:rsid w:val="00664E08"/>
    <w:rsid w:val="006661E3"/>
    <w:rsid w:val="00667461"/>
    <w:rsid w:val="00670540"/>
    <w:rsid w:val="00670787"/>
    <w:rsid w:val="006708BB"/>
    <w:rsid w:val="00671554"/>
    <w:rsid w:val="00671EFF"/>
    <w:rsid w:val="00672050"/>
    <w:rsid w:val="00672577"/>
    <w:rsid w:val="006734A2"/>
    <w:rsid w:val="00674696"/>
    <w:rsid w:val="006746AD"/>
    <w:rsid w:val="00676E58"/>
    <w:rsid w:val="006778F3"/>
    <w:rsid w:val="00677B1C"/>
    <w:rsid w:val="00680089"/>
    <w:rsid w:val="006803D7"/>
    <w:rsid w:val="00680819"/>
    <w:rsid w:val="006810FD"/>
    <w:rsid w:val="006822BB"/>
    <w:rsid w:val="006833DA"/>
    <w:rsid w:val="00684EC3"/>
    <w:rsid w:val="00685737"/>
    <w:rsid w:val="00685C61"/>
    <w:rsid w:val="00685DC4"/>
    <w:rsid w:val="00690C07"/>
    <w:rsid w:val="0069238F"/>
    <w:rsid w:val="00693651"/>
    <w:rsid w:val="00697529"/>
    <w:rsid w:val="00697E7D"/>
    <w:rsid w:val="006A1008"/>
    <w:rsid w:val="006A1037"/>
    <w:rsid w:val="006A1A9A"/>
    <w:rsid w:val="006A1DA3"/>
    <w:rsid w:val="006A239F"/>
    <w:rsid w:val="006A2F5B"/>
    <w:rsid w:val="006A3D73"/>
    <w:rsid w:val="006A3E9D"/>
    <w:rsid w:val="006A529F"/>
    <w:rsid w:val="006A5CCC"/>
    <w:rsid w:val="006A6B91"/>
    <w:rsid w:val="006B08C8"/>
    <w:rsid w:val="006B0C66"/>
    <w:rsid w:val="006B1444"/>
    <w:rsid w:val="006B15BB"/>
    <w:rsid w:val="006B1760"/>
    <w:rsid w:val="006B188D"/>
    <w:rsid w:val="006B485E"/>
    <w:rsid w:val="006B4C9F"/>
    <w:rsid w:val="006B52B8"/>
    <w:rsid w:val="006B6DB7"/>
    <w:rsid w:val="006B7DC5"/>
    <w:rsid w:val="006B7EB6"/>
    <w:rsid w:val="006B7FEC"/>
    <w:rsid w:val="006C013F"/>
    <w:rsid w:val="006C124A"/>
    <w:rsid w:val="006C1930"/>
    <w:rsid w:val="006C347F"/>
    <w:rsid w:val="006D0217"/>
    <w:rsid w:val="006D03D0"/>
    <w:rsid w:val="006D1746"/>
    <w:rsid w:val="006D2544"/>
    <w:rsid w:val="006D5810"/>
    <w:rsid w:val="006D5CCA"/>
    <w:rsid w:val="006D5F75"/>
    <w:rsid w:val="006D6384"/>
    <w:rsid w:val="006D68F2"/>
    <w:rsid w:val="006D6C97"/>
    <w:rsid w:val="006D725F"/>
    <w:rsid w:val="006D7589"/>
    <w:rsid w:val="006E02A1"/>
    <w:rsid w:val="006E08C1"/>
    <w:rsid w:val="006E27A8"/>
    <w:rsid w:val="006E30FE"/>
    <w:rsid w:val="006E6525"/>
    <w:rsid w:val="006E74F3"/>
    <w:rsid w:val="006E7543"/>
    <w:rsid w:val="006F000D"/>
    <w:rsid w:val="006F0E7F"/>
    <w:rsid w:val="006F173B"/>
    <w:rsid w:val="006F2B73"/>
    <w:rsid w:val="006F35D2"/>
    <w:rsid w:val="006F381A"/>
    <w:rsid w:val="006F3B8F"/>
    <w:rsid w:val="006F42D2"/>
    <w:rsid w:val="006F4353"/>
    <w:rsid w:val="006F499F"/>
    <w:rsid w:val="006F4D13"/>
    <w:rsid w:val="006F56E3"/>
    <w:rsid w:val="006F6451"/>
    <w:rsid w:val="006F6A4A"/>
    <w:rsid w:val="006F6DB4"/>
    <w:rsid w:val="007009F3"/>
    <w:rsid w:val="007011BC"/>
    <w:rsid w:val="007027FD"/>
    <w:rsid w:val="00703B93"/>
    <w:rsid w:val="007053C9"/>
    <w:rsid w:val="00706ABA"/>
    <w:rsid w:val="007077A7"/>
    <w:rsid w:val="007077B5"/>
    <w:rsid w:val="00707EE9"/>
    <w:rsid w:val="007103C1"/>
    <w:rsid w:val="00711C85"/>
    <w:rsid w:val="00711EB7"/>
    <w:rsid w:val="007126E4"/>
    <w:rsid w:val="007141FA"/>
    <w:rsid w:val="0071564B"/>
    <w:rsid w:val="00715D1F"/>
    <w:rsid w:val="00716AE9"/>
    <w:rsid w:val="007200CA"/>
    <w:rsid w:val="00722761"/>
    <w:rsid w:val="0072352C"/>
    <w:rsid w:val="00725A66"/>
    <w:rsid w:val="00726142"/>
    <w:rsid w:val="00726CA6"/>
    <w:rsid w:val="007271BE"/>
    <w:rsid w:val="0073070C"/>
    <w:rsid w:val="00731263"/>
    <w:rsid w:val="007314F8"/>
    <w:rsid w:val="007318A4"/>
    <w:rsid w:val="0073308A"/>
    <w:rsid w:val="007336B1"/>
    <w:rsid w:val="007345E0"/>
    <w:rsid w:val="0073669D"/>
    <w:rsid w:val="00737B8D"/>
    <w:rsid w:val="00737BB7"/>
    <w:rsid w:val="00737C89"/>
    <w:rsid w:val="00740F47"/>
    <w:rsid w:val="007415F3"/>
    <w:rsid w:val="007431AA"/>
    <w:rsid w:val="00743891"/>
    <w:rsid w:val="00746812"/>
    <w:rsid w:val="0074705A"/>
    <w:rsid w:val="00747196"/>
    <w:rsid w:val="007471A0"/>
    <w:rsid w:val="0075008E"/>
    <w:rsid w:val="00750CDE"/>
    <w:rsid w:val="00750D15"/>
    <w:rsid w:val="00750E05"/>
    <w:rsid w:val="00751344"/>
    <w:rsid w:val="00751F4C"/>
    <w:rsid w:val="007537E0"/>
    <w:rsid w:val="0075393A"/>
    <w:rsid w:val="00754B42"/>
    <w:rsid w:val="00755B1D"/>
    <w:rsid w:val="00757FA1"/>
    <w:rsid w:val="007605F2"/>
    <w:rsid w:val="00764F59"/>
    <w:rsid w:val="00765749"/>
    <w:rsid w:val="007662AA"/>
    <w:rsid w:val="007668AA"/>
    <w:rsid w:val="007677DF"/>
    <w:rsid w:val="00770031"/>
    <w:rsid w:val="007700C7"/>
    <w:rsid w:val="00770A4A"/>
    <w:rsid w:val="00771211"/>
    <w:rsid w:val="0077242D"/>
    <w:rsid w:val="00773038"/>
    <w:rsid w:val="007748F1"/>
    <w:rsid w:val="00775173"/>
    <w:rsid w:val="00775EEE"/>
    <w:rsid w:val="00776FE8"/>
    <w:rsid w:val="00777B58"/>
    <w:rsid w:val="007805DE"/>
    <w:rsid w:val="00781171"/>
    <w:rsid w:val="0078134D"/>
    <w:rsid w:val="00781A27"/>
    <w:rsid w:val="00782AF7"/>
    <w:rsid w:val="00783F12"/>
    <w:rsid w:val="00784AC2"/>
    <w:rsid w:val="007850E6"/>
    <w:rsid w:val="007864CE"/>
    <w:rsid w:val="00786969"/>
    <w:rsid w:val="007876E0"/>
    <w:rsid w:val="00791963"/>
    <w:rsid w:val="00792FBD"/>
    <w:rsid w:val="00794078"/>
    <w:rsid w:val="007952C4"/>
    <w:rsid w:val="00795853"/>
    <w:rsid w:val="0079784D"/>
    <w:rsid w:val="007A03B8"/>
    <w:rsid w:val="007A0B88"/>
    <w:rsid w:val="007A2763"/>
    <w:rsid w:val="007A2DBD"/>
    <w:rsid w:val="007A48E6"/>
    <w:rsid w:val="007A52EA"/>
    <w:rsid w:val="007A638D"/>
    <w:rsid w:val="007A7445"/>
    <w:rsid w:val="007A784B"/>
    <w:rsid w:val="007A79A0"/>
    <w:rsid w:val="007B5D93"/>
    <w:rsid w:val="007B654F"/>
    <w:rsid w:val="007C0412"/>
    <w:rsid w:val="007C072B"/>
    <w:rsid w:val="007C097A"/>
    <w:rsid w:val="007C2747"/>
    <w:rsid w:val="007C2FC9"/>
    <w:rsid w:val="007C3224"/>
    <w:rsid w:val="007C3BEB"/>
    <w:rsid w:val="007C6828"/>
    <w:rsid w:val="007C721E"/>
    <w:rsid w:val="007D0464"/>
    <w:rsid w:val="007D1404"/>
    <w:rsid w:val="007D1837"/>
    <w:rsid w:val="007D22B6"/>
    <w:rsid w:val="007D2739"/>
    <w:rsid w:val="007D3730"/>
    <w:rsid w:val="007D3A3C"/>
    <w:rsid w:val="007D4CE7"/>
    <w:rsid w:val="007D5831"/>
    <w:rsid w:val="007D6328"/>
    <w:rsid w:val="007D6C01"/>
    <w:rsid w:val="007D6E8F"/>
    <w:rsid w:val="007D73A7"/>
    <w:rsid w:val="007D7670"/>
    <w:rsid w:val="007E134D"/>
    <w:rsid w:val="007E1D28"/>
    <w:rsid w:val="007E1DFA"/>
    <w:rsid w:val="007E521E"/>
    <w:rsid w:val="007E535C"/>
    <w:rsid w:val="007E642E"/>
    <w:rsid w:val="007E70BE"/>
    <w:rsid w:val="007F03E2"/>
    <w:rsid w:val="007F2861"/>
    <w:rsid w:val="007F36F0"/>
    <w:rsid w:val="007F41F7"/>
    <w:rsid w:val="007F4BBA"/>
    <w:rsid w:val="007F4DE9"/>
    <w:rsid w:val="007F5D7B"/>
    <w:rsid w:val="007F7817"/>
    <w:rsid w:val="007F787B"/>
    <w:rsid w:val="007F7CA0"/>
    <w:rsid w:val="0080099C"/>
    <w:rsid w:val="00800C68"/>
    <w:rsid w:val="00801586"/>
    <w:rsid w:val="008016C3"/>
    <w:rsid w:val="008020B5"/>
    <w:rsid w:val="00804159"/>
    <w:rsid w:val="008047E7"/>
    <w:rsid w:val="00804D8A"/>
    <w:rsid w:val="0080557B"/>
    <w:rsid w:val="00805685"/>
    <w:rsid w:val="00806357"/>
    <w:rsid w:val="008063D9"/>
    <w:rsid w:val="00806B08"/>
    <w:rsid w:val="008105C6"/>
    <w:rsid w:val="00811AF1"/>
    <w:rsid w:val="00812F65"/>
    <w:rsid w:val="00813472"/>
    <w:rsid w:val="00814459"/>
    <w:rsid w:val="008157D9"/>
    <w:rsid w:val="008169CB"/>
    <w:rsid w:val="00816CEF"/>
    <w:rsid w:val="008203C0"/>
    <w:rsid w:val="00820767"/>
    <w:rsid w:val="008224F0"/>
    <w:rsid w:val="0082493A"/>
    <w:rsid w:val="00825148"/>
    <w:rsid w:val="008257BF"/>
    <w:rsid w:val="00827B52"/>
    <w:rsid w:val="00830620"/>
    <w:rsid w:val="00830825"/>
    <w:rsid w:val="00830E38"/>
    <w:rsid w:val="00831637"/>
    <w:rsid w:val="008322F9"/>
    <w:rsid w:val="00833D25"/>
    <w:rsid w:val="008370AB"/>
    <w:rsid w:val="008409B9"/>
    <w:rsid w:val="008416BB"/>
    <w:rsid w:val="00841C10"/>
    <w:rsid w:val="008426D2"/>
    <w:rsid w:val="008426D4"/>
    <w:rsid w:val="008440F7"/>
    <w:rsid w:val="00847375"/>
    <w:rsid w:val="0084797D"/>
    <w:rsid w:val="00850E13"/>
    <w:rsid w:val="008534FD"/>
    <w:rsid w:val="00853595"/>
    <w:rsid w:val="00857887"/>
    <w:rsid w:val="00861834"/>
    <w:rsid w:val="00862EF1"/>
    <w:rsid w:val="0086446E"/>
    <w:rsid w:val="00864B51"/>
    <w:rsid w:val="00864C3B"/>
    <w:rsid w:val="00865FAF"/>
    <w:rsid w:val="008662CB"/>
    <w:rsid w:val="00867375"/>
    <w:rsid w:val="008715D4"/>
    <w:rsid w:val="00873449"/>
    <w:rsid w:val="00873495"/>
    <w:rsid w:val="008738F7"/>
    <w:rsid w:val="00873DB3"/>
    <w:rsid w:val="00874692"/>
    <w:rsid w:val="00875028"/>
    <w:rsid w:val="008763C0"/>
    <w:rsid w:val="008767BE"/>
    <w:rsid w:val="00880B70"/>
    <w:rsid w:val="00882F30"/>
    <w:rsid w:val="00883745"/>
    <w:rsid w:val="00885C90"/>
    <w:rsid w:val="00892692"/>
    <w:rsid w:val="00892C4E"/>
    <w:rsid w:val="0089333C"/>
    <w:rsid w:val="00893846"/>
    <w:rsid w:val="008940A4"/>
    <w:rsid w:val="00894C86"/>
    <w:rsid w:val="00895ADB"/>
    <w:rsid w:val="00896003"/>
    <w:rsid w:val="008961FA"/>
    <w:rsid w:val="00896A92"/>
    <w:rsid w:val="008A0472"/>
    <w:rsid w:val="008A0AF2"/>
    <w:rsid w:val="008A69B5"/>
    <w:rsid w:val="008A7397"/>
    <w:rsid w:val="008A7AE7"/>
    <w:rsid w:val="008B03E0"/>
    <w:rsid w:val="008B20B1"/>
    <w:rsid w:val="008B37CA"/>
    <w:rsid w:val="008B4E3F"/>
    <w:rsid w:val="008C0601"/>
    <w:rsid w:val="008C09B1"/>
    <w:rsid w:val="008C165F"/>
    <w:rsid w:val="008C173A"/>
    <w:rsid w:val="008C2809"/>
    <w:rsid w:val="008C4835"/>
    <w:rsid w:val="008C4DA7"/>
    <w:rsid w:val="008C7CC5"/>
    <w:rsid w:val="008D2193"/>
    <w:rsid w:val="008D31B9"/>
    <w:rsid w:val="008D369F"/>
    <w:rsid w:val="008D3AEB"/>
    <w:rsid w:val="008D3CFD"/>
    <w:rsid w:val="008E0B94"/>
    <w:rsid w:val="008E0C5C"/>
    <w:rsid w:val="008E17C4"/>
    <w:rsid w:val="008E3DEA"/>
    <w:rsid w:val="008E410A"/>
    <w:rsid w:val="008E4A5F"/>
    <w:rsid w:val="008E536F"/>
    <w:rsid w:val="008E77D8"/>
    <w:rsid w:val="008E7986"/>
    <w:rsid w:val="008E7CE9"/>
    <w:rsid w:val="008E7E8A"/>
    <w:rsid w:val="008F0D6D"/>
    <w:rsid w:val="008F1DF5"/>
    <w:rsid w:val="008F270A"/>
    <w:rsid w:val="008F2BD2"/>
    <w:rsid w:val="008F3301"/>
    <w:rsid w:val="008F3632"/>
    <w:rsid w:val="008F403A"/>
    <w:rsid w:val="008F4AE2"/>
    <w:rsid w:val="008F5502"/>
    <w:rsid w:val="008F59A1"/>
    <w:rsid w:val="008F7618"/>
    <w:rsid w:val="008F7881"/>
    <w:rsid w:val="009014B3"/>
    <w:rsid w:val="00901A31"/>
    <w:rsid w:val="00901CC9"/>
    <w:rsid w:val="0090201F"/>
    <w:rsid w:val="00902FF1"/>
    <w:rsid w:val="0090384E"/>
    <w:rsid w:val="009040B3"/>
    <w:rsid w:val="00904615"/>
    <w:rsid w:val="00904CD4"/>
    <w:rsid w:val="00904FB2"/>
    <w:rsid w:val="00905C7B"/>
    <w:rsid w:val="00905F2C"/>
    <w:rsid w:val="0090637A"/>
    <w:rsid w:val="00912374"/>
    <w:rsid w:val="009129F2"/>
    <w:rsid w:val="00913066"/>
    <w:rsid w:val="009135C0"/>
    <w:rsid w:val="00913E10"/>
    <w:rsid w:val="00914E62"/>
    <w:rsid w:val="00915723"/>
    <w:rsid w:val="00917698"/>
    <w:rsid w:val="00917BE3"/>
    <w:rsid w:val="00917CAF"/>
    <w:rsid w:val="00922331"/>
    <w:rsid w:val="0092249C"/>
    <w:rsid w:val="009238AD"/>
    <w:rsid w:val="00924347"/>
    <w:rsid w:val="0092458D"/>
    <w:rsid w:val="00924A8A"/>
    <w:rsid w:val="00925776"/>
    <w:rsid w:val="00926AC5"/>
    <w:rsid w:val="00930248"/>
    <w:rsid w:val="00931830"/>
    <w:rsid w:val="00934F4A"/>
    <w:rsid w:val="0093501A"/>
    <w:rsid w:val="009354AE"/>
    <w:rsid w:val="00936467"/>
    <w:rsid w:val="00936567"/>
    <w:rsid w:val="009365E8"/>
    <w:rsid w:val="00937630"/>
    <w:rsid w:val="0093772A"/>
    <w:rsid w:val="009379D4"/>
    <w:rsid w:val="009425B0"/>
    <w:rsid w:val="009426ED"/>
    <w:rsid w:val="00945DB8"/>
    <w:rsid w:val="009461CF"/>
    <w:rsid w:val="0094755F"/>
    <w:rsid w:val="0095053C"/>
    <w:rsid w:val="00951DCC"/>
    <w:rsid w:val="00953624"/>
    <w:rsid w:val="00953AC0"/>
    <w:rsid w:val="009546EF"/>
    <w:rsid w:val="009558D0"/>
    <w:rsid w:val="00955F0F"/>
    <w:rsid w:val="0095617F"/>
    <w:rsid w:val="00956BC5"/>
    <w:rsid w:val="009570C8"/>
    <w:rsid w:val="00957B82"/>
    <w:rsid w:val="00960261"/>
    <w:rsid w:val="0096031E"/>
    <w:rsid w:val="009606A3"/>
    <w:rsid w:val="00960976"/>
    <w:rsid w:val="00961274"/>
    <w:rsid w:val="00962B09"/>
    <w:rsid w:val="009632CD"/>
    <w:rsid w:val="0096433B"/>
    <w:rsid w:val="00965217"/>
    <w:rsid w:val="00965CDA"/>
    <w:rsid w:val="009675AD"/>
    <w:rsid w:val="0097046C"/>
    <w:rsid w:val="00970C27"/>
    <w:rsid w:val="00970FFC"/>
    <w:rsid w:val="00971BF8"/>
    <w:rsid w:val="0097537E"/>
    <w:rsid w:val="00976776"/>
    <w:rsid w:val="00976BE5"/>
    <w:rsid w:val="009803F7"/>
    <w:rsid w:val="00981068"/>
    <w:rsid w:val="00981637"/>
    <w:rsid w:val="00981F2E"/>
    <w:rsid w:val="00985756"/>
    <w:rsid w:val="009858C3"/>
    <w:rsid w:val="00985B53"/>
    <w:rsid w:val="009872F3"/>
    <w:rsid w:val="00987B8A"/>
    <w:rsid w:val="00987DBD"/>
    <w:rsid w:val="00990AB2"/>
    <w:rsid w:val="00994927"/>
    <w:rsid w:val="0099512E"/>
    <w:rsid w:val="009958E5"/>
    <w:rsid w:val="009959C7"/>
    <w:rsid w:val="009A04ED"/>
    <w:rsid w:val="009A0E5D"/>
    <w:rsid w:val="009A24F4"/>
    <w:rsid w:val="009A32AC"/>
    <w:rsid w:val="009A3F87"/>
    <w:rsid w:val="009A497E"/>
    <w:rsid w:val="009A4E7C"/>
    <w:rsid w:val="009A5C51"/>
    <w:rsid w:val="009A6796"/>
    <w:rsid w:val="009B0FA1"/>
    <w:rsid w:val="009B2C30"/>
    <w:rsid w:val="009B2CF4"/>
    <w:rsid w:val="009B4673"/>
    <w:rsid w:val="009B51BB"/>
    <w:rsid w:val="009B5CA9"/>
    <w:rsid w:val="009B5FB7"/>
    <w:rsid w:val="009B613F"/>
    <w:rsid w:val="009B6621"/>
    <w:rsid w:val="009C028C"/>
    <w:rsid w:val="009C185F"/>
    <w:rsid w:val="009C2356"/>
    <w:rsid w:val="009C4CD6"/>
    <w:rsid w:val="009C5894"/>
    <w:rsid w:val="009C5922"/>
    <w:rsid w:val="009C5AA4"/>
    <w:rsid w:val="009C5ECB"/>
    <w:rsid w:val="009C7071"/>
    <w:rsid w:val="009D0ADE"/>
    <w:rsid w:val="009D0C67"/>
    <w:rsid w:val="009D1076"/>
    <w:rsid w:val="009D2093"/>
    <w:rsid w:val="009D2957"/>
    <w:rsid w:val="009D316A"/>
    <w:rsid w:val="009D41C6"/>
    <w:rsid w:val="009D48AD"/>
    <w:rsid w:val="009D5127"/>
    <w:rsid w:val="009D51CD"/>
    <w:rsid w:val="009E3706"/>
    <w:rsid w:val="009E3996"/>
    <w:rsid w:val="009E429D"/>
    <w:rsid w:val="009E4348"/>
    <w:rsid w:val="009E48CE"/>
    <w:rsid w:val="009E5858"/>
    <w:rsid w:val="009F00D8"/>
    <w:rsid w:val="009F0BA0"/>
    <w:rsid w:val="009F0E61"/>
    <w:rsid w:val="009F12CE"/>
    <w:rsid w:val="009F3293"/>
    <w:rsid w:val="009F4817"/>
    <w:rsid w:val="009F570D"/>
    <w:rsid w:val="009F5DDF"/>
    <w:rsid w:val="009F6A80"/>
    <w:rsid w:val="009F6CC6"/>
    <w:rsid w:val="00A002AE"/>
    <w:rsid w:val="00A005BB"/>
    <w:rsid w:val="00A00711"/>
    <w:rsid w:val="00A00A73"/>
    <w:rsid w:val="00A01196"/>
    <w:rsid w:val="00A01F0D"/>
    <w:rsid w:val="00A024EC"/>
    <w:rsid w:val="00A04E24"/>
    <w:rsid w:val="00A06449"/>
    <w:rsid w:val="00A11117"/>
    <w:rsid w:val="00A1517D"/>
    <w:rsid w:val="00A1594C"/>
    <w:rsid w:val="00A167F8"/>
    <w:rsid w:val="00A1794D"/>
    <w:rsid w:val="00A2009C"/>
    <w:rsid w:val="00A20958"/>
    <w:rsid w:val="00A210BA"/>
    <w:rsid w:val="00A225E4"/>
    <w:rsid w:val="00A2378F"/>
    <w:rsid w:val="00A239DF"/>
    <w:rsid w:val="00A2637A"/>
    <w:rsid w:val="00A26579"/>
    <w:rsid w:val="00A26786"/>
    <w:rsid w:val="00A27281"/>
    <w:rsid w:val="00A3058D"/>
    <w:rsid w:val="00A316E3"/>
    <w:rsid w:val="00A317D9"/>
    <w:rsid w:val="00A33876"/>
    <w:rsid w:val="00A340E1"/>
    <w:rsid w:val="00A34C78"/>
    <w:rsid w:val="00A34EB1"/>
    <w:rsid w:val="00A350BB"/>
    <w:rsid w:val="00A354CE"/>
    <w:rsid w:val="00A358C5"/>
    <w:rsid w:val="00A35EBD"/>
    <w:rsid w:val="00A36665"/>
    <w:rsid w:val="00A368F3"/>
    <w:rsid w:val="00A37063"/>
    <w:rsid w:val="00A400AE"/>
    <w:rsid w:val="00A42268"/>
    <w:rsid w:val="00A4245B"/>
    <w:rsid w:val="00A4255D"/>
    <w:rsid w:val="00A4284B"/>
    <w:rsid w:val="00A44122"/>
    <w:rsid w:val="00A44F46"/>
    <w:rsid w:val="00A45465"/>
    <w:rsid w:val="00A46DBB"/>
    <w:rsid w:val="00A50C82"/>
    <w:rsid w:val="00A51DEA"/>
    <w:rsid w:val="00A51EB6"/>
    <w:rsid w:val="00A52296"/>
    <w:rsid w:val="00A54AB3"/>
    <w:rsid w:val="00A56B38"/>
    <w:rsid w:val="00A5714A"/>
    <w:rsid w:val="00A573C3"/>
    <w:rsid w:val="00A57E9D"/>
    <w:rsid w:val="00A6083C"/>
    <w:rsid w:val="00A60E8E"/>
    <w:rsid w:val="00A623F6"/>
    <w:rsid w:val="00A62A2D"/>
    <w:rsid w:val="00A631CA"/>
    <w:rsid w:val="00A63A1A"/>
    <w:rsid w:val="00A64EB5"/>
    <w:rsid w:val="00A66256"/>
    <w:rsid w:val="00A66475"/>
    <w:rsid w:val="00A66618"/>
    <w:rsid w:val="00A6717D"/>
    <w:rsid w:val="00A703F5"/>
    <w:rsid w:val="00A717FE"/>
    <w:rsid w:val="00A7430E"/>
    <w:rsid w:val="00A75FD6"/>
    <w:rsid w:val="00A77056"/>
    <w:rsid w:val="00A77C0B"/>
    <w:rsid w:val="00A82C64"/>
    <w:rsid w:val="00A83A4D"/>
    <w:rsid w:val="00A84432"/>
    <w:rsid w:val="00A8505B"/>
    <w:rsid w:val="00A86995"/>
    <w:rsid w:val="00A86C78"/>
    <w:rsid w:val="00A90E56"/>
    <w:rsid w:val="00A92380"/>
    <w:rsid w:val="00A93DC4"/>
    <w:rsid w:val="00A955DE"/>
    <w:rsid w:val="00A96F69"/>
    <w:rsid w:val="00AA02F8"/>
    <w:rsid w:val="00AA13A5"/>
    <w:rsid w:val="00AA1E8E"/>
    <w:rsid w:val="00AA29A4"/>
    <w:rsid w:val="00AA2C4A"/>
    <w:rsid w:val="00AA432B"/>
    <w:rsid w:val="00AA43C9"/>
    <w:rsid w:val="00AA45AC"/>
    <w:rsid w:val="00AA5FD8"/>
    <w:rsid w:val="00AA6CB7"/>
    <w:rsid w:val="00AA6E77"/>
    <w:rsid w:val="00AB0444"/>
    <w:rsid w:val="00AB1446"/>
    <w:rsid w:val="00AB24D7"/>
    <w:rsid w:val="00AB3304"/>
    <w:rsid w:val="00AB54B9"/>
    <w:rsid w:val="00AB6705"/>
    <w:rsid w:val="00AB7311"/>
    <w:rsid w:val="00AB7E11"/>
    <w:rsid w:val="00AC01A6"/>
    <w:rsid w:val="00AC1AA5"/>
    <w:rsid w:val="00AC5AC5"/>
    <w:rsid w:val="00AC69D0"/>
    <w:rsid w:val="00AC6D81"/>
    <w:rsid w:val="00AD102E"/>
    <w:rsid w:val="00AD1581"/>
    <w:rsid w:val="00AD21D1"/>
    <w:rsid w:val="00AD2A3E"/>
    <w:rsid w:val="00AD3D74"/>
    <w:rsid w:val="00AD3FF4"/>
    <w:rsid w:val="00AD6359"/>
    <w:rsid w:val="00AD7C87"/>
    <w:rsid w:val="00AE046A"/>
    <w:rsid w:val="00AE0509"/>
    <w:rsid w:val="00AE07B3"/>
    <w:rsid w:val="00AE3642"/>
    <w:rsid w:val="00AE518B"/>
    <w:rsid w:val="00AE537B"/>
    <w:rsid w:val="00AE599B"/>
    <w:rsid w:val="00AF14F5"/>
    <w:rsid w:val="00AF15FF"/>
    <w:rsid w:val="00AF20FB"/>
    <w:rsid w:val="00AF25F3"/>
    <w:rsid w:val="00AF2985"/>
    <w:rsid w:val="00AF3C4B"/>
    <w:rsid w:val="00AF7F2F"/>
    <w:rsid w:val="00B0151F"/>
    <w:rsid w:val="00B01A93"/>
    <w:rsid w:val="00B044E4"/>
    <w:rsid w:val="00B04726"/>
    <w:rsid w:val="00B04931"/>
    <w:rsid w:val="00B06E79"/>
    <w:rsid w:val="00B07754"/>
    <w:rsid w:val="00B10334"/>
    <w:rsid w:val="00B10D23"/>
    <w:rsid w:val="00B10E29"/>
    <w:rsid w:val="00B11263"/>
    <w:rsid w:val="00B11644"/>
    <w:rsid w:val="00B11AE5"/>
    <w:rsid w:val="00B12011"/>
    <w:rsid w:val="00B138D0"/>
    <w:rsid w:val="00B14112"/>
    <w:rsid w:val="00B14238"/>
    <w:rsid w:val="00B15BB6"/>
    <w:rsid w:val="00B1644D"/>
    <w:rsid w:val="00B216DA"/>
    <w:rsid w:val="00B21AC6"/>
    <w:rsid w:val="00B224FC"/>
    <w:rsid w:val="00B22FD4"/>
    <w:rsid w:val="00B23D16"/>
    <w:rsid w:val="00B24E6D"/>
    <w:rsid w:val="00B251E2"/>
    <w:rsid w:val="00B25C1F"/>
    <w:rsid w:val="00B25C28"/>
    <w:rsid w:val="00B261FB"/>
    <w:rsid w:val="00B26536"/>
    <w:rsid w:val="00B2781C"/>
    <w:rsid w:val="00B2787B"/>
    <w:rsid w:val="00B3145D"/>
    <w:rsid w:val="00B3179A"/>
    <w:rsid w:val="00B3190F"/>
    <w:rsid w:val="00B32E1C"/>
    <w:rsid w:val="00B33E37"/>
    <w:rsid w:val="00B35A9D"/>
    <w:rsid w:val="00B35E0F"/>
    <w:rsid w:val="00B3770D"/>
    <w:rsid w:val="00B37DA4"/>
    <w:rsid w:val="00B37EF7"/>
    <w:rsid w:val="00B408AB"/>
    <w:rsid w:val="00B40F3D"/>
    <w:rsid w:val="00B4185C"/>
    <w:rsid w:val="00B41883"/>
    <w:rsid w:val="00B434DC"/>
    <w:rsid w:val="00B43EA1"/>
    <w:rsid w:val="00B443BB"/>
    <w:rsid w:val="00B46865"/>
    <w:rsid w:val="00B474BE"/>
    <w:rsid w:val="00B47A49"/>
    <w:rsid w:val="00B50856"/>
    <w:rsid w:val="00B52203"/>
    <w:rsid w:val="00B5235F"/>
    <w:rsid w:val="00B528E7"/>
    <w:rsid w:val="00B52A08"/>
    <w:rsid w:val="00B550B5"/>
    <w:rsid w:val="00B55D75"/>
    <w:rsid w:val="00B568C5"/>
    <w:rsid w:val="00B602D5"/>
    <w:rsid w:val="00B604E8"/>
    <w:rsid w:val="00B61D46"/>
    <w:rsid w:val="00B61ECF"/>
    <w:rsid w:val="00B6206C"/>
    <w:rsid w:val="00B63913"/>
    <w:rsid w:val="00B64C24"/>
    <w:rsid w:val="00B66711"/>
    <w:rsid w:val="00B66952"/>
    <w:rsid w:val="00B66E21"/>
    <w:rsid w:val="00B67EAC"/>
    <w:rsid w:val="00B70AD0"/>
    <w:rsid w:val="00B724BC"/>
    <w:rsid w:val="00B73E7B"/>
    <w:rsid w:val="00B7464B"/>
    <w:rsid w:val="00B7464D"/>
    <w:rsid w:val="00B750F5"/>
    <w:rsid w:val="00B76017"/>
    <w:rsid w:val="00B76BF0"/>
    <w:rsid w:val="00B805F9"/>
    <w:rsid w:val="00B81D1C"/>
    <w:rsid w:val="00B81F6C"/>
    <w:rsid w:val="00B82CE3"/>
    <w:rsid w:val="00B84ECA"/>
    <w:rsid w:val="00B85545"/>
    <w:rsid w:val="00B859D6"/>
    <w:rsid w:val="00B874A3"/>
    <w:rsid w:val="00B904A0"/>
    <w:rsid w:val="00B910BA"/>
    <w:rsid w:val="00B918F1"/>
    <w:rsid w:val="00B92A49"/>
    <w:rsid w:val="00B95782"/>
    <w:rsid w:val="00B962D9"/>
    <w:rsid w:val="00B970DF"/>
    <w:rsid w:val="00B97586"/>
    <w:rsid w:val="00B97E4E"/>
    <w:rsid w:val="00BA02D1"/>
    <w:rsid w:val="00BA06B8"/>
    <w:rsid w:val="00BA17B2"/>
    <w:rsid w:val="00BA315F"/>
    <w:rsid w:val="00BA3971"/>
    <w:rsid w:val="00BA540B"/>
    <w:rsid w:val="00BA6A5C"/>
    <w:rsid w:val="00BA6AB7"/>
    <w:rsid w:val="00BA730F"/>
    <w:rsid w:val="00BA76B5"/>
    <w:rsid w:val="00BA7B0D"/>
    <w:rsid w:val="00BB00D7"/>
    <w:rsid w:val="00BB0441"/>
    <w:rsid w:val="00BB127F"/>
    <w:rsid w:val="00BB1D78"/>
    <w:rsid w:val="00BB2C69"/>
    <w:rsid w:val="00BB2F98"/>
    <w:rsid w:val="00BB3989"/>
    <w:rsid w:val="00BB3E6F"/>
    <w:rsid w:val="00BB46FD"/>
    <w:rsid w:val="00BB49C1"/>
    <w:rsid w:val="00BB52E8"/>
    <w:rsid w:val="00BB62E2"/>
    <w:rsid w:val="00BB6577"/>
    <w:rsid w:val="00BB74DD"/>
    <w:rsid w:val="00BB7A6F"/>
    <w:rsid w:val="00BC01C9"/>
    <w:rsid w:val="00BC0F25"/>
    <w:rsid w:val="00BC1293"/>
    <w:rsid w:val="00BC215A"/>
    <w:rsid w:val="00BC28E6"/>
    <w:rsid w:val="00BC388F"/>
    <w:rsid w:val="00BC4497"/>
    <w:rsid w:val="00BC599B"/>
    <w:rsid w:val="00BC6164"/>
    <w:rsid w:val="00BD24B8"/>
    <w:rsid w:val="00BD3DF0"/>
    <w:rsid w:val="00BD451B"/>
    <w:rsid w:val="00BD5AA9"/>
    <w:rsid w:val="00BD628B"/>
    <w:rsid w:val="00BD68CB"/>
    <w:rsid w:val="00BD6C0F"/>
    <w:rsid w:val="00BD7BD5"/>
    <w:rsid w:val="00BD7CF8"/>
    <w:rsid w:val="00BD7FE9"/>
    <w:rsid w:val="00BE1C8C"/>
    <w:rsid w:val="00BE2D51"/>
    <w:rsid w:val="00BE578A"/>
    <w:rsid w:val="00BE5981"/>
    <w:rsid w:val="00BE5D8D"/>
    <w:rsid w:val="00BE6D8D"/>
    <w:rsid w:val="00BF11BA"/>
    <w:rsid w:val="00BF31EC"/>
    <w:rsid w:val="00BF6BF4"/>
    <w:rsid w:val="00BF704A"/>
    <w:rsid w:val="00BF756F"/>
    <w:rsid w:val="00BF75F4"/>
    <w:rsid w:val="00C00086"/>
    <w:rsid w:val="00C00AC8"/>
    <w:rsid w:val="00C016E3"/>
    <w:rsid w:val="00C01770"/>
    <w:rsid w:val="00C030CD"/>
    <w:rsid w:val="00C037E6"/>
    <w:rsid w:val="00C041EB"/>
    <w:rsid w:val="00C04287"/>
    <w:rsid w:val="00C05D7C"/>
    <w:rsid w:val="00C0672A"/>
    <w:rsid w:val="00C06EFF"/>
    <w:rsid w:val="00C071AC"/>
    <w:rsid w:val="00C0741E"/>
    <w:rsid w:val="00C074CE"/>
    <w:rsid w:val="00C13515"/>
    <w:rsid w:val="00C14127"/>
    <w:rsid w:val="00C141BA"/>
    <w:rsid w:val="00C14F6C"/>
    <w:rsid w:val="00C161E4"/>
    <w:rsid w:val="00C16716"/>
    <w:rsid w:val="00C16B60"/>
    <w:rsid w:val="00C17606"/>
    <w:rsid w:val="00C17F81"/>
    <w:rsid w:val="00C17FDE"/>
    <w:rsid w:val="00C203BE"/>
    <w:rsid w:val="00C20673"/>
    <w:rsid w:val="00C2143E"/>
    <w:rsid w:val="00C214BE"/>
    <w:rsid w:val="00C21B7A"/>
    <w:rsid w:val="00C2208B"/>
    <w:rsid w:val="00C227D0"/>
    <w:rsid w:val="00C239A2"/>
    <w:rsid w:val="00C239B9"/>
    <w:rsid w:val="00C23E3B"/>
    <w:rsid w:val="00C255A9"/>
    <w:rsid w:val="00C25B18"/>
    <w:rsid w:val="00C25D33"/>
    <w:rsid w:val="00C2766C"/>
    <w:rsid w:val="00C30116"/>
    <w:rsid w:val="00C3103C"/>
    <w:rsid w:val="00C31E35"/>
    <w:rsid w:val="00C34860"/>
    <w:rsid w:val="00C35FD5"/>
    <w:rsid w:val="00C4198F"/>
    <w:rsid w:val="00C43F03"/>
    <w:rsid w:val="00C44B32"/>
    <w:rsid w:val="00C45B41"/>
    <w:rsid w:val="00C45E78"/>
    <w:rsid w:val="00C5059E"/>
    <w:rsid w:val="00C513BC"/>
    <w:rsid w:val="00C525E1"/>
    <w:rsid w:val="00C5294C"/>
    <w:rsid w:val="00C53589"/>
    <w:rsid w:val="00C55891"/>
    <w:rsid w:val="00C57D44"/>
    <w:rsid w:val="00C60046"/>
    <w:rsid w:val="00C60271"/>
    <w:rsid w:val="00C602A0"/>
    <w:rsid w:val="00C60324"/>
    <w:rsid w:val="00C60558"/>
    <w:rsid w:val="00C60AC0"/>
    <w:rsid w:val="00C620A5"/>
    <w:rsid w:val="00C625B2"/>
    <w:rsid w:val="00C63723"/>
    <w:rsid w:val="00C63A8B"/>
    <w:rsid w:val="00C649D1"/>
    <w:rsid w:val="00C652C1"/>
    <w:rsid w:val="00C6546C"/>
    <w:rsid w:val="00C664DF"/>
    <w:rsid w:val="00C665B9"/>
    <w:rsid w:val="00C7340A"/>
    <w:rsid w:val="00C73BFC"/>
    <w:rsid w:val="00C75989"/>
    <w:rsid w:val="00C75E05"/>
    <w:rsid w:val="00C768BE"/>
    <w:rsid w:val="00C775D1"/>
    <w:rsid w:val="00C802C3"/>
    <w:rsid w:val="00C80D11"/>
    <w:rsid w:val="00C80DED"/>
    <w:rsid w:val="00C81068"/>
    <w:rsid w:val="00C811D4"/>
    <w:rsid w:val="00C81ED0"/>
    <w:rsid w:val="00C81F96"/>
    <w:rsid w:val="00C84036"/>
    <w:rsid w:val="00C856C8"/>
    <w:rsid w:val="00C85A0C"/>
    <w:rsid w:val="00C87850"/>
    <w:rsid w:val="00C87DC4"/>
    <w:rsid w:val="00C90B20"/>
    <w:rsid w:val="00C96F42"/>
    <w:rsid w:val="00CA340E"/>
    <w:rsid w:val="00CA362A"/>
    <w:rsid w:val="00CA4297"/>
    <w:rsid w:val="00CA43A8"/>
    <w:rsid w:val="00CA589E"/>
    <w:rsid w:val="00CA6752"/>
    <w:rsid w:val="00CA6A2A"/>
    <w:rsid w:val="00CB0431"/>
    <w:rsid w:val="00CB0F05"/>
    <w:rsid w:val="00CB1110"/>
    <w:rsid w:val="00CB43D5"/>
    <w:rsid w:val="00CB703F"/>
    <w:rsid w:val="00CB782E"/>
    <w:rsid w:val="00CB7B2B"/>
    <w:rsid w:val="00CC0764"/>
    <w:rsid w:val="00CC1AA6"/>
    <w:rsid w:val="00CC1C45"/>
    <w:rsid w:val="00CC2D18"/>
    <w:rsid w:val="00CC4148"/>
    <w:rsid w:val="00CC60FB"/>
    <w:rsid w:val="00CC6C67"/>
    <w:rsid w:val="00CC6D66"/>
    <w:rsid w:val="00CC7129"/>
    <w:rsid w:val="00CC78C4"/>
    <w:rsid w:val="00CD06B9"/>
    <w:rsid w:val="00CD0E27"/>
    <w:rsid w:val="00CD1247"/>
    <w:rsid w:val="00CD2805"/>
    <w:rsid w:val="00CD3CD0"/>
    <w:rsid w:val="00CD6904"/>
    <w:rsid w:val="00CD6FE2"/>
    <w:rsid w:val="00CD7C3B"/>
    <w:rsid w:val="00CE14C0"/>
    <w:rsid w:val="00CE1D15"/>
    <w:rsid w:val="00CE1F0E"/>
    <w:rsid w:val="00CE4108"/>
    <w:rsid w:val="00CE4745"/>
    <w:rsid w:val="00CE4A00"/>
    <w:rsid w:val="00CE7016"/>
    <w:rsid w:val="00CE7E0B"/>
    <w:rsid w:val="00CF00BE"/>
    <w:rsid w:val="00CF2953"/>
    <w:rsid w:val="00CF29B8"/>
    <w:rsid w:val="00CF302E"/>
    <w:rsid w:val="00CF4FF6"/>
    <w:rsid w:val="00CF73AA"/>
    <w:rsid w:val="00CF762F"/>
    <w:rsid w:val="00CF7B46"/>
    <w:rsid w:val="00D01575"/>
    <w:rsid w:val="00D02E5B"/>
    <w:rsid w:val="00D03881"/>
    <w:rsid w:val="00D04ABC"/>
    <w:rsid w:val="00D060AE"/>
    <w:rsid w:val="00D06864"/>
    <w:rsid w:val="00D076C6"/>
    <w:rsid w:val="00D0772C"/>
    <w:rsid w:val="00D078A7"/>
    <w:rsid w:val="00D07BB5"/>
    <w:rsid w:val="00D10753"/>
    <w:rsid w:val="00D10BB6"/>
    <w:rsid w:val="00D10F4A"/>
    <w:rsid w:val="00D1215A"/>
    <w:rsid w:val="00D1277D"/>
    <w:rsid w:val="00D14BBE"/>
    <w:rsid w:val="00D157C4"/>
    <w:rsid w:val="00D1613F"/>
    <w:rsid w:val="00D17D2E"/>
    <w:rsid w:val="00D20C27"/>
    <w:rsid w:val="00D23EB2"/>
    <w:rsid w:val="00D2506D"/>
    <w:rsid w:val="00D25926"/>
    <w:rsid w:val="00D268E0"/>
    <w:rsid w:val="00D2746A"/>
    <w:rsid w:val="00D31532"/>
    <w:rsid w:val="00D320B9"/>
    <w:rsid w:val="00D3262F"/>
    <w:rsid w:val="00D32C93"/>
    <w:rsid w:val="00D3463F"/>
    <w:rsid w:val="00D40345"/>
    <w:rsid w:val="00D41380"/>
    <w:rsid w:val="00D42413"/>
    <w:rsid w:val="00D43182"/>
    <w:rsid w:val="00D4513B"/>
    <w:rsid w:val="00D47B1F"/>
    <w:rsid w:val="00D511FD"/>
    <w:rsid w:val="00D512DB"/>
    <w:rsid w:val="00D5151E"/>
    <w:rsid w:val="00D537D9"/>
    <w:rsid w:val="00D53C85"/>
    <w:rsid w:val="00D5512B"/>
    <w:rsid w:val="00D56C5A"/>
    <w:rsid w:val="00D573FA"/>
    <w:rsid w:val="00D577EC"/>
    <w:rsid w:val="00D616B9"/>
    <w:rsid w:val="00D6239C"/>
    <w:rsid w:val="00D62A7F"/>
    <w:rsid w:val="00D63244"/>
    <w:rsid w:val="00D64087"/>
    <w:rsid w:val="00D65E49"/>
    <w:rsid w:val="00D676B3"/>
    <w:rsid w:val="00D67B6F"/>
    <w:rsid w:val="00D67DAD"/>
    <w:rsid w:val="00D70AC8"/>
    <w:rsid w:val="00D70F22"/>
    <w:rsid w:val="00D72D69"/>
    <w:rsid w:val="00D733C7"/>
    <w:rsid w:val="00D74280"/>
    <w:rsid w:val="00D74E8C"/>
    <w:rsid w:val="00D76425"/>
    <w:rsid w:val="00D7777A"/>
    <w:rsid w:val="00D80097"/>
    <w:rsid w:val="00D803AF"/>
    <w:rsid w:val="00D81C62"/>
    <w:rsid w:val="00D831A2"/>
    <w:rsid w:val="00D8430E"/>
    <w:rsid w:val="00D846E3"/>
    <w:rsid w:val="00D86316"/>
    <w:rsid w:val="00D86B93"/>
    <w:rsid w:val="00D86F30"/>
    <w:rsid w:val="00D9037E"/>
    <w:rsid w:val="00D91A79"/>
    <w:rsid w:val="00D92FBD"/>
    <w:rsid w:val="00D94794"/>
    <w:rsid w:val="00D94833"/>
    <w:rsid w:val="00D9741A"/>
    <w:rsid w:val="00D975AC"/>
    <w:rsid w:val="00D977DD"/>
    <w:rsid w:val="00D97809"/>
    <w:rsid w:val="00D978B4"/>
    <w:rsid w:val="00DA068D"/>
    <w:rsid w:val="00DA084B"/>
    <w:rsid w:val="00DA1223"/>
    <w:rsid w:val="00DA2863"/>
    <w:rsid w:val="00DA2D37"/>
    <w:rsid w:val="00DA369F"/>
    <w:rsid w:val="00DA6503"/>
    <w:rsid w:val="00DA6D23"/>
    <w:rsid w:val="00DA7B84"/>
    <w:rsid w:val="00DA7ECE"/>
    <w:rsid w:val="00DB04AC"/>
    <w:rsid w:val="00DB2487"/>
    <w:rsid w:val="00DB33E5"/>
    <w:rsid w:val="00DB4205"/>
    <w:rsid w:val="00DB53AF"/>
    <w:rsid w:val="00DB66C2"/>
    <w:rsid w:val="00DB7C86"/>
    <w:rsid w:val="00DC03A9"/>
    <w:rsid w:val="00DC20B2"/>
    <w:rsid w:val="00DC2C7D"/>
    <w:rsid w:val="00DC2F33"/>
    <w:rsid w:val="00DC31F1"/>
    <w:rsid w:val="00DC32D2"/>
    <w:rsid w:val="00DC4E52"/>
    <w:rsid w:val="00DC6F1E"/>
    <w:rsid w:val="00DD0D9A"/>
    <w:rsid w:val="00DD1938"/>
    <w:rsid w:val="00DD3500"/>
    <w:rsid w:val="00DD44B9"/>
    <w:rsid w:val="00DD4FA0"/>
    <w:rsid w:val="00DE06D4"/>
    <w:rsid w:val="00DE09E2"/>
    <w:rsid w:val="00DE11A0"/>
    <w:rsid w:val="00DE186A"/>
    <w:rsid w:val="00DE2C7D"/>
    <w:rsid w:val="00DE2FA6"/>
    <w:rsid w:val="00DE48F1"/>
    <w:rsid w:val="00DE4949"/>
    <w:rsid w:val="00DE5F1C"/>
    <w:rsid w:val="00DE7AC7"/>
    <w:rsid w:val="00DF20A6"/>
    <w:rsid w:val="00DF31A7"/>
    <w:rsid w:val="00DF5099"/>
    <w:rsid w:val="00DF5BB7"/>
    <w:rsid w:val="00DF6FCF"/>
    <w:rsid w:val="00E00784"/>
    <w:rsid w:val="00E01617"/>
    <w:rsid w:val="00E01710"/>
    <w:rsid w:val="00E0240C"/>
    <w:rsid w:val="00E02561"/>
    <w:rsid w:val="00E045C2"/>
    <w:rsid w:val="00E11641"/>
    <w:rsid w:val="00E12BB2"/>
    <w:rsid w:val="00E12D0A"/>
    <w:rsid w:val="00E143BE"/>
    <w:rsid w:val="00E1533D"/>
    <w:rsid w:val="00E154B0"/>
    <w:rsid w:val="00E15A84"/>
    <w:rsid w:val="00E206B0"/>
    <w:rsid w:val="00E22E05"/>
    <w:rsid w:val="00E23314"/>
    <w:rsid w:val="00E2413B"/>
    <w:rsid w:val="00E24BC3"/>
    <w:rsid w:val="00E30E6F"/>
    <w:rsid w:val="00E339F4"/>
    <w:rsid w:val="00E34572"/>
    <w:rsid w:val="00E34635"/>
    <w:rsid w:val="00E35C0A"/>
    <w:rsid w:val="00E36484"/>
    <w:rsid w:val="00E37F4F"/>
    <w:rsid w:val="00E40695"/>
    <w:rsid w:val="00E40FCC"/>
    <w:rsid w:val="00E4141E"/>
    <w:rsid w:val="00E4165D"/>
    <w:rsid w:val="00E43277"/>
    <w:rsid w:val="00E434B4"/>
    <w:rsid w:val="00E458EE"/>
    <w:rsid w:val="00E52281"/>
    <w:rsid w:val="00E551DC"/>
    <w:rsid w:val="00E55975"/>
    <w:rsid w:val="00E611DD"/>
    <w:rsid w:val="00E61F0C"/>
    <w:rsid w:val="00E61F7E"/>
    <w:rsid w:val="00E6282D"/>
    <w:rsid w:val="00E63E4D"/>
    <w:rsid w:val="00E64F8A"/>
    <w:rsid w:val="00E65F96"/>
    <w:rsid w:val="00E66483"/>
    <w:rsid w:val="00E66995"/>
    <w:rsid w:val="00E669F6"/>
    <w:rsid w:val="00E676BF"/>
    <w:rsid w:val="00E7043F"/>
    <w:rsid w:val="00E707E5"/>
    <w:rsid w:val="00E713E4"/>
    <w:rsid w:val="00E72672"/>
    <w:rsid w:val="00E73D1D"/>
    <w:rsid w:val="00E74298"/>
    <w:rsid w:val="00E74732"/>
    <w:rsid w:val="00E76781"/>
    <w:rsid w:val="00E809BA"/>
    <w:rsid w:val="00E80EF9"/>
    <w:rsid w:val="00E81862"/>
    <w:rsid w:val="00E82B09"/>
    <w:rsid w:val="00E86D91"/>
    <w:rsid w:val="00E87919"/>
    <w:rsid w:val="00E905B1"/>
    <w:rsid w:val="00E90D03"/>
    <w:rsid w:val="00E9143D"/>
    <w:rsid w:val="00E91E84"/>
    <w:rsid w:val="00E95978"/>
    <w:rsid w:val="00E96861"/>
    <w:rsid w:val="00E97A17"/>
    <w:rsid w:val="00EA04DE"/>
    <w:rsid w:val="00EA391E"/>
    <w:rsid w:val="00EA3FEA"/>
    <w:rsid w:val="00EA5323"/>
    <w:rsid w:val="00EA64B6"/>
    <w:rsid w:val="00EA7969"/>
    <w:rsid w:val="00EA7B5C"/>
    <w:rsid w:val="00EA7B75"/>
    <w:rsid w:val="00EB0C89"/>
    <w:rsid w:val="00EB1534"/>
    <w:rsid w:val="00EB4A0B"/>
    <w:rsid w:val="00EB54D5"/>
    <w:rsid w:val="00EB562D"/>
    <w:rsid w:val="00EB5A9E"/>
    <w:rsid w:val="00EB5BA9"/>
    <w:rsid w:val="00EB6335"/>
    <w:rsid w:val="00EB6E75"/>
    <w:rsid w:val="00EB7D99"/>
    <w:rsid w:val="00EC0B97"/>
    <w:rsid w:val="00EC3175"/>
    <w:rsid w:val="00EC4B94"/>
    <w:rsid w:val="00EC6033"/>
    <w:rsid w:val="00ED10BB"/>
    <w:rsid w:val="00ED33B8"/>
    <w:rsid w:val="00ED3779"/>
    <w:rsid w:val="00ED5F96"/>
    <w:rsid w:val="00ED6198"/>
    <w:rsid w:val="00EE089A"/>
    <w:rsid w:val="00EE2E74"/>
    <w:rsid w:val="00EE2EA3"/>
    <w:rsid w:val="00EE34FD"/>
    <w:rsid w:val="00EE4322"/>
    <w:rsid w:val="00EE5D06"/>
    <w:rsid w:val="00EE69D9"/>
    <w:rsid w:val="00EE6AEB"/>
    <w:rsid w:val="00EE6DD3"/>
    <w:rsid w:val="00EE7F1E"/>
    <w:rsid w:val="00EF043A"/>
    <w:rsid w:val="00EF0A1F"/>
    <w:rsid w:val="00EF1230"/>
    <w:rsid w:val="00EF185A"/>
    <w:rsid w:val="00EF3CCC"/>
    <w:rsid w:val="00EF4116"/>
    <w:rsid w:val="00EF5138"/>
    <w:rsid w:val="00EF7B3F"/>
    <w:rsid w:val="00EF7E44"/>
    <w:rsid w:val="00F00D8F"/>
    <w:rsid w:val="00F01A75"/>
    <w:rsid w:val="00F01B0F"/>
    <w:rsid w:val="00F02D01"/>
    <w:rsid w:val="00F02D61"/>
    <w:rsid w:val="00F03EBF"/>
    <w:rsid w:val="00F0575A"/>
    <w:rsid w:val="00F061E3"/>
    <w:rsid w:val="00F10C4D"/>
    <w:rsid w:val="00F112A0"/>
    <w:rsid w:val="00F12747"/>
    <w:rsid w:val="00F15CFD"/>
    <w:rsid w:val="00F1730D"/>
    <w:rsid w:val="00F17542"/>
    <w:rsid w:val="00F17DAE"/>
    <w:rsid w:val="00F23EEF"/>
    <w:rsid w:val="00F24ACC"/>
    <w:rsid w:val="00F257AE"/>
    <w:rsid w:val="00F2736D"/>
    <w:rsid w:val="00F30B2A"/>
    <w:rsid w:val="00F31B57"/>
    <w:rsid w:val="00F3350E"/>
    <w:rsid w:val="00F34AAF"/>
    <w:rsid w:val="00F34D8F"/>
    <w:rsid w:val="00F34F9A"/>
    <w:rsid w:val="00F36CB0"/>
    <w:rsid w:val="00F443BD"/>
    <w:rsid w:val="00F462F7"/>
    <w:rsid w:val="00F47D59"/>
    <w:rsid w:val="00F504E6"/>
    <w:rsid w:val="00F50881"/>
    <w:rsid w:val="00F5182F"/>
    <w:rsid w:val="00F51DDD"/>
    <w:rsid w:val="00F52299"/>
    <w:rsid w:val="00F530F4"/>
    <w:rsid w:val="00F5481D"/>
    <w:rsid w:val="00F57BD4"/>
    <w:rsid w:val="00F60898"/>
    <w:rsid w:val="00F623E4"/>
    <w:rsid w:val="00F65976"/>
    <w:rsid w:val="00F65F3B"/>
    <w:rsid w:val="00F6703A"/>
    <w:rsid w:val="00F6749F"/>
    <w:rsid w:val="00F675B3"/>
    <w:rsid w:val="00F708B1"/>
    <w:rsid w:val="00F7262B"/>
    <w:rsid w:val="00F82616"/>
    <w:rsid w:val="00F84243"/>
    <w:rsid w:val="00F847B8"/>
    <w:rsid w:val="00F85F27"/>
    <w:rsid w:val="00F8636D"/>
    <w:rsid w:val="00F865BD"/>
    <w:rsid w:val="00F87139"/>
    <w:rsid w:val="00F90315"/>
    <w:rsid w:val="00F91EF1"/>
    <w:rsid w:val="00F92423"/>
    <w:rsid w:val="00F92FF4"/>
    <w:rsid w:val="00F93CC7"/>
    <w:rsid w:val="00F93EED"/>
    <w:rsid w:val="00F94D43"/>
    <w:rsid w:val="00F95368"/>
    <w:rsid w:val="00F95371"/>
    <w:rsid w:val="00F95AA9"/>
    <w:rsid w:val="00F967FC"/>
    <w:rsid w:val="00FA0B71"/>
    <w:rsid w:val="00FA110D"/>
    <w:rsid w:val="00FA2036"/>
    <w:rsid w:val="00FA22DE"/>
    <w:rsid w:val="00FA32B9"/>
    <w:rsid w:val="00FA4138"/>
    <w:rsid w:val="00FA42C0"/>
    <w:rsid w:val="00FA476C"/>
    <w:rsid w:val="00FA4F44"/>
    <w:rsid w:val="00FA5A17"/>
    <w:rsid w:val="00FA7531"/>
    <w:rsid w:val="00FA756B"/>
    <w:rsid w:val="00FB0DC8"/>
    <w:rsid w:val="00FB2E51"/>
    <w:rsid w:val="00FB35CA"/>
    <w:rsid w:val="00FB3DCC"/>
    <w:rsid w:val="00FB5652"/>
    <w:rsid w:val="00FC0964"/>
    <w:rsid w:val="00FC0FE1"/>
    <w:rsid w:val="00FC2B32"/>
    <w:rsid w:val="00FC3765"/>
    <w:rsid w:val="00FC4389"/>
    <w:rsid w:val="00FC51D0"/>
    <w:rsid w:val="00FC52F0"/>
    <w:rsid w:val="00FC53CF"/>
    <w:rsid w:val="00FC65CC"/>
    <w:rsid w:val="00FC69B5"/>
    <w:rsid w:val="00FC6D4E"/>
    <w:rsid w:val="00FC79F0"/>
    <w:rsid w:val="00FC7F0F"/>
    <w:rsid w:val="00FD0DF8"/>
    <w:rsid w:val="00FD2BCB"/>
    <w:rsid w:val="00FD2CA1"/>
    <w:rsid w:val="00FD3C6B"/>
    <w:rsid w:val="00FD5960"/>
    <w:rsid w:val="00FD5EEC"/>
    <w:rsid w:val="00FD63B7"/>
    <w:rsid w:val="00FE003C"/>
    <w:rsid w:val="00FE020E"/>
    <w:rsid w:val="00FE3FFC"/>
    <w:rsid w:val="00FE4683"/>
    <w:rsid w:val="00FE4D66"/>
    <w:rsid w:val="00FE5A1E"/>
    <w:rsid w:val="00FF2A46"/>
    <w:rsid w:val="00FF42A4"/>
    <w:rsid w:val="00FF4DC7"/>
    <w:rsid w:val="00FF56E2"/>
    <w:rsid w:val="00FF7AC2"/>
    <w:rsid w:val="00FF7B74"/>
    <w:rsid w:val="014310DD"/>
    <w:rsid w:val="01576872"/>
    <w:rsid w:val="01641648"/>
    <w:rsid w:val="019A7C58"/>
    <w:rsid w:val="01E372A8"/>
    <w:rsid w:val="02105DD0"/>
    <w:rsid w:val="021358C1"/>
    <w:rsid w:val="02645B2D"/>
    <w:rsid w:val="027A6805"/>
    <w:rsid w:val="02C979B7"/>
    <w:rsid w:val="02EB3A37"/>
    <w:rsid w:val="02F204B6"/>
    <w:rsid w:val="0343302A"/>
    <w:rsid w:val="03EF1D8F"/>
    <w:rsid w:val="0478736C"/>
    <w:rsid w:val="0482288A"/>
    <w:rsid w:val="04844854"/>
    <w:rsid w:val="04D313EB"/>
    <w:rsid w:val="04E94D00"/>
    <w:rsid w:val="05085C35"/>
    <w:rsid w:val="05405E7D"/>
    <w:rsid w:val="05551D4C"/>
    <w:rsid w:val="056C5A41"/>
    <w:rsid w:val="05711794"/>
    <w:rsid w:val="05843DDF"/>
    <w:rsid w:val="058801E6"/>
    <w:rsid w:val="05A07625"/>
    <w:rsid w:val="05B772C9"/>
    <w:rsid w:val="05BE78F1"/>
    <w:rsid w:val="05DF57C2"/>
    <w:rsid w:val="05E36C7F"/>
    <w:rsid w:val="062C6EB6"/>
    <w:rsid w:val="065475B4"/>
    <w:rsid w:val="06587D46"/>
    <w:rsid w:val="06600C1B"/>
    <w:rsid w:val="066065D8"/>
    <w:rsid w:val="066456E3"/>
    <w:rsid w:val="070822A9"/>
    <w:rsid w:val="076D5EE2"/>
    <w:rsid w:val="079E3DE4"/>
    <w:rsid w:val="07A1396F"/>
    <w:rsid w:val="07AD40C1"/>
    <w:rsid w:val="07CB4548"/>
    <w:rsid w:val="07D466A3"/>
    <w:rsid w:val="081C0CE2"/>
    <w:rsid w:val="08591B53"/>
    <w:rsid w:val="08887C51"/>
    <w:rsid w:val="08F05FE8"/>
    <w:rsid w:val="091C3A3F"/>
    <w:rsid w:val="0923288D"/>
    <w:rsid w:val="092D39CD"/>
    <w:rsid w:val="093F70D1"/>
    <w:rsid w:val="09524F20"/>
    <w:rsid w:val="095C18FB"/>
    <w:rsid w:val="09A957F8"/>
    <w:rsid w:val="09F004EF"/>
    <w:rsid w:val="09FC6C3A"/>
    <w:rsid w:val="0A4151B2"/>
    <w:rsid w:val="0A694820"/>
    <w:rsid w:val="0A960E3D"/>
    <w:rsid w:val="0AA90B70"/>
    <w:rsid w:val="0AB063A2"/>
    <w:rsid w:val="0AFC15E8"/>
    <w:rsid w:val="0B386398"/>
    <w:rsid w:val="0B496AD6"/>
    <w:rsid w:val="0B86000D"/>
    <w:rsid w:val="0BC87B4C"/>
    <w:rsid w:val="0BE9724A"/>
    <w:rsid w:val="0C1E7DBD"/>
    <w:rsid w:val="0C452210"/>
    <w:rsid w:val="0C546ABA"/>
    <w:rsid w:val="0C811A5C"/>
    <w:rsid w:val="0CAE3B55"/>
    <w:rsid w:val="0CBE304B"/>
    <w:rsid w:val="0CCF4ADA"/>
    <w:rsid w:val="0D0B74B0"/>
    <w:rsid w:val="0D2F2D6A"/>
    <w:rsid w:val="0D474EC2"/>
    <w:rsid w:val="0D865199"/>
    <w:rsid w:val="0DB575BF"/>
    <w:rsid w:val="0DED09AB"/>
    <w:rsid w:val="0E546C50"/>
    <w:rsid w:val="0E896007"/>
    <w:rsid w:val="0E9A5871"/>
    <w:rsid w:val="0EA10809"/>
    <w:rsid w:val="0EC625C6"/>
    <w:rsid w:val="0F072309"/>
    <w:rsid w:val="0F114F36"/>
    <w:rsid w:val="0F4A0448"/>
    <w:rsid w:val="0F5E2F5F"/>
    <w:rsid w:val="0F7574E4"/>
    <w:rsid w:val="0FB322E0"/>
    <w:rsid w:val="0FC25CC1"/>
    <w:rsid w:val="0FE673B1"/>
    <w:rsid w:val="0FFF1232"/>
    <w:rsid w:val="100A3203"/>
    <w:rsid w:val="10512CA1"/>
    <w:rsid w:val="1070432F"/>
    <w:rsid w:val="10953945"/>
    <w:rsid w:val="10CE13DD"/>
    <w:rsid w:val="10CF6BBB"/>
    <w:rsid w:val="10D64689"/>
    <w:rsid w:val="11017D8E"/>
    <w:rsid w:val="11086529"/>
    <w:rsid w:val="114B53B5"/>
    <w:rsid w:val="114C7098"/>
    <w:rsid w:val="11707A31"/>
    <w:rsid w:val="11B06C88"/>
    <w:rsid w:val="11C80201"/>
    <w:rsid w:val="11D7236B"/>
    <w:rsid w:val="11DD2B4B"/>
    <w:rsid w:val="12333415"/>
    <w:rsid w:val="124F5A15"/>
    <w:rsid w:val="12D44BF8"/>
    <w:rsid w:val="13327831"/>
    <w:rsid w:val="13497394"/>
    <w:rsid w:val="134E6759"/>
    <w:rsid w:val="134F24D1"/>
    <w:rsid w:val="13527FDC"/>
    <w:rsid w:val="13673919"/>
    <w:rsid w:val="137141F5"/>
    <w:rsid w:val="13811C89"/>
    <w:rsid w:val="13857CA0"/>
    <w:rsid w:val="1393060F"/>
    <w:rsid w:val="13C21CBD"/>
    <w:rsid w:val="1402149F"/>
    <w:rsid w:val="14055B55"/>
    <w:rsid w:val="14162E7E"/>
    <w:rsid w:val="147A383F"/>
    <w:rsid w:val="14C55859"/>
    <w:rsid w:val="14CB3BE7"/>
    <w:rsid w:val="14DC5FE6"/>
    <w:rsid w:val="14E153AA"/>
    <w:rsid w:val="15001CD4"/>
    <w:rsid w:val="1501500D"/>
    <w:rsid w:val="15655FDB"/>
    <w:rsid w:val="159D5775"/>
    <w:rsid w:val="15B42ABF"/>
    <w:rsid w:val="15DB629E"/>
    <w:rsid w:val="160E5211"/>
    <w:rsid w:val="161732A1"/>
    <w:rsid w:val="161E61F9"/>
    <w:rsid w:val="16916481"/>
    <w:rsid w:val="16B017A5"/>
    <w:rsid w:val="16B636D7"/>
    <w:rsid w:val="16B72867"/>
    <w:rsid w:val="16CA3C1D"/>
    <w:rsid w:val="16DE7DF3"/>
    <w:rsid w:val="16FA6608"/>
    <w:rsid w:val="17285529"/>
    <w:rsid w:val="174F344C"/>
    <w:rsid w:val="1765384A"/>
    <w:rsid w:val="17B3580D"/>
    <w:rsid w:val="17CE7E68"/>
    <w:rsid w:val="18094D71"/>
    <w:rsid w:val="181B5077"/>
    <w:rsid w:val="18307E6F"/>
    <w:rsid w:val="18492359"/>
    <w:rsid w:val="18506ACF"/>
    <w:rsid w:val="187529D9"/>
    <w:rsid w:val="189F6BBD"/>
    <w:rsid w:val="18D47A79"/>
    <w:rsid w:val="19094ED0"/>
    <w:rsid w:val="193B3B10"/>
    <w:rsid w:val="193B777F"/>
    <w:rsid w:val="195E521C"/>
    <w:rsid w:val="19946E8F"/>
    <w:rsid w:val="19A972F4"/>
    <w:rsid w:val="19FB6F0E"/>
    <w:rsid w:val="1A2C531A"/>
    <w:rsid w:val="1A362C81"/>
    <w:rsid w:val="1AC47300"/>
    <w:rsid w:val="1AD832C0"/>
    <w:rsid w:val="1AE856E5"/>
    <w:rsid w:val="1B6C5F6D"/>
    <w:rsid w:val="1B854318"/>
    <w:rsid w:val="1B93232C"/>
    <w:rsid w:val="1BC33A28"/>
    <w:rsid w:val="1BCF41AF"/>
    <w:rsid w:val="1BF65BDF"/>
    <w:rsid w:val="1BF77B09"/>
    <w:rsid w:val="1C3D2E25"/>
    <w:rsid w:val="1C4A1BA5"/>
    <w:rsid w:val="1C4E169E"/>
    <w:rsid w:val="1C69015F"/>
    <w:rsid w:val="1CBF06C7"/>
    <w:rsid w:val="1CBF41DC"/>
    <w:rsid w:val="1CC61A56"/>
    <w:rsid w:val="1CD001DE"/>
    <w:rsid w:val="1D125A68"/>
    <w:rsid w:val="1D167BBB"/>
    <w:rsid w:val="1D8F0F52"/>
    <w:rsid w:val="1DAE78AF"/>
    <w:rsid w:val="1DB45D52"/>
    <w:rsid w:val="1DBA5ADB"/>
    <w:rsid w:val="1E0E5C93"/>
    <w:rsid w:val="1E3A2827"/>
    <w:rsid w:val="1E4E3AB1"/>
    <w:rsid w:val="1E57048B"/>
    <w:rsid w:val="1E761259"/>
    <w:rsid w:val="1F0D3566"/>
    <w:rsid w:val="1F152820"/>
    <w:rsid w:val="1F6E1F30"/>
    <w:rsid w:val="1FAD0CAB"/>
    <w:rsid w:val="1FDB75C6"/>
    <w:rsid w:val="1FDE2C12"/>
    <w:rsid w:val="200F54C2"/>
    <w:rsid w:val="20502293"/>
    <w:rsid w:val="205B2D83"/>
    <w:rsid w:val="207672EF"/>
    <w:rsid w:val="20B036BB"/>
    <w:rsid w:val="20F77476"/>
    <w:rsid w:val="20F86914"/>
    <w:rsid w:val="211D5922"/>
    <w:rsid w:val="21442F49"/>
    <w:rsid w:val="21942F36"/>
    <w:rsid w:val="21A27CCD"/>
    <w:rsid w:val="21CF315A"/>
    <w:rsid w:val="21FA1314"/>
    <w:rsid w:val="22396826"/>
    <w:rsid w:val="2261728E"/>
    <w:rsid w:val="227656EC"/>
    <w:rsid w:val="227E36DD"/>
    <w:rsid w:val="227E692E"/>
    <w:rsid w:val="228D26CE"/>
    <w:rsid w:val="22D747E5"/>
    <w:rsid w:val="22FE5379"/>
    <w:rsid w:val="232209E8"/>
    <w:rsid w:val="23272B22"/>
    <w:rsid w:val="235D418E"/>
    <w:rsid w:val="23865A9B"/>
    <w:rsid w:val="23A058A5"/>
    <w:rsid w:val="23A10D9B"/>
    <w:rsid w:val="23AD34CF"/>
    <w:rsid w:val="241D689B"/>
    <w:rsid w:val="242B219E"/>
    <w:rsid w:val="24570D68"/>
    <w:rsid w:val="245B2104"/>
    <w:rsid w:val="246D5DF7"/>
    <w:rsid w:val="247E6772"/>
    <w:rsid w:val="248C6D02"/>
    <w:rsid w:val="24E465BA"/>
    <w:rsid w:val="24E5333D"/>
    <w:rsid w:val="24FB743C"/>
    <w:rsid w:val="251D242F"/>
    <w:rsid w:val="256A4F48"/>
    <w:rsid w:val="25991099"/>
    <w:rsid w:val="25A91F14"/>
    <w:rsid w:val="260675BC"/>
    <w:rsid w:val="264E3D0A"/>
    <w:rsid w:val="26795443"/>
    <w:rsid w:val="2693036E"/>
    <w:rsid w:val="26A06E73"/>
    <w:rsid w:val="26D92385"/>
    <w:rsid w:val="2727059E"/>
    <w:rsid w:val="272D5BED"/>
    <w:rsid w:val="272D6EE8"/>
    <w:rsid w:val="274F1A8E"/>
    <w:rsid w:val="275479A5"/>
    <w:rsid w:val="276019AC"/>
    <w:rsid w:val="278B7B24"/>
    <w:rsid w:val="27B715AE"/>
    <w:rsid w:val="27F05AFE"/>
    <w:rsid w:val="28355CE1"/>
    <w:rsid w:val="283D6944"/>
    <w:rsid w:val="28446FD6"/>
    <w:rsid w:val="286207CC"/>
    <w:rsid w:val="28AA68AE"/>
    <w:rsid w:val="28DA4193"/>
    <w:rsid w:val="28F33BD2"/>
    <w:rsid w:val="28F72F97"/>
    <w:rsid w:val="28FF3788"/>
    <w:rsid w:val="29244681"/>
    <w:rsid w:val="297665B1"/>
    <w:rsid w:val="29785E86"/>
    <w:rsid w:val="29CE4132"/>
    <w:rsid w:val="2A296ED7"/>
    <w:rsid w:val="2A503C36"/>
    <w:rsid w:val="2A86038C"/>
    <w:rsid w:val="2AD72D33"/>
    <w:rsid w:val="2AFC4894"/>
    <w:rsid w:val="2B1C0A93"/>
    <w:rsid w:val="2B7E13C1"/>
    <w:rsid w:val="2B822FEC"/>
    <w:rsid w:val="2B886128"/>
    <w:rsid w:val="2B8A22BE"/>
    <w:rsid w:val="2B930B58"/>
    <w:rsid w:val="2BA50C78"/>
    <w:rsid w:val="2BEC66B7"/>
    <w:rsid w:val="2C002162"/>
    <w:rsid w:val="2C0114B1"/>
    <w:rsid w:val="2C063F41"/>
    <w:rsid w:val="2C0C0B07"/>
    <w:rsid w:val="2C157061"/>
    <w:rsid w:val="2C2374BE"/>
    <w:rsid w:val="2C574478"/>
    <w:rsid w:val="2C673A8F"/>
    <w:rsid w:val="2C7D7E89"/>
    <w:rsid w:val="2C7E328D"/>
    <w:rsid w:val="2CA83863"/>
    <w:rsid w:val="2CB1385F"/>
    <w:rsid w:val="2CCA50A3"/>
    <w:rsid w:val="2D0A4F2F"/>
    <w:rsid w:val="2D2235D6"/>
    <w:rsid w:val="2D236923"/>
    <w:rsid w:val="2DB31B82"/>
    <w:rsid w:val="2DC23798"/>
    <w:rsid w:val="2DD73538"/>
    <w:rsid w:val="2DEA131C"/>
    <w:rsid w:val="2DEB3B9E"/>
    <w:rsid w:val="2DFB2511"/>
    <w:rsid w:val="2E4B1DBB"/>
    <w:rsid w:val="2E6211CD"/>
    <w:rsid w:val="2E767DED"/>
    <w:rsid w:val="2F1A178D"/>
    <w:rsid w:val="2F2712E9"/>
    <w:rsid w:val="2F731B20"/>
    <w:rsid w:val="2F992018"/>
    <w:rsid w:val="2F9C6646"/>
    <w:rsid w:val="2FC207F5"/>
    <w:rsid w:val="2FC23700"/>
    <w:rsid w:val="2FE11C77"/>
    <w:rsid w:val="303444E1"/>
    <w:rsid w:val="30640F12"/>
    <w:rsid w:val="309A4933"/>
    <w:rsid w:val="30D82203"/>
    <w:rsid w:val="30DA11D4"/>
    <w:rsid w:val="316E49FD"/>
    <w:rsid w:val="31873671"/>
    <w:rsid w:val="31A66B32"/>
    <w:rsid w:val="31B779E0"/>
    <w:rsid w:val="32136077"/>
    <w:rsid w:val="322C1F03"/>
    <w:rsid w:val="324E00CB"/>
    <w:rsid w:val="328906B1"/>
    <w:rsid w:val="328E2276"/>
    <w:rsid w:val="32B249E3"/>
    <w:rsid w:val="32D410A4"/>
    <w:rsid w:val="32EE540A"/>
    <w:rsid w:val="33484B1B"/>
    <w:rsid w:val="336B6F34"/>
    <w:rsid w:val="337069B1"/>
    <w:rsid w:val="33920A53"/>
    <w:rsid w:val="33A8229E"/>
    <w:rsid w:val="33F803C4"/>
    <w:rsid w:val="33FC3054"/>
    <w:rsid w:val="34007454"/>
    <w:rsid w:val="34034E4B"/>
    <w:rsid w:val="34496D9C"/>
    <w:rsid w:val="345E3ECA"/>
    <w:rsid w:val="346F70B3"/>
    <w:rsid w:val="348E47AF"/>
    <w:rsid w:val="348F2DC4"/>
    <w:rsid w:val="349B748B"/>
    <w:rsid w:val="34AA710F"/>
    <w:rsid w:val="350C0E67"/>
    <w:rsid w:val="35324811"/>
    <w:rsid w:val="35431F4B"/>
    <w:rsid w:val="354D5B96"/>
    <w:rsid w:val="35922B62"/>
    <w:rsid w:val="359B3A61"/>
    <w:rsid w:val="35A60CE0"/>
    <w:rsid w:val="35B86384"/>
    <w:rsid w:val="35BF16A5"/>
    <w:rsid w:val="35D365AE"/>
    <w:rsid w:val="366B52B2"/>
    <w:rsid w:val="36A607A3"/>
    <w:rsid w:val="36C0287A"/>
    <w:rsid w:val="36C1381E"/>
    <w:rsid w:val="375F355C"/>
    <w:rsid w:val="379E42AA"/>
    <w:rsid w:val="37AC2205"/>
    <w:rsid w:val="387C3355"/>
    <w:rsid w:val="38C649FE"/>
    <w:rsid w:val="38D50D9D"/>
    <w:rsid w:val="390A767A"/>
    <w:rsid w:val="39736484"/>
    <w:rsid w:val="39E44B94"/>
    <w:rsid w:val="3A54797C"/>
    <w:rsid w:val="3A7E0404"/>
    <w:rsid w:val="3AF6A8E6"/>
    <w:rsid w:val="3B111C96"/>
    <w:rsid w:val="3B1F4486"/>
    <w:rsid w:val="3B2C63A1"/>
    <w:rsid w:val="3B3D0D0E"/>
    <w:rsid w:val="3B3E0D00"/>
    <w:rsid w:val="3B8134E5"/>
    <w:rsid w:val="3BAE3989"/>
    <w:rsid w:val="3BE64ED1"/>
    <w:rsid w:val="3BEE7844"/>
    <w:rsid w:val="3BF96EED"/>
    <w:rsid w:val="3C1423E3"/>
    <w:rsid w:val="3C260E17"/>
    <w:rsid w:val="3C3825D2"/>
    <w:rsid w:val="3C396035"/>
    <w:rsid w:val="3C6D5396"/>
    <w:rsid w:val="3C8666B4"/>
    <w:rsid w:val="3C9B145D"/>
    <w:rsid w:val="3C9B392F"/>
    <w:rsid w:val="3C9C1A33"/>
    <w:rsid w:val="3CA1704A"/>
    <w:rsid w:val="3CCC2553"/>
    <w:rsid w:val="3CFF70E3"/>
    <w:rsid w:val="3D182A5D"/>
    <w:rsid w:val="3D3E3399"/>
    <w:rsid w:val="3D7E738B"/>
    <w:rsid w:val="3D8B150A"/>
    <w:rsid w:val="3D9D3CB5"/>
    <w:rsid w:val="3DC079A3"/>
    <w:rsid w:val="3DD551FD"/>
    <w:rsid w:val="3DF92F6C"/>
    <w:rsid w:val="3E82133C"/>
    <w:rsid w:val="3E922BFA"/>
    <w:rsid w:val="3E9B6273"/>
    <w:rsid w:val="3EEA4CD8"/>
    <w:rsid w:val="3F232CCD"/>
    <w:rsid w:val="3F5860E5"/>
    <w:rsid w:val="3F6251B6"/>
    <w:rsid w:val="3FAE4FD7"/>
    <w:rsid w:val="3FDC222E"/>
    <w:rsid w:val="3FDF0A86"/>
    <w:rsid w:val="3FE46C09"/>
    <w:rsid w:val="40224945"/>
    <w:rsid w:val="4050500F"/>
    <w:rsid w:val="405C1C05"/>
    <w:rsid w:val="407B6EE6"/>
    <w:rsid w:val="4157515E"/>
    <w:rsid w:val="41CC6917"/>
    <w:rsid w:val="41FB672E"/>
    <w:rsid w:val="42027889"/>
    <w:rsid w:val="42142DDD"/>
    <w:rsid w:val="42197369"/>
    <w:rsid w:val="421A3B26"/>
    <w:rsid w:val="423933AC"/>
    <w:rsid w:val="424F7C3E"/>
    <w:rsid w:val="427F1BDB"/>
    <w:rsid w:val="42C74BBC"/>
    <w:rsid w:val="42E0430D"/>
    <w:rsid w:val="42E2654A"/>
    <w:rsid w:val="42FA74B4"/>
    <w:rsid w:val="43234C5C"/>
    <w:rsid w:val="432753A0"/>
    <w:rsid w:val="433B0142"/>
    <w:rsid w:val="43630F0D"/>
    <w:rsid w:val="43AF0267"/>
    <w:rsid w:val="43E94EB5"/>
    <w:rsid w:val="44584755"/>
    <w:rsid w:val="44623562"/>
    <w:rsid w:val="447F5EC2"/>
    <w:rsid w:val="44A20892"/>
    <w:rsid w:val="44C63AF1"/>
    <w:rsid w:val="452A22D2"/>
    <w:rsid w:val="45351213"/>
    <w:rsid w:val="456D0411"/>
    <w:rsid w:val="45C94743"/>
    <w:rsid w:val="45D408ED"/>
    <w:rsid w:val="45F16C14"/>
    <w:rsid w:val="4635619F"/>
    <w:rsid w:val="467745BF"/>
    <w:rsid w:val="46F04E55"/>
    <w:rsid w:val="47134FE8"/>
    <w:rsid w:val="477E5975"/>
    <w:rsid w:val="47893C13"/>
    <w:rsid w:val="47AB6FCE"/>
    <w:rsid w:val="47AE3C7F"/>
    <w:rsid w:val="47C87B80"/>
    <w:rsid w:val="47E70FDD"/>
    <w:rsid w:val="47F00E85"/>
    <w:rsid w:val="48684B97"/>
    <w:rsid w:val="489D725F"/>
    <w:rsid w:val="48E8431E"/>
    <w:rsid w:val="48EF5C94"/>
    <w:rsid w:val="48FF75D2"/>
    <w:rsid w:val="491A265E"/>
    <w:rsid w:val="492B657E"/>
    <w:rsid w:val="498643AD"/>
    <w:rsid w:val="49947E77"/>
    <w:rsid w:val="49AE2A46"/>
    <w:rsid w:val="49D02F4C"/>
    <w:rsid w:val="4A140A56"/>
    <w:rsid w:val="4A1B73DF"/>
    <w:rsid w:val="4A294A1E"/>
    <w:rsid w:val="4A2D016F"/>
    <w:rsid w:val="4A897088"/>
    <w:rsid w:val="4AA260EE"/>
    <w:rsid w:val="4AD60806"/>
    <w:rsid w:val="4B062D0A"/>
    <w:rsid w:val="4B603D34"/>
    <w:rsid w:val="4BD016F9"/>
    <w:rsid w:val="4BD811B4"/>
    <w:rsid w:val="4C034503"/>
    <w:rsid w:val="4C0A0409"/>
    <w:rsid w:val="4C1405F0"/>
    <w:rsid w:val="4C2B06EF"/>
    <w:rsid w:val="4C5D6CDA"/>
    <w:rsid w:val="4C6E368C"/>
    <w:rsid w:val="4CFE2A3C"/>
    <w:rsid w:val="4D04550C"/>
    <w:rsid w:val="4D14442E"/>
    <w:rsid w:val="4D14583C"/>
    <w:rsid w:val="4D243AAB"/>
    <w:rsid w:val="4D862070"/>
    <w:rsid w:val="4DD32D11"/>
    <w:rsid w:val="4E136DFE"/>
    <w:rsid w:val="4E30022D"/>
    <w:rsid w:val="4E5215FF"/>
    <w:rsid w:val="4E5263F6"/>
    <w:rsid w:val="4EF43951"/>
    <w:rsid w:val="4F1A4513"/>
    <w:rsid w:val="4F267DA4"/>
    <w:rsid w:val="4F29399F"/>
    <w:rsid w:val="4F5120FD"/>
    <w:rsid w:val="4FAC6F7C"/>
    <w:rsid w:val="4FD9122A"/>
    <w:rsid w:val="4FDF7A27"/>
    <w:rsid w:val="4FEC0898"/>
    <w:rsid w:val="4FF97471"/>
    <w:rsid w:val="504F7091"/>
    <w:rsid w:val="50C91E5B"/>
    <w:rsid w:val="51173005"/>
    <w:rsid w:val="5118183C"/>
    <w:rsid w:val="514270AC"/>
    <w:rsid w:val="517C154E"/>
    <w:rsid w:val="51D028F4"/>
    <w:rsid w:val="5235048B"/>
    <w:rsid w:val="530A1C4A"/>
    <w:rsid w:val="530F32D1"/>
    <w:rsid w:val="53163E96"/>
    <w:rsid w:val="53E53868"/>
    <w:rsid w:val="53F377A8"/>
    <w:rsid w:val="54161C73"/>
    <w:rsid w:val="544467E1"/>
    <w:rsid w:val="5448352C"/>
    <w:rsid w:val="54C17E31"/>
    <w:rsid w:val="54CE39DA"/>
    <w:rsid w:val="550003BB"/>
    <w:rsid w:val="55560EC1"/>
    <w:rsid w:val="55572544"/>
    <w:rsid w:val="555F262D"/>
    <w:rsid w:val="5588094F"/>
    <w:rsid w:val="55A416BE"/>
    <w:rsid w:val="55B313E4"/>
    <w:rsid w:val="55DD7E19"/>
    <w:rsid w:val="562A64B1"/>
    <w:rsid w:val="563B1020"/>
    <w:rsid w:val="56890300"/>
    <w:rsid w:val="568F44C0"/>
    <w:rsid w:val="56B714EC"/>
    <w:rsid w:val="56CD5FAA"/>
    <w:rsid w:val="56D8626A"/>
    <w:rsid w:val="56DB248B"/>
    <w:rsid w:val="56E110C5"/>
    <w:rsid w:val="56FF9597"/>
    <w:rsid w:val="570D4FD5"/>
    <w:rsid w:val="57176094"/>
    <w:rsid w:val="571B334A"/>
    <w:rsid w:val="57386AE5"/>
    <w:rsid w:val="57435475"/>
    <w:rsid w:val="57503B75"/>
    <w:rsid w:val="5755059A"/>
    <w:rsid w:val="575925A3"/>
    <w:rsid w:val="577C12BD"/>
    <w:rsid w:val="577F04CF"/>
    <w:rsid w:val="57B7458C"/>
    <w:rsid w:val="57C03B2D"/>
    <w:rsid w:val="57E321C5"/>
    <w:rsid w:val="583059FA"/>
    <w:rsid w:val="58443253"/>
    <w:rsid w:val="585A4825"/>
    <w:rsid w:val="586C0C22"/>
    <w:rsid w:val="58B17B02"/>
    <w:rsid w:val="58DA3B1D"/>
    <w:rsid w:val="58F32920"/>
    <w:rsid w:val="590B04B0"/>
    <w:rsid w:val="591744DE"/>
    <w:rsid w:val="593257A1"/>
    <w:rsid w:val="595E4D6C"/>
    <w:rsid w:val="597C6A1D"/>
    <w:rsid w:val="59C77D2F"/>
    <w:rsid w:val="59C90178"/>
    <w:rsid w:val="59CD2D06"/>
    <w:rsid w:val="59CE3076"/>
    <w:rsid w:val="59CF2FF0"/>
    <w:rsid w:val="59D02D61"/>
    <w:rsid w:val="5A236E98"/>
    <w:rsid w:val="5A274BDA"/>
    <w:rsid w:val="5A422574"/>
    <w:rsid w:val="5A7F35FF"/>
    <w:rsid w:val="5AA61FA3"/>
    <w:rsid w:val="5AD0484F"/>
    <w:rsid w:val="5AD72BA4"/>
    <w:rsid w:val="5B3F0422"/>
    <w:rsid w:val="5B652B29"/>
    <w:rsid w:val="5BCC3C8B"/>
    <w:rsid w:val="5C166CB5"/>
    <w:rsid w:val="5C4D1B8B"/>
    <w:rsid w:val="5C5A1297"/>
    <w:rsid w:val="5C642116"/>
    <w:rsid w:val="5C700ABB"/>
    <w:rsid w:val="5CDA663B"/>
    <w:rsid w:val="5D015BB7"/>
    <w:rsid w:val="5D08145C"/>
    <w:rsid w:val="5D4775B0"/>
    <w:rsid w:val="5D5A2597"/>
    <w:rsid w:val="5D7213A6"/>
    <w:rsid w:val="5D785B1D"/>
    <w:rsid w:val="5DC77775"/>
    <w:rsid w:val="5DD24E5D"/>
    <w:rsid w:val="5DF96273"/>
    <w:rsid w:val="5E086AD1"/>
    <w:rsid w:val="5E121036"/>
    <w:rsid w:val="5E19648E"/>
    <w:rsid w:val="5E345746"/>
    <w:rsid w:val="5E3C1299"/>
    <w:rsid w:val="5E5636F0"/>
    <w:rsid w:val="5E5E4943"/>
    <w:rsid w:val="5E6F0663"/>
    <w:rsid w:val="5E9D4ADC"/>
    <w:rsid w:val="5EA20CD3"/>
    <w:rsid w:val="5EAB639B"/>
    <w:rsid w:val="5EB105E3"/>
    <w:rsid w:val="5EBC0AC2"/>
    <w:rsid w:val="5ED30E8D"/>
    <w:rsid w:val="5F7E3B7D"/>
    <w:rsid w:val="5F8779E4"/>
    <w:rsid w:val="5FAD8199"/>
    <w:rsid w:val="5FB61B7A"/>
    <w:rsid w:val="5FD51FFE"/>
    <w:rsid w:val="5FFD4B30"/>
    <w:rsid w:val="6008100A"/>
    <w:rsid w:val="603B7B7C"/>
    <w:rsid w:val="607246D5"/>
    <w:rsid w:val="60757B11"/>
    <w:rsid w:val="60C0101F"/>
    <w:rsid w:val="60CA630C"/>
    <w:rsid w:val="60F6493D"/>
    <w:rsid w:val="60F670B5"/>
    <w:rsid w:val="61186978"/>
    <w:rsid w:val="61570FD8"/>
    <w:rsid w:val="6162226C"/>
    <w:rsid w:val="61BC3A28"/>
    <w:rsid w:val="61C93D52"/>
    <w:rsid w:val="61D4389A"/>
    <w:rsid w:val="62175535"/>
    <w:rsid w:val="621869EF"/>
    <w:rsid w:val="624429BE"/>
    <w:rsid w:val="625A3C53"/>
    <w:rsid w:val="62C97CB4"/>
    <w:rsid w:val="62D358FF"/>
    <w:rsid w:val="62E80F01"/>
    <w:rsid w:val="630614A4"/>
    <w:rsid w:val="63701956"/>
    <w:rsid w:val="639604DE"/>
    <w:rsid w:val="63ED4121"/>
    <w:rsid w:val="6422595E"/>
    <w:rsid w:val="64E00356"/>
    <w:rsid w:val="64F51A75"/>
    <w:rsid w:val="64FA1718"/>
    <w:rsid w:val="6547333C"/>
    <w:rsid w:val="657C227E"/>
    <w:rsid w:val="65845B78"/>
    <w:rsid w:val="65962B90"/>
    <w:rsid w:val="65DC0F6F"/>
    <w:rsid w:val="668A4715"/>
    <w:rsid w:val="66C67529"/>
    <w:rsid w:val="66D548B4"/>
    <w:rsid w:val="66D71736"/>
    <w:rsid w:val="66F81DD8"/>
    <w:rsid w:val="67533306"/>
    <w:rsid w:val="678B49FB"/>
    <w:rsid w:val="678E0092"/>
    <w:rsid w:val="67A21D44"/>
    <w:rsid w:val="67A4608E"/>
    <w:rsid w:val="67C9121E"/>
    <w:rsid w:val="680451C6"/>
    <w:rsid w:val="6825006A"/>
    <w:rsid w:val="68BA7664"/>
    <w:rsid w:val="68CE2DE6"/>
    <w:rsid w:val="699062FE"/>
    <w:rsid w:val="69C51D1A"/>
    <w:rsid w:val="69DD57B4"/>
    <w:rsid w:val="69F90250"/>
    <w:rsid w:val="6A004944"/>
    <w:rsid w:val="6A0876D4"/>
    <w:rsid w:val="6A20202B"/>
    <w:rsid w:val="6AA10091"/>
    <w:rsid w:val="6AEB67B1"/>
    <w:rsid w:val="6AEF48D2"/>
    <w:rsid w:val="6AF705F9"/>
    <w:rsid w:val="6B5A594E"/>
    <w:rsid w:val="6B6E08BB"/>
    <w:rsid w:val="6BC5DEA2"/>
    <w:rsid w:val="6BD149A6"/>
    <w:rsid w:val="6C327B3B"/>
    <w:rsid w:val="6C4B6506"/>
    <w:rsid w:val="6C862377"/>
    <w:rsid w:val="6C9A123C"/>
    <w:rsid w:val="6D0806B0"/>
    <w:rsid w:val="6D1941CD"/>
    <w:rsid w:val="6D7A42CB"/>
    <w:rsid w:val="6D8C5028"/>
    <w:rsid w:val="6DBD0F57"/>
    <w:rsid w:val="6DD056EA"/>
    <w:rsid w:val="6E1C3C65"/>
    <w:rsid w:val="6E325F16"/>
    <w:rsid w:val="6E423408"/>
    <w:rsid w:val="6E7066F8"/>
    <w:rsid w:val="6F443237"/>
    <w:rsid w:val="6F525DEB"/>
    <w:rsid w:val="6FC2539E"/>
    <w:rsid w:val="6FE62566"/>
    <w:rsid w:val="70194B6E"/>
    <w:rsid w:val="70545730"/>
    <w:rsid w:val="70947ADF"/>
    <w:rsid w:val="709F5073"/>
    <w:rsid w:val="70BC0869"/>
    <w:rsid w:val="710E6311"/>
    <w:rsid w:val="7116647D"/>
    <w:rsid w:val="7144249D"/>
    <w:rsid w:val="714E6327"/>
    <w:rsid w:val="715220E5"/>
    <w:rsid w:val="716F713B"/>
    <w:rsid w:val="717F6C52"/>
    <w:rsid w:val="71866788"/>
    <w:rsid w:val="71E75018"/>
    <w:rsid w:val="71EF7BCF"/>
    <w:rsid w:val="721B68C6"/>
    <w:rsid w:val="72275320"/>
    <w:rsid w:val="72B33057"/>
    <w:rsid w:val="72F94A2A"/>
    <w:rsid w:val="730218E9"/>
    <w:rsid w:val="7322669A"/>
    <w:rsid w:val="73267FE3"/>
    <w:rsid w:val="73D30C2C"/>
    <w:rsid w:val="73E86FB1"/>
    <w:rsid w:val="73F51790"/>
    <w:rsid w:val="742618DC"/>
    <w:rsid w:val="745148D6"/>
    <w:rsid w:val="74F66DA3"/>
    <w:rsid w:val="74FE61C0"/>
    <w:rsid w:val="75655BD7"/>
    <w:rsid w:val="757B1E35"/>
    <w:rsid w:val="757C5983"/>
    <w:rsid w:val="759407A9"/>
    <w:rsid w:val="75BA64AB"/>
    <w:rsid w:val="75D12FF1"/>
    <w:rsid w:val="75EA6167"/>
    <w:rsid w:val="75ED4AD2"/>
    <w:rsid w:val="75F35871"/>
    <w:rsid w:val="76D96E05"/>
    <w:rsid w:val="76EC5E93"/>
    <w:rsid w:val="77745D55"/>
    <w:rsid w:val="77764653"/>
    <w:rsid w:val="777EC162"/>
    <w:rsid w:val="77BB15C0"/>
    <w:rsid w:val="77BD06FD"/>
    <w:rsid w:val="77D218DD"/>
    <w:rsid w:val="77DD31BE"/>
    <w:rsid w:val="77E31CE9"/>
    <w:rsid w:val="7812540E"/>
    <w:rsid w:val="78591FAB"/>
    <w:rsid w:val="787C436E"/>
    <w:rsid w:val="78E56D61"/>
    <w:rsid w:val="79110AD8"/>
    <w:rsid w:val="794D5679"/>
    <w:rsid w:val="79627585"/>
    <w:rsid w:val="797A2F8F"/>
    <w:rsid w:val="799373FA"/>
    <w:rsid w:val="79A96F62"/>
    <w:rsid w:val="79C627E8"/>
    <w:rsid w:val="7A4E3666"/>
    <w:rsid w:val="7A7A445B"/>
    <w:rsid w:val="7A916B6A"/>
    <w:rsid w:val="7AB91427"/>
    <w:rsid w:val="7AD70D39"/>
    <w:rsid w:val="7AEC5358"/>
    <w:rsid w:val="7AF3C532"/>
    <w:rsid w:val="7B1B3E90"/>
    <w:rsid w:val="7B3C3A81"/>
    <w:rsid w:val="7B9F3CD4"/>
    <w:rsid w:val="7BEE6157"/>
    <w:rsid w:val="7BFC659F"/>
    <w:rsid w:val="7C1C3A1B"/>
    <w:rsid w:val="7C43757F"/>
    <w:rsid w:val="7C716683"/>
    <w:rsid w:val="7CC65D4B"/>
    <w:rsid w:val="7D07647A"/>
    <w:rsid w:val="7D185668"/>
    <w:rsid w:val="7D442047"/>
    <w:rsid w:val="7D4476CE"/>
    <w:rsid w:val="7D4E5D96"/>
    <w:rsid w:val="7DE13420"/>
    <w:rsid w:val="7DF01CAC"/>
    <w:rsid w:val="7E3727B8"/>
    <w:rsid w:val="7E6B79EA"/>
    <w:rsid w:val="7E752216"/>
    <w:rsid w:val="7E7AA133"/>
    <w:rsid w:val="7EB97D70"/>
    <w:rsid w:val="7EC46660"/>
    <w:rsid w:val="7EC62364"/>
    <w:rsid w:val="7F0E567A"/>
    <w:rsid w:val="7F1906E6"/>
    <w:rsid w:val="7F211A97"/>
    <w:rsid w:val="7F221B36"/>
    <w:rsid w:val="7F3379FA"/>
    <w:rsid w:val="7F6E1276"/>
    <w:rsid w:val="7FE36771"/>
    <w:rsid w:val="7FF56A5D"/>
    <w:rsid w:val="7FFF6EFF"/>
    <w:rsid w:val="7FFFB802"/>
    <w:rsid w:val="BD7B0A50"/>
    <w:rsid w:val="CBFF29F2"/>
    <w:rsid w:val="DB6FCC8F"/>
    <w:rsid w:val="DD7F0371"/>
    <w:rsid w:val="EBFFC121"/>
    <w:rsid w:val="EFD7522F"/>
    <w:rsid w:val="F86F5658"/>
    <w:rsid w:val="FBEA127A"/>
    <w:rsid w:val="FF1D9D96"/>
    <w:rsid w:val="FFBEB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keepLines/>
      <w:spacing w:before="340" w:after="330" w:line="576" w:lineRule="auto"/>
      <w:jc w:val="center"/>
      <w:outlineLvl w:val="0"/>
    </w:pPr>
    <w:rPr>
      <w:b/>
      <w:bCs/>
      <w:kern w:val="44"/>
      <w:sz w:val="44"/>
      <w:szCs w:val="44"/>
    </w:rPr>
  </w:style>
  <w:style w:type="paragraph" w:styleId="3">
    <w:name w:val="heading 2"/>
    <w:basedOn w:val="1"/>
    <w:next w:val="1"/>
    <w:link w:val="62"/>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60"/>
    <w:qFormat/>
    <w:uiPriority w:val="99"/>
    <w:pPr>
      <w:keepNext/>
      <w:keepLines/>
      <w:spacing w:before="20" w:after="20" w:line="415" w:lineRule="auto"/>
      <w:ind w:firstLine="137" w:firstLineChars="49"/>
      <w:outlineLvl w:val="2"/>
    </w:pPr>
    <w:rPr>
      <w:rFonts w:hAnsi="黑体" w:eastAsia="黑体"/>
      <w:sz w:val="24"/>
      <w:szCs w:val="20"/>
    </w:rPr>
  </w:style>
  <w:style w:type="paragraph" w:styleId="5">
    <w:name w:val="heading 4"/>
    <w:basedOn w:val="1"/>
    <w:next w:val="1"/>
    <w:link w:val="63"/>
    <w:qFormat/>
    <w:uiPriority w:val="99"/>
    <w:pPr>
      <w:keepNext/>
      <w:keepLines/>
      <w:spacing w:before="280" w:after="290" w:line="374" w:lineRule="auto"/>
      <w:outlineLvl w:val="3"/>
    </w:pPr>
    <w:rPr>
      <w:rFonts w:hint="eastAsia" w:ascii="Cambria" w:hAnsi="Cambria"/>
      <w:b/>
      <w:sz w:val="28"/>
      <w:szCs w:val="20"/>
    </w:rPr>
  </w:style>
  <w:style w:type="paragraph" w:styleId="6">
    <w:name w:val="heading 5"/>
    <w:basedOn w:val="1"/>
    <w:next w:val="1"/>
    <w:link w:val="64"/>
    <w:qFormat/>
    <w:uiPriority w:val="0"/>
    <w:pPr>
      <w:keepNext/>
      <w:keepLines/>
      <w:spacing w:before="280" w:after="290" w:line="376" w:lineRule="auto"/>
      <w:outlineLvl w:val="4"/>
    </w:pPr>
    <w:rPr>
      <w:b/>
      <w:bCs/>
      <w:sz w:val="28"/>
      <w:szCs w:val="28"/>
    </w:rPr>
  </w:style>
  <w:style w:type="paragraph" w:styleId="7">
    <w:name w:val="heading 6"/>
    <w:basedOn w:val="1"/>
    <w:next w:val="1"/>
    <w:link w:val="65"/>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66"/>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67"/>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68"/>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w:basedOn w:val="1"/>
    <w:qFormat/>
    <w:uiPriority w:val="0"/>
    <w:pPr>
      <w:widowControl/>
      <w:numPr>
        <w:ilvl w:val="0"/>
        <w:numId w:val="1"/>
      </w:numPr>
      <w:tabs>
        <w:tab w:val="left" w:pos="454"/>
        <w:tab w:val="left" w:pos="720"/>
      </w:tabs>
      <w:spacing w:after="156" w:afterLines="50"/>
      <w:ind w:left="454" w:hanging="284"/>
      <w:jc w:val="left"/>
    </w:pPr>
    <w:rPr>
      <w:kern w:val="0"/>
      <w:sz w:val="24"/>
      <w:szCs w:val="20"/>
    </w:rPr>
  </w:style>
  <w:style w:type="paragraph" w:styleId="13">
    <w:name w:val="Normal Indent"/>
    <w:basedOn w:val="1"/>
    <w:next w:val="1"/>
    <w:link w:val="69"/>
    <w:qFormat/>
    <w:uiPriority w:val="0"/>
    <w:pPr>
      <w:ind w:firstLine="420"/>
    </w:pPr>
    <w:rPr>
      <w:b/>
      <w:sz w:val="24"/>
      <w:szCs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0"/>
    <w:qFormat/>
    <w:uiPriority w:val="0"/>
    <w:pPr>
      <w:shd w:val="clear" w:color="auto" w:fill="000080"/>
    </w:pPr>
  </w:style>
  <w:style w:type="paragraph" w:styleId="16">
    <w:name w:val="annotation text"/>
    <w:basedOn w:val="1"/>
    <w:link w:val="71"/>
    <w:unhideWhenUsed/>
    <w:qFormat/>
    <w:uiPriority w:val="99"/>
    <w:pPr>
      <w:jc w:val="left"/>
    </w:pPr>
    <w:rPr>
      <w:szCs w:val="20"/>
    </w:rPr>
  </w:style>
  <w:style w:type="paragraph" w:styleId="17">
    <w:name w:val="Body Text 3"/>
    <w:basedOn w:val="1"/>
    <w:link w:val="72"/>
    <w:qFormat/>
    <w:uiPriority w:val="0"/>
    <w:rPr>
      <w:rFonts w:ascii="宋体"/>
      <w:sz w:val="24"/>
      <w:szCs w:val="20"/>
    </w:rPr>
  </w:style>
  <w:style w:type="paragraph" w:styleId="18">
    <w:name w:val="Body Text"/>
    <w:basedOn w:val="1"/>
    <w:link w:val="73"/>
    <w:qFormat/>
    <w:uiPriority w:val="0"/>
    <w:pPr>
      <w:spacing w:after="120"/>
    </w:pPr>
  </w:style>
  <w:style w:type="paragraph" w:styleId="19">
    <w:name w:val="Body Text Indent"/>
    <w:basedOn w:val="1"/>
    <w:link w:val="74"/>
    <w:qFormat/>
    <w:uiPriority w:val="0"/>
    <w:pPr>
      <w:spacing w:line="360" w:lineRule="auto"/>
      <w:ind w:firstLine="420"/>
    </w:pPr>
    <w:rPr>
      <w:rFonts w:ascii="宋体"/>
      <w:sz w:val="24"/>
      <w:szCs w:val="20"/>
    </w:rPr>
  </w:style>
  <w:style w:type="paragraph" w:styleId="20">
    <w:name w:val="List Number 3"/>
    <w:basedOn w:val="1"/>
    <w:qFormat/>
    <w:uiPriority w:val="0"/>
    <w:pPr>
      <w:numPr>
        <w:ilvl w:val="0"/>
        <w:numId w:val="2"/>
      </w:numPr>
      <w:tabs>
        <w:tab w:val="left" w:pos="1200"/>
      </w:tabs>
    </w:pPr>
  </w:style>
  <w:style w:type="paragraph" w:styleId="21">
    <w:name w:val="List 2"/>
    <w:basedOn w:val="1"/>
    <w:qFormat/>
    <w:uiPriority w:val="0"/>
    <w:pPr>
      <w:ind w:left="100" w:leftChars="200" w:hanging="200" w:hangingChars="200"/>
    </w:pPr>
    <w:rPr>
      <w:sz w:val="28"/>
    </w:rPr>
  </w:style>
  <w:style w:type="paragraph" w:styleId="22">
    <w:name w:val="Block Text"/>
    <w:basedOn w:val="1"/>
    <w:qFormat/>
    <w:uiPriority w:val="0"/>
    <w:pPr>
      <w:spacing w:line="360" w:lineRule="exact"/>
      <w:ind w:left="1548" w:leftChars="-857" w:right="12" w:rightChars="12" w:hanging="2405" w:hangingChars="2405"/>
    </w:pPr>
    <w:rPr>
      <w:rFonts w:ascii="宋体"/>
      <w:bCs/>
      <w:sz w:val="28"/>
      <w:szCs w:val="22"/>
    </w:rPr>
  </w:style>
  <w:style w:type="paragraph" w:styleId="23">
    <w:name w:val="toc 5"/>
    <w:basedOn w:val="1"/>
    <w:next w:val="1"/>
    <w:qFormat/>
    <w:uiPriority w:val="39"/>
    <w:pPr>
      <w:ind w:left="1680" w:leftChars="800"/>
    </w:pPr>
  </w:style>
  <w:style w:type="paragraph" w:styleId="24">
    <w:name w:val="toc 3"/>
    <w:basedOn w:val="1"/>
    <w:next w:val="1"/>
    <w:qFormat/>
    <w:uiPriority w:val="39"/>
    <w:pPr>
      <w:ind w:left="840" w:leftChars="400"/>
      <w:jc w:val="left"/>
    </w:pPr>
  </w:style>
  <w:style w:type="paragraph" w:styleId="25">
    <w:name w:val="Plain Text"/>
    <w:basedOn w:val="1"/>
    <w:link w:val="75"/>
    <w:qFormat/>
    <w:uiPriority w:val="0"/>
    <w:rPr>
      <w:rFonts w:ascii="宋体" w:hAnsi="Courier New"/>
      <w:sz w:val="28"/>
      <w:szCs w:val="20"/>
    </w:rPr>
  </w:style>
  <w:style w:type="paragraph" w:styleId="26">
    <w:name w:val="toc 8"/>
    <w:basedOn w:val="1"/>
    <w:next w:val="1"/>
    <w:qFormat/>
    <w:uiPriority w:val="39"/>
    <w:pPr>
      <w:ind w:left="2940" w:leftChars="1400"/>
    </w:pPr>
  </w:style>
  <w:style w:type="paragraph" w:styleId="27">
    <w:name w:val="Date"/>
    <w:basedOn w:val="1"/>
    <w:next w:val="1"/>
    <w:qFormat/>
    <w:uiPriority w:val="0"/>
    <w:pPr>
      <w:ind w:left="100" w:leftChars="2500"/>
    </w:pPr>
  </w:style>
  <w:style w:type="paragraph" w:styleId="28">
    <w:name w:val="Body Text Indent 2"/>
    <w:basedOn w:val="1"/>
    <w:link w:val="76"/>
    <w:qFormat/>
    <w:uiPriority w:val="0"/>
    <w:pPr>
      <w:spacing w:line="420" w:lineRule="exact"/>
      <w:ind w:firstLine="525"/>
    </w:pPr>
    <w:rPr>
      <w:rFonts w:ascii="宋体"/>
      <w:szCs w:val="20"/>
    </w:rPr>
  </w:style>
  <w:style w:type="paragraph" w:styleId="29">
    <w:name w:val="Balloon Text"/>
    <w:basedOn w:val="1"/>
    <w:link w:val="77"/>
    <w:unhideWhenUsed/>
    <w:qFormat/>
    <w:uiPriority w:val="99"/>
    <w:rPr>
      <w:sz w:val="18"/>
      <w:szCs w:val="18"/>
    </w:rPr>
  </w:style>
  <w:style w:type="paragraph" w:styleId="30">
    <w:name w:val="footer"/>
    <w:basedOn w:val="1"/>
    <w:link w:val="78"/>
    <w:qFormat/>
    <w:uiPriority w:val="99"/>
    <w:pPr>
      <w:tabs>
        <w:tab w:val="center" w:pos="4153"/>
        <w:tab w:val="right" w:pos="8306"/>
      </w:tabs>
      <w:snapToGrid w:val="0"/>
      <w:jc w:val="left"/>
    </w:pPr>
    <w:rPr>
      <w:sz w:val="18"/>
      <w:szCs w:val="20"/>
    </w:rPr>
  </w:style>
  <w:style w:type="paragraph" w:styleId="31">
    <w:name w:val="envelope return"/>
    <w:basedOn w:val="1"/>
    <w:qFormat/>
    <w:uiPriority w:val="0"/>
    <w:pPr>
      <w:snapToGrid w:val="0"/>
    </w:pPr>
    <w:rPr>
      <w:rFonts w:ascii="Arial" w:hAnsi="Arial"/>
    </w:rPr>
  </w:style>
  <w:style w:type="paragraph" w:styleId="32">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33">
    <w:name w:val="toc 1"/>
    <w:basedOn w:val="1"/>
    <w:next w:val="1"/>
    <w:qFormat/>
    <w:uiPriority w:val="39"/>
    <w:pPr>
      <w:jc w:val="left"/>
    </w:pPr>
  </w:style>
  <w:style w:type="paragraph" w:styleId="34">
    <w:name w:val="toc 4"/>
    <w:basedOn w:val="1"/>
    <w:next w:val="1"/>
    <w:qFormat/>
    <w:uiPriority w:val="39"/>
    <w:pPr>
      <w:ind w:left="1260" w:leftChars="600"/>
    </w:pPr>
  </w:style>
  <w:style w:type="paragraph" w:styleId="35">
    <w:name w:val="Subtitle"/>
    <w:basedOn w:val="1"/>
    <w:next w:val="1"/>
    <w:link w:val="80"/>
    <w:qFormat/>
    <w:uiPriority w:val="11"/>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rPr>
      <w:sz w:val="28"/>
    </w:rPr>
  </w:style>
  <w:style w:type="paragraph" w:styleId="37">
    <w:name w:val="footnote text"/>
    <w:basedOn w:val="1"/>
    <w:link w:val="81"/>
    <w:qFormat/>
    <w:uiPriority w:val="0"/>
    <w:rPr>
      <w:sz w:val="20"/>
      <w:szCs w:val="20"/>
    </w:rPr>
  </w:style>
  <w:style w:type="paragraph" w:styleId="38">
    <w:name w:val="toc 6"/>
    <w:basedOn w:val="1"/>
    <w:next w:val="1"/>
    <w:qFormat/>
    <w:uiPriority w:val="39"/>
    <w:pPr>
      <w:ind w:left="2100" w:leftChars="1000"/>
    </w:pPr>
  </w:style>
  <w:style w:type="paragraph" w:styleId="39">
    <w:name w:val="Body Text Indent 3"/>
    <w:basedOn w:val="1"/>
    <w:link w:val="82"/>
    <w:qFormat/>
    <w:uiPriority w:val="0"/>
    <w:pPr>
      <w:spacing w:after="120"/>
      <w:ind w:left="420" w:leftChars="200"/>
    </w:pPr>
    <w:rPr>
      <w:sz w:val="16"/>
      <w:szCs w:val="16"/>
    </w:rPr>
  </w:style>
  <w:style w:type="paragraph" w:styleId="40">
    <w:name w:val="table of figures"/>
    <w:basedOn w:val="1"/>
    <w:next w:val="1"/>
    <w:qFormat/>
    <w:uiPriority w:val="0"/>
    <w:pPr>
      <w:ind w:left="200" w:leftChars="200" w:hanging="200" w:hangingChars="200"/>
    </w:pPr>
  </w:style>
  <w:style w:type="paragraph" w:styleId="41">
    <w:name w:val="toc 2"/>
    <w:basedOn w:val="1"/>
    <w:next w:val="1"/>
    <w:qFormat/>
    <w:uiPriority w:val="39"/>
    <w:pPr>
      <w:ind w:left="420" w:leftChars="200"/>
      <w:jc w:val="left"/>
    </w:pPr>
  </w:style>
  <w:style w:type="paragraph" w:styleId="42">
    <w:name w:val="toc 9"/>
    <w:basedOn w:val="1"/>
    <w:next w:val="1"/>
    <w:qFormat/>
    <w:uiPriority w:val="39"/>
    <w:pPr>
      <w:ind w:left="3360" w:leftChars="1600"/>
    </w:pPr>
  </w:style>
  <w:style w:type="paragraph" w:styleId="43">
    <w:name w:val="Body Text 2"/>
    <w:basedOn w:val="1"/>
    <w:link w:val="83"/>
    <w:qFormat/>
    <w:uiPriority w:val="0"/>
    <w:pPr>
      <w:widowControl/>
      <w:snapToGrid w:val="0"/>
      <w:spacing w:before="50" w:after="156" w:afterLines="50" w:line="400" w:lineRule="exact"/>
      <w:jc w:val="left"/>
    </w:pPr>
    <w:rPr>
      <w:rFonts w:ascii="宋体" w:hAnsi="宋体"/>
      <w:color w:val="000000"/>
      <w:sz w:val="24"/>
    </w:rPr>
  </w:style>
  <w:style w:type="paragraph" w:styleId="44">
    <w:name w:val="List Continue 2"/>
    <w:basedOn w:val="1"/>
    <w:qFormat/>
    <w:uiPriority w:val="0"/>
    <w:pPr>
      <w:spacing w:after="120"/>
      <w:ind w:left="840"/>
    </w:pPr>
  </w:style>
  <w:style w:type="paragraph" w:styleId="4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6">
    <w:name w:val="Title"/>
    <w:basedOn w:val="1"/>
    <w:link w:val="84"/>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7">
    <w:name w:val="annotation subject"/>
    <w:basedOn w:val="16"/>
    <w:next w:val="16"/>
    <w:link w:val="85"/>
    <w:qFormat/>
    <w:uiPriority w:val="0"/>
    <w:rPr>
      <w:b/>
      <w:bCs/>
      <w:szCs w:val="24"/>
    </w:rPr>
  </w:style>
  <w:style w:type="paragraph" w:styleId="48">
    <w:name w:val="Body Text First Indent"/>
    <w:basedOn w:val="18"/>
    <w:qFormat/>
    <w:uiPriority w:val="0"/>
    <w:pPr>
      <w:widowControl w:val="0"/>
      <w:spacing w:line="360" w:lineRule="auto"/>
      <w:ind w:firstLine="200" w:firstLineChars="200"/>
      <w:jc w:val="both"/>
    </w:pPr>
    <w:rPr>
      <w:rFonts w:ascii="仿宋_GB2312" w:hAnsi="Arial" w:eastAsia="仿宋_GB2312" w:cs="Times New Roman"/>
      <w:kern w:val="2"/>
      <w:sz w:val="30"/>
      <w:szCs w:val="30"/>
      <w:lang w:val="en-US" w:eastAsia="zh-CN" w:bidi="ar-SA"/>
    </w:rPr>
  </w:style>
  <w:style w:type="paragraph" w:styleId="49">
    <w:name w:val="Body Text First Indent 2"/>
    <w:basedOn w:val="19"/>
    <w:next w:val="13"/>
    <w:qFormat/>
    <w:uiPriority w:val="0"/>
    <w:pPr>
      <w:spacing w:after="120"/>
      <w:ind w:left="200" w:leftChars="200" w:firstLine="200" w:firstLineChars="200"/>
    </w:pPr>
    <w:rPr>
      <w:rFonts w:ascii="Times New Roman"/>
      <w:kern w:val="0"/>
      <w:szCs w:val="24"/>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bCs/>
    </w:rPr>
  </w:style>
  <w:style w:type="character" w:styleId="54">
    <w:name w:val="page number"/>
    <w:qFormat/>
    <w:uiPriority w:val="0"/>
  </w:style>
  <w:style w:type="character" w:styleId="55">
    <w:name w:val="FollowedHyperlink"/>
    <w:basedOn w:val="52"/>
    <w:qFormat/>
    <w:uiPriority w:val="0"/>
    <w:rPr>
      <w:color w:val="800080"/>
      <w:u w:val="none"/>
    </w:rPr>
  </w:style>
  <w:style w:type="character" w:styleId="56">
    <w:name w:val="Emphasis"/>
    <w:qFormat/>
    <w:uiPriority w:val="20"/>
    <w:rPr>
      <w:i/>
      <w:iCs/>
    </w:rPr>
  </w:style>
  <w:style w:type="character" w:styleId="57">
    <w:name w:val="Hyperlink"/>
    <w:basedOn w:val="52"/>
    <w:qFormat/>
    <w:uiPriority w:val="99"/>
    <w:rPr>
      <w:color w:val="0000FF"/>
      <w:u w:val="none"/>
    </w:rPr>
  </w:style>
  <w:style w:type="character" w:styleId="58">
    <w:name w:val="annotation reference"/>
    <w:qFormat/>
    <w:uiPriority w:val="0"/>
    <w:rPr>
      <w:sz w:val="21"/>
      <w:szCs w:val="21"/>
    </w:rPr>
  </w:style>
  <w:style w:type="character" w:styleId="59">
    <w:name w:val="footnote reference"/>
    <w:qFormat/>
    <w:uiPriority w:val="0"/>
    <w:rPr>
      <w:vertAlign w:val="superscript"/>
    </w:rPr>
  </w:style>
  <w:style w:type="character" w:customStyle="1" w:styleId="60">
    <w:name w:val="标题 3 Char1"/>
    <w:link w:val="4"/>
    <w:unhideWhenUsed/>
    <w:qFormat/>
    <w:uiPriority w:val="99"/>
    <w:rPr>
      <w:rFonts w:hint="default" w:hAnsi="黑体" w:eastAsia="黑体"/>
      <w:kern w:val="2"/>
      <w:sz w:val="24"/>
    </w:rPr>
  </w:style>
  <w:style w:type="character" w:customStyle="1" w:styleId="61">
    <w:name w:val="标题 1 Char"/>
    <w:link w:val="2"/>
    <w:qFormat/>
    <w:uiPriority w:val="0"/>
    <w:rPr>
      <w:b/>
      <w:bCs/>
      <w:kern w:val="44"/>
      <w:sz w:val="44"/>
      <w:szCs w:val="44"/>
    </w:rPr>
  </w:style>
  <w:style w:type="character" w:customStyle="1" w:styleId="62">
    <w:name w:val="标题 2 Char"/>
    <w:link w:val="3"/>
    <w:qFormat/>
    <w:uiPriority w:val="0"/>
    <w:rPr>
      <w:rFonts w:ascii="Arial" w:hAnsi="Arial" w:eastAsia="黑体"/>
      <w:b/>
      <w:bCs/>
      <w:kern w:val="2"/>
      <w:sz w:val="32"/>
      <w:szCs w:val="32"/>
    </w:rPr>
  </w:style>
  <w:style w:type="character" w:customStyle="1" w:styleId="63">
    <w:name w:val="标题 4 Char1"/>
    <w:link w:val="5"/>
    <w:unhideWhenUsed/>
    <w:qFormat/>
    <w:uiPriority w:val="99"/>
    <w:rPr>
      <w:rFonts w:hint="eastAsia" w:ascii="Cambria" w:hAnsi="Cambria" w:eastAsia="宋体"/>
      <w:b/>
      <w:kern w:val="2"/>
      <w:sz w:val="28"/>
    </w:rPr>
  </w:style>
  <w:style w:type="character" w:customStyle="1" w:styleId="64">
    <w:name w:val="标题 5 Char"/>
    <w:link w:val="6"/>
    <w:qFormat/>
    <w:uiPriority w:val="0"/>
    <w:rPr>
      <w:b/>
      <w:bCs/>
      <w:kern w:val="2"/>
      <w:sz w:val="28"/>
      <w:szCs w:val="28"/>
    </w:rPr>
  </w:style>
  <w:style w:type="character" w:customStyle="1" w:styleId="65">
    <w:name w:val="标题 6 Char"/>
    <w:link w:val="7"/>
    <w:qFormat/>
    <w:uiPriority w:val="0"/>
    <w:rPr>
      <w:rFonts w:ascii="Arial" w:hAnsi="Arial" w:eastAsia="黑体"/>
      <w:b/>
      <w:bCs/>
      <w:sz w:val="24"/>
      <w:szCs w:val="24"/>
    </w:rPr>
  </w:style>
  <w:style w:type="character" w:customStyle="1" w:styleId="66">
    <w:name w:val="标题 7 Char"/>
    <w:link w:val="8"/>
    <w:qFormat/>
    <w:uiPriority w:val="0"/>
    <w:rPr>
      <w:b/>
      <w:bCs/>
      <w:sz w:val="24"/>
      <w:szCs w:val="24"/>
    </w:rPr>
  </w:style>
  <w:style w:type="character" w:customStyle="1" w:styleId="67">
    <w:name w:val="标题 8 Char"/>
    <w:link w:val="9"/>
    <w:qFormat/>
    <w:uiPriority w:val="0"/>
    <w:rPr>
      <w:rFonts w:ascii="Arial" w:hAnsi="Arial" w:eastAsia="黑体"/>
      <w:sz w:val="24"/>
      <w:szCs w:val="24"/>
    </w:rPr>
  </w:style>
  <w:style w:type="character" w:customStyle="1" w:styleId="68">
    <w:name w:val="标题 9 Char"/>
    <w:link w:val="10"/>
    <w:qFormat/>
    <w:uiPriority w:val="0"/>
    <w:rPr>
      <w:rFonts w:ascii="Arial" w:hAnsi="Arial" w:eastAsia="黑体"/>
      <w:sz w:val="21"/>
      <w:szCs w:val="21"/>
    </w:rPr>
  </w:style>
  <w:style w:type="character" w:customStyle="1" w:styleId="69">
    <w:name w:val="正文缩进 Char"/>
    <w:link w:val="13"/>
    <w:qFormat/>
    <w:uiPriority w:val="0"/>
    <w:rPr>
      <w:b/>
      <w:kern w:val="2"/>
      <w:sz w:val="24"/>
    </w:rPr>
  </w:style>
  <w:style w:type="character" w:customStyle="1" w:styleId="70">
    <w:name w:val="文档结构图 Char"/>
    <w:link w:val="15"/>
    <w:qFormat/>
    <w:uiPriority w:val="0"/>
    <w:rPr>
      <w:kern w:val="2"/>
      <w:sz w:val="21"/>
      <w:szCs w:val="24"/>
      <w:shd w:val="clear" w:color="auto" w:fill="000080"/>
    </w:rPr>
  </w:style>
  <w:style w:type="character" w:customStyle="1" w:styleId="71">
    <w:name w:val="批注文字 Char1"/>
    <w:link w:val="16"/>
    <w:semiHidden/>
    <w:qFormat/>
    <w:uiPriority w:val="99"/>
    <w:rPr>
      <w:kern w:val="2"/>
      <w:sz w:val="21"/>
    </w:rPr>
  </w:style>
  <w:style w:type="character" w:customStyle="1" w:styleId="72">
    <w:name w:val="正文文本 3 Char"/>
    <w:link w:val="17"/>
    <w:qFormat/>
    <w:uiPriority w:val="0"/>
    <w:rPr>
      <w:rFonts w:ascii="宋体"/>
      <w:kern w:val="2"/>
      <w:sz w:val="24"/>
    </w:rPr>
  </w:style>
  <w:style w:type="character" w:customStyle="1" w:styleId="73">
    <w:name w:val="正文文本 Char"/>
    <w:link w:val="18"/>
    <w:qFormat/>
    <w:uiPriority w:val="0"/>
    <w:rPr>
      <w:kern w:val="2"/>
      <w:sz w:val="21"/>
      <w:szCs w:val="24"/>
    </w:rPr>
  </w:style>
  <w:style w:type="character" w:customStyle="1" w:styleId="74">
    <w:name w:val="正文文本缩进 Char"/>
    <w:link w:val="19"/>
    <w:qFormat/>
    <w:uiPriority w:val="0"/>
    <w:rPr>
      <w:rFonts w:ascii="宋体"/>
      <w:kern w:val="2"/>
      <w:sz w:val="24"/>
    </w:rPr>
  </w:style>
  <w:style w:type="character" w:customStyle="1" w:styleId="75">
    <w:name w:val="纯文本 Char"/>
    <w:link w:val="25"/>
    <w:qFormat/>
    <w:uiPriority w:val="0"/>
    <w:rPr>
      <w:rFonts w:ascii="宋体" w:hAnsi="Courier New"/>
      <w:kern w:val="2"/>
      <w:sz w:val="28"/>
    </w:rPr>
  </w:style>
  <w:style w:type="character" w:customStyle="1" w:styleId="76">
    <w:name w:val="正文文本缩进 2 Char"/>
    <w:link w:val="28"/>
    <w:qFormat/>
    <w:uiPriority w:val="0"/>
    <w:rPr>
      <w:rFonts w:ascii="宋体"/>
      <w:kern w:val="2"/>
      <w:sz w:val="21"/>
    </w:rPr>
  </w:style>
  <w:style w:type="character" w:customStyle="1" w:styleId="77">
    <w:name w:val="批注框文本 Char"/>
    <w:link w:val="29"/>
    <w:semiHidden/>
    <w:qFormat/>
    <w:uiPriority w:val="99"/>
    <w:rPr>
      <w:kern w:val="2"/>
      <w:sz w:val="18"/>
      <w:szCs w:val="18"/>
    </w:rPr>
  </w:style>
  <w:style w:type="character" w:customStyle="1" w:styleId="78">
    <w:name w:val="页脚 Char1"/>
    <w:link w:val="30"/>
    <w:unhideWhenUsed/>
    <w:qFormat/>
    <w:uiPriority w:val="99"/>
    <w:rPr>
      <w:rFonts w:hint="default" w:eastAsia="宋体"/>
      <w:kern w:val="2"/>
      <w:sz w:val="18"/>
    </w:rPr>
  </w:style>
  <w:style w:type="character" w:customStyle="1" w:styleId="79">
    <w:name w:val="页眉 Char1"/>
    <w:link w:val="32"/>
    <w:unhideWhenUsed/>
    <w:qFormat/>
    <w:uiPriority w:val="99"/>
    <w:rPr>
      <w:rFonts w:hint="default" w:eastAsia="宋体"/>
      <w:kern w:val="2"/>
      <w:sz w:val="18"/>
      <w:lang w:val="en-US" w:eastAsia="zh-CN"/>
    </w:rPr>
  </w:style>
  <w:style w:type="character" w:customStyle="1" w:styleId="80">
    <w:name w:val="副标题 Char"/>
    <w:link w:val="35"/>
    <w:qFormat/>
    <w:uiPriority w:val="11"/>
    <w:rPr>
      <w:rFonts w:ascii="Cambria" w:hAnsi="Cambria" w:cs="Times New Roman"/>
      <w:b/>
      <w:bCs/>
      <w:kern w:val="28"/>
      <w:sz w:val="32"/>
      <w:szCs w:val="32"/>
    </w:rPr>
  </w:style>
  <w:style w:type="character" w:customStyle="1" w:styleId="81">
    <w:name w:val="脚注文本 Char"/>
    <w:link w:val="37"/>
    <w:qFormat/>
    <w:uiPriority w:val="0"/>
    <w:rPr>
      <w:kern w:val="2"/>
    </w:rPr>
  </w:style>
  <w:style w:type="character" w:customStyle="1" w:styleId="82">
    <w:name w:val="正文文本缩进 3 Char"/>
    <w:link w:val="39"/>
    <w:qFormat/>
    <w:uiPriority w:val="0"/>
    <w:rPr>
      <w:kern w:val="2"/>
      <w:sz w:val="16"/>
      <w:szCs w:val="16"/>
    </w:rPr>
  </w:style>
  <w:style w:type="character" w:customStyle="1" w:styleId="83">
    <w:name w:val="正文文本 2 Char"/>
    <w:link w:val="43"/>
    <w:qFormat/>
    <w:uiPriority w:val="0"/>
    <w:rPr>
      <w:rFonts w:ascii="宋体" w:hAnsi="宋体"/>
      <w:color w:val="000000"/>
      <w:kern w:val="2"/>
      <w:sz w:val="24"/>
      <w:szCs w:val="24"/>
    </w:rPr>
  </w:style>
  <w:style w:type="character" w:customStyle="1" w:styleId="84">
    <w:name w:val="标题 Char"/>
    <w:link w:val="46"/>
    <w:qFormat/>
    <w:uiPriority w:val="0"/>
    <w:rPr>
      <w:rFonts w:ascii="Arial" w:hAnsi="Arial"/>
      <w:b/>
      <w:sz w:val="32"/>
    </w:rPr>
  </w:style>
  <w:style w:type="character" w:customStyle="1" w:styleId="85">
    <w:name w:val="批注主题 Char"/>
    <w:link w:val="47"/>
    <w:qFormat/>
    <w:uiPriority w:val="0"/>
    <w:rPr>
      <w:b/>
      <w:bCs/>
      <w:kern w:val="2"/>
      <w:sz w:val="21"/>
      <w:szCs w:val="24"/>
    </w:rPr>
  </w:style>
  <w:style w:type="paragraph" w:customStyle="1" w:styleId="8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8">
    <w:name w:val="标题 4 Char"/>
    <w:qFormat/>
    <w:uiPriority w:val="0"/>
    <w:rPr>
      <w:rFonts w:ascii="Arial" w:hAnsi="Arial" w:eastAsia="黑体"/>
      <w:b/>
      <w:bCs/>
      <w:kern w:val="2"/>
      <w:sz w:val="28"/>
      <w:szCs w:val="28"/>
    </w:rPr>
  </w:style>
  <w:style w:type="character" w:customStyle="1" w:styleId="89">
    <w:name w:val="页眉 Char"/>
    <w:qFormat/>
    <w:uiPriority w:val="0"/>
    <w:rPr>
      <w:kern w:val="2"/>
      <w:sz w:val="18"/>
    </w:rPr>
  </w:style>
  <w:style w:type="character" w:customStyle="1" w:styleId="90">
    <w:name w:val="引用 Char"/>
    <w:link w:val="91"/>
    <w:qFormat/>
    <w:uiPriority w:val="29"/>
    <w:rPr>
      <w:i/>
      <w:iCs/>
      <w:color w:val="000000"/>
      <w:kern w:val="2"/>
      <w:sz w:val="21"/>
      <w:szCs w:val="24"/>
    </w:rPr>
  </w:style>
  <w:style w:type="paragraph" w:styleId="91">
    <w:name w:val="Quote"/>
    <w:basedOn w:val="1"/>
    <w:next w:val="1"/>
    <w:link w:val="90"/>
    <w:qFormat/>
    <w:uiPriority w:val="29"/>
    <w:rPr>
      <w:i/>
      <w:iCs/>
      <w:color w:val="000000"/>
    </w:rPr>
  </w:style>
  <w:style w:type="character" w:customStyle="1" w:styleId="92">
    <w:name w:val="标题 3 Char"/>
    <w:qFormat/>
    <w:uiPriority w:val="0"/>
    <w:rPr>
      <w:rFonts w:ascii="黑体" w:hAnsi="宋体" w:eastAsia="黑体"/>
      <w:bCs/>
      <w:kern w:val="2"/>
      <w:sz w:val="28"/>
      <w:szCs w:val="28"/>
    </w:rPr>
  </w:style>
  <w:style w:type="character" w:customStyle="1" w:styleId="93">
    <w:name w:val="正文文本 (2) + 9 pt1"/>
    <w:qFormat/>
    <w:uiPriority w:val="0"/>
    <w:rPr>
      <w:rFonts w:ascii="Times New Roman" w:hAnsi="Times New Roman" w:cs="Times New Roman"/>
      <w:b/>
      <w:bCs/>
      <w:spacing w:val="-20"/>
      <w:sz w:val="18"/>
      <w:szCs w:val="18"/>
      <w:u w:val="none"/>
      <w:shd w:val="clear" w:color="auto" w:fill="FFFFFF"/>
      <w:lang w:val="en-US" w:eastAsia="en-US"/>
    </w:rPr>
  </w:style>
  <w:style w:type="character" w:customStyle="1" w:styleId="94">
    <w:name w:val="ca-3"/>
    <w:basedOn w:val="52"/>
    <w:qFormat/>
    <w:uiPriority w:val="0"/>
  </w:style>
  <w:style w:type="character" w:customStyle="1" w:styleId="95">
    <w:name w:val="Char Char2"/>
    <w:qFormat/>
    <w:uiPriority w:val="0"/>
    <w:rPr>
      <w:rFonts w:eastAsia="宋体"/>
      <w:kern w:val="2"/>
      <w:sz w:val="21"/>
      <w:szCs w:val="24"/>
      <w:lang w:val="en-US" w:eastAsia="zh-CN" w:bidi="ar-SA"/>
    </w:rPr>
  </w:style>
  <w:style w:type="character" w:customStyle="1" w:styleId="96">
    <w:name w:val="Char Char7"/>
    <w:qFormat/>
    <w:uiPriority w:val="0"/>
    <w:rPr>
      <w:rFonts w:ascii="Arial" w:hAnsi="Arial" w:eastAsia="黑体"/>
      <w:b/>
      <w:bCs/>
      <w:kern w:val="2"/>
      <w:sz w:val="32"/>
      <w:szCs w:val="32"/>
      <w:lang w:val="en-US" w:eastAsia="zh-CN" w:bidi="ar-SA"/>
    </w:rPr>
  </w:style>
  <w:style w:type="character" w:customStyle="1" w:styleId="97">
    <w:name w:val="正文文本 (4) + 5.5 pt"/>
    <w:qFormat/>
    <w:uiPriority w:val="0"/>
    <w:rPr>
      <w:b/>
      <w:bCs/>
      <w:spacing w:val="0"/>
      <w:sz w:val="11"/>
      <w:szCs w:val="11"/>
      <w:shd w:val="clear" w:color="auto" w:fill="FFFFFF"/>
      <w:lang w:eastAsia="en-US"/>
    </w:rPr>
  </w:style>
  <w:style w:type="character" w:customStyle="1" w:styleId="98">
    <w:name w:val="_Style 97"/>
    <w:qFormat/>
    <w:uiPriority w:val="32"/>
    <w:rPr>
      <w:b/>
      <w:bCs/>
      <w:smallCaps/>
      <w:color w:val="C0504D"/>
      <w:spacing w:val="5"/>
      <w:u w:val="single"/>
    </w:rPr>
  </w:style>
  <w:style w:type="character" w:customStyle="1" w:styleId="99">
    <w:name w:val="正文文本 (2)_"/>
    <w:link w:val="100"/>
    <w:qFormat/>
    <w:locked/>
    <w:uiPriority w:val="0"/>
    <w:rPr>
      <w:sz w:val="11"/>
      <w:szCs w:val="11"/>
      <w:shd w:val="clear" w:color="auto" w:fill="FFFFFF"/>
    </w:rPr>
  </w:style>
  <w:style w:type="paragraph" w:customStyle="1" w:styleId="100">
    <w:name w:val="正文文本 (2)"/>
    <w:basedOn w:val="1"/>
    <w:link w:val="99"/>
    <w:qFormat/>
    <w:uiPriority w:val="0"/>
    <w:pPr>
      <w:shd w:val="clear" w:color="auto" w:fill="FFFFFF"/>
      <w:spacing w:line="308" w:lineRule="exact"/>
      <w:jc w:val="center"/>
    </w:pPr>
    <w:rPr>
      <w:kern w:val="0"/>
      <w:sz w:val="11"/>
      <w:szCs w:val="11"/>
    </w:rPr>
  </w:style>
  <w:style w:type="character" w:customStyle="1" w:styleId="101">
    <w:name w:val="页脚 Char"/>
    <w:qFormat/>
    <w:uiPriority w:val="0"/>
    <w:rPr>
      <w:kern w:val="2"/>
      <w:sz w:val="18"/>
    </w:rPr>
  </w:style>
  <w:style w:type="character" w:customStyle="1" w:styleId="102">
    <w:name w:val="Char Char"/>
    <w:qFormat/>
    <w:uiPriority w:val="0"/>
    <w:rPr>
      <w:rFonts w:ascii="Arial" w:hAnsi="Arial" w:eastAsia="黑体"/>
      <w:b/>
      <w:bCs/>
      <w:kern w:val="2"/>
      <w:sz w:val="32"/>
      <w:szCs w:val="32"/>
      <w:lang w:val="en-US" w:eastAsia="zh-CN" w:bidi="ar-SA"/>
    </w:rPr>
  </w:style>
  <w:style w:type="character" w:customStyle="1" w:styleId="103">
    <w:name w:val="正文文本 (3)_"/>
    <w:link w:val="104"/>
    <w:qFormat/>
    <w:locked/>
    <w:uiPriority w:val="0"/>
    <w:rPr>
      <w:sz w:val="11"/>
      <w:szCs w:val="11"/>
      <w:shd w:val="clear" w:color="auto" w:fill="FFFFFF"/>
    </w:rPr>
  </w:style>
  <w:style w:type="paragraph" w:customStyle="1" w:styleId="104">
    <w:name w:val="正文文本 (3)"/>
    <w:basedOn w:val="1"/>
    <w:link w:val="103"/>
    <w:qFormat/>
    <w:uiPriority w:val="0"/>
    <w:pPr>
      <w:shd w:val="clear" w:color="auto" w:fill="FFFFFF"/>
      <w:spacing w:line="240" w:lineRule="atLeast"/>
    </w:pPr>
    <w:rPr>
      <w:kern w:val="0"/>
      <w:sz w:val="11"/>
      <w:szCs w:val="11"/>
    </w:rPr>
  </w:style>
  <w:style w:type="character" w:customStyle="1" w:styleId="105">
    <w:name w:val="Char Char8"/>
    <w:qFormat/>
    <w:uiPriority w:val="0"/>
    <w:rPr>
      <w:rFonts w:ascii="Arial" w:hAnsi="Arial" w:eastAsia="黑体"/>
      <w:b/>
      <w:bCs/>
      <w:kern w:val="2"/>
      <w:sz w:val="32"/>
      <w:szCs w:val="32"/>
      <w:lang w:val="en-US" w:eastAsia="zh-CN" w:bidi="ar-SA"/>
    </w:rPr>
  </w:style>
  <w:style w:type="character" w:customStyle="1" w:styleId="106">
    <w:name w:val="正文文本 (3) + 9 pt"/>
    <w:qFormat/>
    <w:uiPriority w:val="0"/>
    <w:rPr>
      <w:rFonts w:ascii="Times New Roman" w:hAnsi="Times New Roman"/>
      <w:b/>
      <w:bCs/>
      <w:spacing w:val="20"/>
      <w:sz w:val="18"/>
      <w:szCs w:val="18"/>
      <w:shd w:val="clear" w:color="auto" w:fill="FFFFFF"/>
      <w:lang w:val="en-US" w:eastAsia="en-US"/>
    </w:rPr>
  </w:style>
  <w:style w:type="character" w:customStyle="1" w:styleId="107">
    <w:name w:val="正文文本 (3) + 10 pt"/>
    <w:qFormat/>
    <w:uiPriority w:val="0"/>
    <w:rPr>
      <w:rFonts w:ascii="Times New Roman" w:hAnsi="Times New Roman"/>
      <w:sz w:val="20"/>
      <w:szCs w:val="20"/>
      <w:shd w:val="clear" w:color="auto" w:fill="FFFFFF"/>
    </w:rPr>
  </w:style>
  <w:style w:type="character" w:customStyle="1" w:styleId="108">
    <w:name w:val="Char Char14"/>
    <w:qFormat/>
    <w:uiPriority w:val="0"/>
    <w:rPr>
      <w:rFonts w:ascii="宋体" w:hAnsi="Courier New" w:eastAsia="楷体_GB2312"/>
      <w:kern w:val="2"/>
      <w:sz w:val="28"/>
      <w:lang w:val="en-US" w:eastAsia="zh-CN" w:bidi="ar-SA"/>
    </w:rPr>
  </w:style>
  <w:style w:type="character" w:customStyle="1" w:styleId="109">
    <w:name w:val="_Style 108"/>
    <w:qFormat/>
    <w:uiPriority w:val="21"/>
    <w:rPr>
      <w:b/>
      <w:bCs/>
      <w:i/>
      <w:iCs/>
      <w:color w:val="4F81BD"/>
    </w:rPr>
  </w:style>
  <w:style w:type="character" w:customStyle="1" w:styleId="110">
    <w:name w:val="font161"/>
    <w:qFormat/>
    <w:uiPriority w:val="0"/>
    <w:rPr>
      <w:b/>
      <w:bCs/>
      <w:sz w:val="32"/>
      <w:szCs w:val="32"/>
    </w:rPr>
  </w:style>
  <w:style w:type="character" w:customStyle="1" w:styleId="111">
    <w:name w:val="批注文字 Char"/>
    <w:qFormat/>
    <w:uiPriority w:val="0"/>
    <w:rPr>
      <w:rFonts w:eastAsia="宋体"/>
      <w:kern w:val="2"/>
      <w:sz w:val="21"/>
      <w:szCs w:val="24"/>
      <w:lang w:val="en-US" w:eastAsia="zh-CN" w:bidi="ar-SA"/>
    </w:rPr>
  </w:style>
  <w:style w:type="character" w:customStyle="1" w:styleId="112">
    <w:name w:val="_Style 111"/>
    <w:qFormat/>
    <w:uiPriority w:val="33"/>
    <w:rPr>
      <w:b/>
      <w:bCs/>
      <w:smallCaps/>
      <w:spacing w:val="5"/>
    </w:rPr>
  </w:style>
  <w:style w:type="character" w:customStyle="1" w:styleId="113">
    <w:name w:val="样式 Char"/>
    <w:link w:val="114"/>
    <w:qFormat/>
    <w:uiPriority w:val="0"/>
    <w:rPr>
      <w:rFonts w:ascii="宋体" w:hAnsi="宋体" w:cs="宋体"/>
      <w:sz w:val="24"/>
      <w:szCs w:val="24"/>
      <w:lang w:val="en-US" w:eastAsia="zh-CN" w:bidi="ar-SA"/>
    </w:rPr>
  </w:style>
  <w:style w:type="paragraph" w:customStyle="1" w:styleId="114">
    <w:name w:val="样式"/>
    <w:link w:val="113"/>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15">
    <w:name w:val="正文文本 (4)_"/>
    <w:link w:val="116"/>
    <w:qFormat/>
    <w:locked/>
    <w:uiPriority w:val="0"/>
    <w:rPr>
      <w:b/>
      <w:bCs/>
      <w:spacing w:val="20"/>
      <w:sz w:val="18"/>
      <w:szCs w:val="18"/>
      <w:shd w:val="clear" w:color="auto" w:fill="FFFFFF"/>
      <w:lang w:eastAsia="en-US"/>
    </w:rPr>
  </w:style>
  <w:style w:type="paragraph" w:customStyle="1" w:styleId="116">
    <w:name w:val="正文文本 (4)"/>
    <w:basedOn w:val="1"/>
    <w:link w:val="115"/>
    <w:qFormat/>
    <w:uiPriority w:val="0"/>
    <w:pPr>
      <w:shd w:val="clear" w:color="auto" w:fill="FFFFFF"/>
      <w:spacing w:line="240" w:lineRule="atLeast"/>
      <w:jc w:val="center"/>
    </w:pPr>
    <w:rPr>
      <w:b/>
      <w:bCs/>
      <w:spacing w:val="20"/>
      <w:kern w:val="0"/>
      <w:sz w:val="18"/>
      <w:szCs w:val="18"/>
      <w:lang w:eastAsia="en-US"/>
    </w:rPr>
  </w:style>
  <w:style w:type="character" w:customStyle="1" w:styleId="117">
    <w:name w:val="_Style 116"/>
    <w:qFormat/>
    <w:uiPriority w:val="31"/>
    <w:rPr>
      <w:smallCaps/>
      <w:color w:val="C0504D"/>
      <w:u w:val="single"/>
    </w:rPr>
  </w:style>
  <w:style w:type="character" w:customStyle="1" w:styleId="118">
    <w:name w:val="明显引用 Char"/>
    <w:link w:val="119"/>
    <w:qFormat/>
    <w:uiPriority w:val="30"/>
    <w:rPr>
      <w:b/>
      <w:bCs/>
      <w:i/>
      <w:iCs/>
      <w:color w:val="4F81BD"/>
      <w:kern w:val="2"/>
      <w:sz w:val="21"/>
      <w:szCs w:val="24"/>
    </w:rPr>
  </w:style>
  <w:style w:type="paragraph" w:styleId="119">
    <w:name w:val="Intense Quote"/>
    <w:basedOn w:val="1"/>
    <w:next w:val="1"/>
    <w:link w:val="118"/>
    <w:qFormat/>
    <w:uiPriority w:val="30"/>
    <w:pPr>
      <w:pBdr>
        <w:bottom w:val="single" w:color="4F81BD" w:sz="4" w:space="4"/>
      </w:pBdr>
      <w:spacing w:before="200" w:after="280"/>
      <w:ind w:left="936" w:right="936"/>
    </w:pPr>
    <w:rPr>
      <w:b/>
      <w:bCs/>
      <w:i/>
      <w:iCs/>
      <w:color w:val="4F81BD"/>
    </w:rPr>
  </w:style>
  <w:style w:type="character" w:customStyle="1" w:styleId="120">
    <w:name w:val="_Style 119"/>
    <w:qFormat/>
    <w:uiPriority w:val="19"/>
    <w:rPr>
      <w:i/>
      <w:iCs/>
      <w:color w:val="808080"/>
    </w:rPr>
  </w:style>
  <w:style w:type="character" w:customStyle="1" w:styleId="121">
    <w:name w:val="正文文本 (2) + 9 pt"/>
    <w:qFormat/>
    <w:uiPriority w:val="0"/>
    <w:rPr>
      <w:rFonts w:ascii="Times New Roman" w:hAnsi="Times New Roman"/>
      <w:b/>
      <w:bCs/>
      <w:spacing w:val="20"/>
      <w:sz w:val="18"/>
      <w:szCs w:val="18"/>
      <w:shd w:val="clear" w:color="auto" w:fill="FFFFFF"/>
      <w:lang w:val="en-US" w:eastAsia="en-US"/>
    </w:rPr>
  </w:style>
  <w:style w:type="character" w:customStyle="1" w:styleId="122">
    <w:name w:val="无间隔 Char"/>
    <w:link w:val="123"/>
    <w:qFormat/>
    <w:uiPriority w:val="1"/>
    <w:rPr>
      <w:kern w:val="2"/>
      <w:sz w:val="21"/>
      <w:szCs w:val="24"/>
      <w:lang w:val="en-US" w:eastAsia="zh-CN" w:bidi="ar-SA"/>
    </w:rPr>
  </w:style>
  <w:style w:type="paragraph" w:styleId="123">
    <w:name w:val="No Spacing"/>
    <w:link w:val="12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Char Char5"/>
    <w:basedOn w:val="15"/>
    <w:qFormat/>
    <w:uiPriority w:val="0"/>
    <w:pPr>
      <w:adjustRightInd w:val="0"/>
      <w:spacing w:line="436" w:lineRule="exact"/>
      <w:ind w:left="357"/>
      <w:jc w:val="left"/>
      <w:outlineLvl w:val="3"/>
    </w:pPr>
    <w:rPr>
      <w:color w:val="000000"/>
      <w:kern w:val="0"/>
      <w:szCs w:val="20"/>
      <w:u w:color="000000"/>
    </w:rPr>
  </w:style>
  <w:style w:type="paragraph" w:customStyle="1" w:styleId="125">
    <w:name w:val="pa-5"/>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注"/>
    <w:basedOn w:val="1"/>
    <w:qFormat/>
    <w:uiPriority w:val="0"/>
    <w:pPr>
      <w:adjustRightInd w:val="0"/>
      <w:spacing w:line="360" w:lineRule="atLeast"/>
      <w:ind w:left="840" w:hanging="420"/>
      <w:textAlignment w:val="baseline"/>
    </w:pPr>
    <w:rPr>
      <w:kern w:val="0"/>
      <w:szCs w:val="20"/>
    </w:rPr>
  </w:style>
  <w:style w:type="paragraph" w:customStyle="1" w:styleId="127">
    <w:name w:val="列出段落1"/>
    <w:basedOn w:val="1"/>
    <w:qFormat/>
    <w:uiPriority w:val="0"/>
    <w:pPr>
      <w:ind w:firstLine="420" w:firstLineChars="200"/>
    </w:pPr>
    <w:rPr>
      <w:rFonts w:ascii="Calibri" w:hAnsi="Calibri"/>
      <w:szCs w:val="22"/>
    </w:rPr>
  </w:style>
  <w:style w:type="paragraph" w:customStyle="1" w:styleId="128">
    <w:name w:val="Char Char2 Char Char"/>
    <w:basedOn w:val="15"/>
    <w:unhideWhenUsed/>
    <w:qFormat/>
    <w:uiPriority w:val="99"/>
    <w:rPr>
      <w:rFonts w:hint="eastAsia" w:ascii="Tahoma" w:hAnsi="Tahoma"/>
      <w:sz w:val="24"/>
    </w:rPr>
  </w:style>
  <w:style w:type="paragraph" w:customStyle="1" w:styleId="129">
    <w:name w:val="+正文"/>
    <w:basedOn w:val="1"/>
    <w:qFormat/>
    <w:uiPriority w:val="0"/>
    <w:pPr>
      <w:spacing w:line="360" w:lineRule="auto"/>
      <w:ind w:firstLine="200" w:firstLineChars="200"/>
    </w:pPr>
    <w:rPr>
      <w:sz w:val="24"/>
      <w:szCs w:val="28"/>
    </w:rPr>
  </w:style>
  <w:style w:type="paragraph" w:customStyle="1" w:styleId="130">
    <w:name w:val="样式 标题 1 + 黑体 三号 非加粗 居中 段前: 6 磅 段后: 6 磅 行距: 固定值 20 磅"/>
    <w:basedOn w:val="2"/>
    <w:qFormat/>
    <w:uiPriority w:val="0"/>
    <w:pPr>
      <w:spacing w:before="120" w:after="120" w:line="400" w:lineRule="exact"/>
    </w:pPr>
    <w:rPr>
      <w:rFonts w:ascii="黑体" w:hAnsi="黑体" w:eastAsia="黑体" w:cs="宋体"/>
      <w:b w:val="0"/>
      <w:bCs w:val="0"/>
      <w:sz w:val="32"/>
      <w:szCs w:val="20"/>
    </w:rPr>
  </w:style>
  <w:style w:type="paragraph" w:customStyle="1" w:styleId="131">
    <w:name w:val="默认段落字体 Para Char Char Char Char Char Char Char Char Char1 Char Char Char Char"/>
    <w:basedOn w:val="1"/>
    <w:qFormat/>
    <w:uiPriority w:val="0"/>
    <w:rPr>
      <w:rFonts w:ascii="Tahoma" w:hAnsi="Tahoma"/>
      <w:sz w:val="24"/>
      <w:szCs w:val="20"/>
    </w:rPr>
  </w:style>
  <w:style w:type="paragraph" w:customStyle="1" w:styleId="132">
    <w:name w:val="Personal Name"/>
    <w:basedOn w:val="46"/>
    <w:qFormat/>
    <w:uiPriority w:val="0"/>
    <w:rPr>
      <w:rFonts w:ascii="Impact" w:hAnsi="Impact"/>
      <w:b w:val="0"/>
      <w:caps/>
      <w:color w:val="000000"/>
      <w:sz w:val="28"/>
      <w:szCs w:val="28"/>
    </w:rPr>
  </w:style>
  <w:style w:type="paragraph" w:customStyle="1" w:styleId="133">
    <w:name w:val="p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
    <w:name w:val="样式 标题 3 + (中文) 黑体 小四 非加粗 段前: 7.8 磅 段后: 0 磅 行距: 固定值 20 磅"/>
    <w:basedOn w:val="4"/>
    <w:qFormat/>
    <w:uiPriority w:val="0"/>
    <w:pPr>
      <w:spacing w:before="0" w:after="0" w:line="400" w:lineRule="exact"/>
    </w:pPr>
    <w:rPr>
      <w:rFonts w:cs="宋体"/>
      <w:b/>
      <w:bCs/>
    </w:rPr>
  </w:style>
  <w:style w:type="paragraph" w:customStyle="1" w:styleId="135">
    <w:name w:val="1"/>
    <w:basedOn w:val="1"/>
    <w:next w:val="1"/>
    <w:qFormat/>
    <w:uiPriority w:val="0"/>
  </w:style>
  <w:style w:type="paragraph" w:customStyle="1" w:styleId="136">
    <w:name w:val="表格文字"/>
    <w:basedOn w:val="1"/>
    <w:qFormat/>
    <w:uiPriority w:val="0"/>
    <w:pPr>
      <w:adjustRightInd w:val="0"/>
      <w:spacing w:line="420" w:lineRule="atLeast"/>
      <w:jc w:val="left"/>
      <w:textAlignment w:val="baseline"/>
    </w:pPr>
    <w:rPr>
      <w:kern w:val="0"/>
    </w:rPr>
  </w:style>
  <w:style w:type="paragraph" w:customStyle="1" w:styleId="137">
    <w:name w:val="纯文本1"/>
    <w:basedOn w:val="1"/>
    <w:qFormat/>
    <w:uiPriority w:val="0"/>
    <w:pPr>
      <w:adjustRightInd w:val="0"/>
      <w:textAlignment w:val="baseline"/>
    </w:pPr>
    <w:rPr>
      <w:rFonts w:ascii="宋体" w:hAnsi="Courier New" w:eastAsia="楷体_GB2312"/>
      <w:sz w:val="26"/>
    </w:rPr>
  </w:style>
  <w:style w:type="paragraph" w:customStyle="1" w:styleId="138">
    <w:name w:val="正文2"/>
    <w:basedOn w:val="1"/>
    <w:qFormat/>
    <w:uiPriority w:val="0"/>
    <w:pPr>
      <w:widowControl/>
      <w:jc w:val="left"/>
    </w:pPr>
    <w:rPr>
      <w:kern w:val="0"/>
      <w:sz w:val="24"/>
      <w:szCs w:val="20"/>
    </w:rPr>
  </w:style>
  <w:style w:type="paragraph" w:customStyle="1" w:styleId="139">
    <w:name w:val="_Style 138"/>
    <w:semiHidden/>
    <w:qFormat/>
    <w:uiPriority w:val="99"/>
    <w:rPr>
      <w:rFonts w:ascii="Times New Roman" w:hAnsi="Times New Roman" w:eastAsia="宋体" w:cs="Times New Roman"/>
      <w:kern w:val="2"/>
      <w:sz w:val="21"/>
      <w:szCs w:val="24"/>
      <w:lang w:val="en-US" w:eastAsia="zh-CN" w:bidi="ar-SA"/>
    </w:rPr>
  </w:style>
  <w:style w:type="paragraph" w:customStyle="1" w:styleId="140">
    <w:name w:val="样式 标题 2 + 黑色 行距: 1.5 倍行距"/>
    <w:basedOn w:val="3"/>
    <w:qFormat/>
    <w:uiPriority w:val="0"/>
    <w:pPr>
      <w:spacing w:line="360" w:lineRule="auto"/>
    </w:pPr>
    <w:rPr>
      <w:rFonts w:eastAsia="宋体" w:cs="宋体"/>
      <w:color w:val="000000"/>
    </w:rPr>
  </w:style>
  <w:style w:type="paragraph" w:customStyle="1" w:styleId="141">
    <w:name w:val="表格"/>
    <w:basedOn w:val="1"/>
    <w:qFormat/>
    <w:uiPriority w:val="0"/>
    <w:pPr>
      <w:jc w:val="center"/>
      <w:textAlignment w:val="center"/>
    </w:pPr>
    <w:rPr>
      <w:rFonts w:ascii="华文细黑" w:hAnsi="华文细黑"/>
      <w:kern w:val="0"/>
    </w:rPr>
  </w:style>
  <w:style w:type="paragraph" w:customStyle="1" w:styleId="142">
    <w:name w:val="样式4"/>
    <w:basedOn w:val="4"/>
    <w:qFormat/>
    <w:uiPriority w:val="0"/>
    <w:rPr>
      <w:rFonts w:eastAsia="Arial"/>
    </w:rPr>
  </w:style>
  <w:style w:type="paragraph" w:customStyle="1" w:styleId="143">
    <w:name w:val="样式2"/>
    <w:basedOn w:val="4"/>
    <w:qFormat/>
    <w:uiPriority w:val="0"/>
  </w:style>
  <w:style w:type="paragraph" w:customStyle="1" w:styleId="144">
    <w:name w:val="正文文本缩进1"/>
    <w:basedOn w:val="1"/>
    <w:qFormat/>
    <w:uiPriority w:val="0"/>
    <w:pPr>
      <w:spacing w:line="360" w:lineRule="auto"/>
      <w:ind w:firstLine="420"/>
    </w:pPr>
    <w:rPr>
      <w:rFonts w:ascii="宋体"/>
      <w:sz w:val="24"/>
    </w:rPr>
  </w:style>
  <w:style w:type="paragraph" w:customStyle="1" w:styleId="145">
    <w:name w:val="Char Char Char Char"/>
    <w:basedOn w:val="1"/>
    <w:qFormat/>
    <w:uiPriority w:val="0"/>
    <w:rPr>
      <w:rFonts w:ascii="Tahoma" w:hAnsi="Tahoma" w:cs="仿宋_GB2312"/>
      <w:sz w:val="24"/>
      <w:szCs w:val="28"/>
    </w:rPr>
  </w:style>
  <w:style w:type="paragraph" w:customStyle="1" w:styleId="146">
    <w:name w:val="样式1"/>
    <w:basedOn w:val="4"/>
    <w:qFormat/>
    <w:uiPriority w:val="0"/>
    <w:rPr>
      <w:rFonts w:eastAsia="Arial"/>
    </w:rPr>
  </w:style>
  <w:style w:type="paragraph" w:customStyle="1" w:styleId="147">
    <w:name w:val="_Style 146"/>
    <w:basedOn w:val="2"/>
    <w:next w:val="1"/>
    <w:qFormat/>
    <w:uiPriority w:val="39"/>
    <w:pPr>
      <w:spacing w:line="578" w:lineRule="auto"/>
      <w:outlineLvl w:val="9"/>
    </w:pPr>
  </w:style>
  <w:style w:type="paragraph" w:customStyle="1" w:styleId="148">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49">
    <w:name w:val="样式3"/>
    <w:basedOn w:val="4"/>
    <w:qFormat/>
    <w:uiPriority w:val="0"/>
    <w:rPr>
      <w:rFonts w:eastAsia="Arial"/>
    </w:rPr>
  </w:style>
  <w:style w:type="paragraph" w:customStyle="1" w:styleId="150">
    <w:name w:val="纯文本2"/>
    <w:basedOn w:val="1"/>
    <w:qFormat/>
    <w:uiPriority w:val="0"/>
    <w:rPr>
      <w:rFonts w:ascii="宋体" w:hAnsi="Courier New"/>
      <w:sz w:val="28"/>
    </w:rPr>
  </w:style>
  <w:style w:type="paragraph" w:customStyle="1" w:styleId="151">
    <w:name w:val="正文段"/>
    <w:basedOn w:val="1"/>
    <w:qFormat/>
    <w:uiPriority w:val="0"/>
    <w:pPr>
      <w:widowControl/>
      <w:snapToGrid w:val="0"/>
      <w:spacing w:after="156" w:afterLines="50"/>
      <w:ind w:firstLine="200" w:firstLineChars="200"/>
    </w:pPr>
    <w:rPr>
      <w:kern w:val="0"/>
      <w:sz w:val="24"/>
      <w:szCs w:val="20"/>
    </w:rPr>
  </w:style>
  <w:style w:type="paragraph" w:customStyle="1" w:styleId="152">
    <w:name w:val="Char"/>
    <w:basedOn w:val="1"/>
    <w:qFormat/>
    <w:uiPriority w:val="0"/>
    <w:pPr>
      <w:tabs>
        <w:tab w:val="left" w:pos="360"/>
      </w:tabs>
    </w:pPr>
    <w:rPr>
      <w:sz w:val="24"/>
    </w:rPr>
  </w:style>
  <w:style w:type="paragraph" w:customStyle="1" w:styleId="153">
    <w:name w:val="标题 2 + 黑色 行距: 1.5 倍行距"/>
    <w:basedOn w:val="3"/>
    <w:qFormat/>
    <w:uiPriority w:val="0"/>
    <w:pPr>
      <w:spacing w:line="360" w:lineRule="auto"/>
    </w:pPr>
    <w:rPr>
      <w:rFonts w:eastAsia="宋体" w:cs="宋体"/>
      <w:color w:val="000000"/>
      <w:szCs w:val="20"/>
    </w:rPr>
  </w:style>
  <w:style w:type="paragraph" w:customStyle="1" w:styleId="154">
    <w:name w:val="p0"/>
    <w:basedOn w:val="1"/>
    <w:qFormat/>
    <w:uiPriority w:val="0"/>
    <w:pPr>
      <w:widowControl/>
      <w:adjustRightInd w:val="0"/>
      <w:spacing w:line="360" w:lineRule="atLeast"/>
      <w:textAlignment w:val="baseline"/>
    </w:pPr>
    <w:rPr>
      <w:rFonts w:eastAsia="Times New Roman"/>
      <w:kern w:val="0"/>
      <w:szCs w:val="21"/>
    </w:rPr>
  </w:style>
  <w:style w:type="paragraph" w:styleId="155">
    <w:name w:val="List Paragraph"/>
    <w:basedOn w:val="1"/>
    <w:qFormat/>
    <w:uiPriority w:val="34"/>
    <w:pPr>
      <w:ind w:firstLine="420" w:firstLineChars="200"/>
    </w:pPr>
  </w:style>
  <w:style w:type="paragraph" w:customStyle="1" w:styleId="15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57">
    <w:name w:val="正文3"/>
    <w:qFormat/>
    <w:uiPriority w:val="0"/>
    <w:rPr>
      <w:rFonts w:ascii="Times New Roman" w:hAnsi="Times New Roman" w:eastAsia="Times New Roman" w:cs="Times New Roman"/>
      <w:sz w:val="24"/>
      <w:szCs w:val="24"/>
      <w:lang w:val="en-US" w:eastAsia="zh-CN" w:bidi="ar-SA"/>
    </w:rPr>
  </w:style>
  <w:style w:type="paragraph" w:customStyle="1" w:styleId="15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59">
    <w:name w:val="Char1"/>
    <w:basedOn w:val="1"/>
    <w:qFormat/>
    <w:uiPriority w:val="0"/>
  </w:style>
  <w:style w:type="paragraph" w:customStyle="1" w:styleId="16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1">
    <w:name w:val="默认段落字体 Para Char Char Char Char Char Char Char Char Char1 Char Char Char Char Char Char Char"/>
    <w:basedOn w:val="15"/>
    <w:qFormat/>
    <w:uiPriority w:val="0"/>
    <w:rPr>
      <w:rFonts w:ascii="Tahoma" w:hAnsi="Tahoma"/>
      <w:sz w:val="24"/>
    </w:rPr>
  </w:style>
  <w:style w:type="character" w:customStyle="1" w:styleId="162">
    <w:name w:val="标题 2 字符"/>
    <w:qFormat/>
    <w:uiPriority w:val="0"/>
    <w:rPr>
      <w:rFonts w:ascii="Arial" w:hAnsi="Arial" w:eastAsia="黑体"/>
      <w:b/>
      <w:bCs/>
      <w:kern w:val="2"/>
      <w:sz w:val="32"/>
      <w:szCs w:val="32"/>
    </w:rPr>
  </w:style>
  <w:style w:type="paragraph" w:customStyle="1" w:styleId="16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64">
    <w:name w:val="Char Char2 Char Char1"/>
    <w:basedOn w:val="15"/>
    <w:unhideWhenUsed/>
    <w:qFormat/>
    <w:uiPriority w:val="99"/>
    <w:rPr>
      <w:rFonts w:hint="eastAsia" w:ascii="Tahoma" w:hAnsi="Tahoma"/>
      <w:sz w:val="24"/>
    </w:rPr>
  </w:style>
  <w:style w:type="paragraph" w:customStyle="1" w:styleId="165">
    <w:name w:val="纯文本21"/>
    <w:basedOn w:val="1"/>
    <w:qFormat/>
    <w:uiPriority w:val="0"/>
    <w:rPr>
      <w:rFonts w:ascii="宋体" w:hAnsi="Courier New"/>
      <w:sz w:val="28"/>
    </w:rPr>
  </w:style>
  <w:style w:type="character" w:customStyle="1" w:styleId="166">
    <w:name w:val="纯文本 字符"/>
    <w:qFormat/>
    <w:uiPriority w:val="99"/>
    <w:rPr>
      <w:rFonts w:ascii="宋体" w:hAnsi="Courier New"/>
      <w:kern w:val="2"/>
      <w:sz w:val="28"/>
    </w:rPr>
  </w:style>
  <w:style w:type="character" w:customStyle="1" w:styleId="167">
    <w:name w:val="页脚 字符"/>
    <w:unhideWhenUsed/>
    <w:qFormat/>
    <w:uiPriority w:val="99"/>
    <w:rPr>
      <w:rFonts w:hint="default" w:eastAsia="宋体"/>
      <w:kern w:val="2"/>
      <w:sz w:val="18"/>
    </w:rPr>
  </w:style>
  <w:style w:type="character" w:customStyle="1" w:styleId="168">
    <w:name w:val="font121"/>
    <w:basedOn w:val="52"/>
    <w:qFormat/>
    <w:uiPriority w:val="0"/>
    <w:rPr>
      <w:rFonts w:hint="eastAsia" w:ascii="宋体" w:hAnsi="宋体" w:eastAsia="宋体" w:cs="宋体"/>
      <w:color w:val="000000"/>
      <w:sz w:val="20"/>
      <w:szCs w:val="20"/>
      <w:u w:val="none"/>
    </w:rPr>
  </w:style>
  <w:style w:type="character" w:customStyle="1" w:styleId="169">
    <w:name w:val="font61"/>
    <w:basedOn w:val="52"/>
    <w:qFormat/>
    <w:uiPriority w:val="0"/>
    <w:rPr>
      <w:rFonts w:hint="eastAsia" w:ascii="宋体" w:hAnsi="宋体" w:eastAsia="宋体" w:cs="宋体"/>
      <w:color w:val="000000"/>
      <w:sz w:val="20"/>
      <w:szCs w:val="20"/>
      <w:u w:val="none"/>
    </w:rPr>
  </w:style>
  <w:style w:type="character" w:customStyle="1" w:styleId="170">
    <w:name w:val="font101"/>
    <w:basedOn w:val="52"/>
    <w:qFormat/>
    <w:uiPriority w:val="0"/>
    <w:rPr>
      <w:rFonts w:hint="eastAsia" w:ascii="宋体" w:hAnsi="宋体" w:eastAsia="宋体" w:cs="宋体"/>
      <w:color w:val="000000"/>
      <w:sz w:val="22"/>
      <w:szCs w:val="22"/>
      <w:u w:val="none"/>
    </w:rPr>
  </w:style>
  <w:style w:type="character" w:customStyle="1" w:styleId="171">
    <w:name w:val="font112"/>
    <w:basedOn w:val="52"/>
    <w:qFormat/>
    <w:uiPriority w:val="0"/>
    <w:rPr>
      <w:rFonts w:hint="eastAsia" w:ascii="宋体" w:hAnsi="宋体" w:eastAsia="宋体" w:cs="宋体"/>
      <w:color w:val="000000"/>
      <w:sz w:val="22"/>
      <w:szCs w:val="22"/>
      <w:u w:val="none"/>
    </w:rPr>
  </w:style>
  <w:style w:type="character" w:customStyle="1" w:styleId="172">
    <w:name w:val="font91"/>
    <w:basedOn w:val="52"/>
    <w:qFormat/>
    <w:uiPriority w:val="0"/>
    <w:rPr>
      <w:rFonts w:hint="eastAsia" w:ascii="宋体" w:hAnsi="宋体" w:eastAsia="宋体" w:cs="宋体"/>
      <w:color w:val="000000"/>
      <w:sz w:val="22"/>
      <w:szCs w:val="22"/>
      <w:u w:val="none"/>
    </w:rPr>
  </w:style>
  <w:style w:type="paragraph" w:customStyle="1" w:styleId="173">
    <w:name w:val="Other|1"/>
    <w:qFormat/>
    <w:uiPriority w:val="0"/>
    <w:pPr>
      <w:widowControl w:val="0"/>
      <w:shd w:val="clear" w:color="auto" w:fill="auto"/>
      <w:spacing w:line="302" w:lineRule="exact"/>
      <w:jc w:val="both"/>
    </w:pPr>
    <w:rPr>
      <w:rFonts w:ascii="宋体" w:hAnsi="宋体" w:eastAsia="宋体" w:cs="宋体"/>
      <w:kern w:val="2"/>
      <w:sz w:val="16"/>
      <w:szCs w:val="16"/>
      <w:u w:val="none"/>
      <w:shd w:val="clear" w:color="auto" w:fill="auto"/>
      <w:lang w:val="zh-TW" w:eastAsia="zh-TW" w:bidi="zh-TW"/>
    </w:rPr>
  </w:style>
  <w:style w:type="character" w:customStyle="1" w:styleId="174">
    <w:name w:val="font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15314</Words>
  <Characters>16382</Characters>
  <Lines>208</Lines>
  <Paragraphs>58</Paragraphs>
  <TotalTime>0</TotalTime>
  <ScaleCrop>false</ScaleCrop>
  <LinksUpToDate>false</LinksUpToDate>
  <CharactersWithSpaces>16764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2023-07-06T06:39:00Z</dcterms:created>
  <dc:creator>kikmfga</dc:creator>
  <cp:lastModifiedBy>YCJY05</cp:lastModifiedBy>
  <cp:lastPrinted>2024-04-25T06:41:00Z</cp:lastPrinted>
  <dcterms:modified xsi:type="dcterms:W3CDTF">2025-03-17T06:22:46Z</dcterms:modified>
  <dc:title>江苏省房屋建筑和市政基础设施工程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119C39153AB5410BAE6461BEC82A2461_13</vt:lpwstr>
  </property>
  <property fmtid="{D5CDD505-2E9C-101B-9397-08002B2CF9AE}" pid="4" name="KSOTemplateDocerSaveRecord">
    <vt:lpwstr>eyJoZGlkIjoiZjIwNDlhOTY0NGU2MzFhNGI1MjNlMjI4NmRmZWY1NmQiLCJ1c2VySWQiOiI2OTIyNjM3NzAifQ==</vt:lpwstr>
  </property>
</Properties>
</file>