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9F" w:rsidRDefault="005A6574" w:rsidP="009A1C94">
      <w:pPr>
        <w:adjustRightInd w:val="0"/>
        <w:snapToGrid w:val="0"/>
        <w:spacing w:line="520" w:lineRule="exact"/>
        <w:contextualSpacing/>
        <w:jc w:val="center"/>
        <w:rPr>
          <w:rFonts w:ascii="方正小标宋_GBK" w:eastAsia="方正小标宋_GBK" w:hAnsi="方正仿宋_GBK" w:cs="方正仿宋_GBK"/>
          <w:sz w:val="36"/>
          <w:szCs w:val="36"/>
        </w:rPr>
      </w:pPr>
      <w:bookmarkStart w:id="0" w:name="_Hlk82004906"/>
      <w:r>
        <w:rPr>
          <w:rFonts w:ascii="方正小标宋_GBK" w:eastAsia="方正小标宋_GBK" w:hAnsi="方正仿宋_GBK" w:cs="方正仿宋_GBK" w:hint="eastAsia"/>
          <w:sz w:val="36"/>
          <w:szCs w:val="36"/>
        </w:rPr>
        <w:t xml:space="preserve"> </w:t>
      </w:r>
      <w:r>
        <w:rPr>
          <w:rFonts w:ascii="方正小标宋_GBK" w:eastAsia="方正小标宋_GBK" w:hAnsi="方正仿宋_GBK" w:cs="方正仿宋_GBK"/>
          <w:sz w:val="36"/>
          <w:szCs w:val="36"/>
        </w:rPr>
        <w:t xml:space="preserve"> </w:t>
      </w:r>
      <w:r>
        <w:rPr>
          <w:rFonts w:ascii="方正小标宋_GBK" w:eastAsia="方正小标宋_GBK" w:hAnsi="方正仿宋_GBK" w:cs="方正仿宋_GBK" w:hint="eastAsia"/>
          <w:sz w:val="36"/>
          <w:szCs w:val="36"/>
        </w:rPr>
        <w:t>江苏省</w:t>
      </w:r>
      <w:r>
        <w:rPr>
          <w:rFonts w:ascii="方正小标宋_GBK" w:eastAsia="方正小标宋_GBK" w:hAnsi="方正仿宋_GBK" w:cs="方正仿宋_GBK" w:hint="eastAsia"/>
          <w:sz w:val="36"/>
          <w:szCs w:val="36"/>
        </w:rPr>
        <w:t>康新戒毒所</w:t>
      </w:r>
      <w:r>
        <w:rPr>
          <w:rFonts w:ascii="方正小标宋_GBK" w:eastAsia="方正小标宋_GBK" w:hAnsi="方正仿宋_GBK" w:cs="方正仿宋_GBK" w:hint="eastAsia"/>
          <w:sz w:val="36"/>
          <w:szCs w:val="36"/>
        </w:rPr>
        <w:t>关于</w:t>
      </w:r>
      <w:r>
        <w:rPr>
          <w:rFonts w:ascii="方正小标宋_GBK" w:eastAsia="方正小标宋_GBK" w:hAnsi="方正仿宋_GBK" w:cs="方正仿宋_GBK" w:hint="eastAsia"/>
          <w:sz w:val="36"/>
          <w:szCs w:val="36"/>
        </w:rPr>
        <w:t>2</w:t>
      </w:r>
      <w:r>
        <w:rPr>
          <w:rFonts w:ascii="方正小标宋_GBK" w:eastAsia="方正小标宋_GBK" w:hAnsi="方正仿宋_GBK" w:cs="方正仿宋_GBK"/>
          <w:sz w:val="36"/>
          <w:szCs w:val="36"/>
        </w:rPr>
        <w:t>02</w:t>
      </w:r>
      <w:r>
        <w:rPr>
          <w:rFonts w:ascii="方正小标宋_GBK" w:eastAsia="方正小标宋_GBK" w:hAnsi="方正仿宋_GBK" w:cs="方正仿宋_GBK" w:hint="eastAsia"/>
          <w:sz w:val="36"/>
          <w:szCs w:val="36"/>
        </w:rPr>
        <w:t>5</w:t>
      </w:r>
      <w:r>
        <w:rPr>
          <w:rFonts w:ascii="方正小标宋_GBK" w:eastAsia="方正小标宋_GBK" w:hAnsi="方正仿宋_GBK" w:cs="方正仿宋_GBK" w:hint="eastAsia"/>
          <w:sz w:val="36"/>
          <w:szCs w:val="36"/>
        </w:rPr>
        <w:t>年度采购一批医疗设备的市场调研会公告</w:t>
      </w:r>
      <w:bookmarkEnd w:id="0"/>
    </w:p>
    <w:p w:rsidR="0048009F" w:rsidRDefault="0048009F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</w:t>
      </w:r>
      <w:r w:rsidR="00C80A43">
        <w:rPr>
          <w:rFonts w:ascii="方正仿宋_GBK" w:eastAsia="方正仿宋_GBK" w:hAnsi="方正仿宋_GBK" w:cs="方正仿宋_GBK" w:hint="eastAsia"/>
          <w:sz w:val="32"/>
          <w:szCs w:val="32"/>
        </w:rPr>
        <w:t>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需采购一批医疗设备，为便于潜在供应商及时了解采购信息，拟召开市场调研会，欢迎符合条件的供应商进行产品介绍。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一、项目名称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sz w:val="32"/>
          <w:szCs w:val="32"/>
        </w:rPr>
        <w:t>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年度采购一批医疗设备的市场调研会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二、调研项目简要说明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医疗设备。设备品牌、型号、主要参数、配套设施、耗材、价格、售后服务承诺及第三方配套设施等。</w:t>
      </w:r>
    </w:p>
    <w:p w:rsidR="0048009F" w:rsidRDefault="005A6574">
      <w:pPr>
        <w:pStyle w:val="1"/>
        <w:numPr>
          <w:ilvl w:val="0"/>
          <w:numId w:val="1"/>
        </w:numPr>
        <w:adjustRightInd w:val="0"/>
        <w:snapToGrid w:val="0"/>
        <w:spacing w:line="520" w:lineRule="exact"/>
        <w:ind w:firstLineChars="0"/>
        <w:contextualSpacing/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调研材料要求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封面：产品名称、品牌型号、注册证号、公司名称、联系人姓名及联系方式等信息。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产品资质（包括注册证、国际认证等）及简介。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产品配置清单（单独成页，不与其他信息共存）。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报价表（人民币，含货至我院指定地点的运输、保险、安装等所有费用），两项请分页。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产品技术参数。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产品安装（场地、环境等）若有特殊要求的请注明。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生产厂家和代理公司资质及简介。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售后服务条款（请填写附件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）。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宣传彩页（纸质版需要提供印刷版，打印和复印版无效；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pdf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版需扫描彩页）。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10.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该设备市场占有率，列出该设备的主要用户（注明购置年份及设备型号）；并请提供上述范围内的至少一所二级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医院及</w:t>
      </w:r>
      <w:r>
        <w:rPr>
          <w:rFonts w:ascii="方正仿宋_GBK" w:eastAsia="方正仿宋_GBK" w:hAnsi="方正仿宋_GBK" w:cs="方正仿宋_GBK"/>
          <w:sz w:val="32"/>
          <w:szCs w:val="32"/>
        </w:rPr>
        <w:t>以上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购买该同型号设备的购货合同（复印件）及配置清单（复印件）。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材料真实性及购销廉洁声明（见附件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）。</w:t>
      </w:r>
    </w:p>
    <w:p w:rsidR="0048009F" w:rsidRDefault="0048009F">
      <w:pPr>
        <w:adjustRightInd w:val="0"/>
        <w:snapToGrid w:val="0"/>
        <w:spacing w:line="520" w:lineRule="exact"/>
        <w:contextualSpacing/>
        <w:rPr>
          <w:rFonts w:ascii="方正仿宋_GBK" w:eastAsia="方正仿宋_GBK" w:hAnsi="方正仿宋_GBK" w:cs="方正仿宋_GBK"/>
          <w:b/>
          <w:sz w:val="36"/>
          <w:szCs w:val="32"/>
        </w:rPr>
      </w:pPr>
    </w:p>
    <w:p w:rsidR="0048009F" w:rsidRDefault="005A6574">
      <w:pPr>
        <w:adjustRightInd w:val="0"/>
        <w:snapToGrid w:val="0"/>
        <w:spacing w:line="520" w:lineRule="exact"/>
        <w:contextualSpacing/>
        <w:rPr>
          <w:rFonts w:ascii="黑体" w:eastAsia="黑体" w:hAnsi="黑体" w:cs="方正仿宋_GBK"/>
          <w:sz w:val="36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注：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上述材料正本必须加盖投标公司的公章，复印公章无效。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上述材料请按顺序装订（纸质文件两份，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PDF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文件一份），并保证所提供的各种材料真实、有效、齐全，承担相应的法律责任。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本次活动为一次性市场调研，请认真组织报价及相关材料。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参与公司需严格按照本清单内容递交调研材料，否则视为自动弃权！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.P</w:t>
      </w:r>
      <w:r>
        <w:rPr>
          <w:rFonts w:ascii="方正仿宋_GBK" w:eastAsia="方正仿宋_GBK" w:hAnsi="方正仿宋_GBK" w:cs="方正仿宋_GBK"/>
          <w:b/>
          <w:sz w:val="32"/>
          <w:szCs w:val="32"/>
        </w:rPr>
        <w:t>DF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材料需上述材料每页加盖公章后扫描，做成</w:t>
      </w:r>
      <w:r>
        <w:rPr>
          <w:rFonts w:ascii="方正仿宋_GBK" w:eastAsia="方正仿宋_GBK" w:hAnsi="方正仿宋_GBK" w:cs="方正仿宋_GBK"/>
          <w:sz w:val="32"/>
          <w:szCs w:val="32"/>
        </w:rPr>
        <w:t>PDF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格式文件，命名要求：项目名称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+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代理商简称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+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设备名称（种类）。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相关材料请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密封后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于调研会当日带至现场。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四、时间地点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报到时间：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sz w:val="32"/>
          <w:szCs w:val="32"/>
        </w:rPr>
        <w:t>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ascii="方正仿宋_GBK" w:eastAsia="方正仿宋_GBK" w:hAnsi="方正仿宋_GBK" w:cs="方正仿宋_GBK"/>
          <w:sz w:val="32"/>
          <w:szCs w:val="32"/>
        </w:rPr>
        <w:t>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:3</w:t>
      </w:r>
      <w:r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（北京时间）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调研会时间：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:3</w:t>
      </w:r>
      <w:r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（北京时间）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报到地点：南京市江北新区石佛三宫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号北门招标室（</w:t>
      </w:r>
      <w:r>
        <w:rPr>
          <w:rFonts w:ascii="方正仿宋_GBK" w:eastAsia="方正仿宋_GBK" w:hAnsi="方正仿宋_GBK" w:cs="方正仿宋_GBK"/>
          <w:sz w:val="32"/>
          <w:szCs w:val="32"/>
        </w:rPr>
        <w:t>山水金盾花园路口向内）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t>五、调研会联系事项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="006A48ED">
        <w:rPr>
          <w:rFonts w:ascii="方正仿宋_GBK" w:eastAsia="方正仿宋_GBK" w:hAnsi="方正仿宋_GBK" w:cs="方正仿宋_GBK" w:hint="eastAsia"/>
          <w:sz w:val="32"/>
          <w:szCs w:val="32"/>
        </w:rPr>
        <w:t>陈工、</w:t>
      </w:r>
      <w:r w:rsidR="006A48ED">
        <w:rPr>
          <w:rFonts w:ascii="方正仿宋_GBK" w:eastAsia="方正仿宋_GBK" w:hAnsi="方正仿宋_GBK" w:cs="方正仿宋_GBK" w:hint="eastAsia"/>
          <w:sz w:val="32"/>
          <w:szCs w:val="32"/>
        </w:rPr>
        <w:t>芮工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</w:t>
      </w:r>
      <w:r w:rsidR="006A48ED">
        <w:rPr>
          <w:rFonts w:ascii="方正仿宋_GBK" w:eastAsia="方正仿宋_GBK" w:hAnsi="方正仿宋_GBK" w:cs="方正仿宋_GBK" w:hint="eastAsia"/>
          <w:sz w:val="32"/>
          <w:szCs w:val="32"/>
        </w:rPr>
        <w:t>025-57077811、</w:t>
      </w:r>
      <w:r w:rsidR="006A48ED">
        <w:rPr>
          <w:rFonts w:ascii="方正仿宋_GBK" w:eastAsia="方正仿宋_GBK" w:hAnsi="方正仿宋_GBK" w:cs="方正仿宋_GBK" w:hint="eastAsia"/>
          <w:sz w:val="32"/>
          <w:szCs w:val="32"/>
        </w:rPr>
        <w:t>025-57077821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联系邮箱：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33039361@qq.com</w:t>
      </w:r>
    </w:p>
    <w:p w:rsidR="0048009F" w:rsidRDefault="005A6574">
      <w:pPr>
        <w:adjustRightInd w:val="0"/>
        <w:snapToGrid w:val="0"/>
        <w:spacing w:line="520" w:lineRule="exact"/>
        <w:ind w:firstLine="478"/>
        <w:contextualSpacing/>
        <w:rPr>
          <w:rFonts w:ascii="黑体" w:eastAsia="黑体" w:hAnsi="黑体" w:cs="方正仿宋_GBK"/>
          <w:sz w:val="32"/>
          <w:szCs w:val="32"/>
        </w:rPr>
      </w:pPr>
      <w:r>
        <w:rPr>
          <w:rFonts w:ascii="黑体" w:eastAsia="黑体" w:hAnsi="黑体" w:cs="方正仿宋_GBK" w:hint="eastAsia"/>
          <w:sz w:val="32"/>
          <w:szCs w:val="32"/>
        </w:rPr>
        <w:lastRenderedPageBreak/>
        <w:t>六、其他说明事项</w:t>
      </w:r>
    </w:p>
    <w:p w:rsidR="0048009F" w:rsidRDefault="005A6574">
      <w:pPr>
        <w:adjustRightInd w:val="0"/>
        <w:snapToGrid w:val="0"/>
        <w:spacing w:line="520" w:lineRule="exact"/>
        <w:ind w:firstLineChars="200" w:firstLine="64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公告时间为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sz w:val="32"/>
          <w:szCs w:val="32"/>
        </w:rPr>
        <w:t>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sz w:val="32"/>
          <w:szCs w:val="32"/>
        </w:rPr>
        <w:t>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日，有关本次调研会的事项若存在变动或修改，敬请及时关注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http:</w:t>
      </w:r>
      <w:r>
        <w:rPr>
          <w:rFonts w:ascii="方正仿宋_GBK" w:eastAsia="方正仿宋_GBK" w:hAnsi="方正仿宋_GBK" w:cs="方正仿宋_GBK"/>
          <w:sz w:val="32"/>
          <w:szCs w:val="32"/>
        </w:rPr>
        <w:t>//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jssjyglj.jiangsu.gov.cn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发布的信息更正公告。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</w:t>
      </w:r>
    </w:p>
    <w:p w:rsidR="0048009F" w:rsidRDefault="0048009F">
      <w:pPr>
        <w:adjustRightInd w:val="0"/>
        <w:snapToGrid w:val="0"/>
        <w:spacing w:line="520" w:lineRule="exact"/>
        <w:contextualSpacing/>
        <w:rPr>
          <w:rFonts w:ascii="方正仿宋_GBK" w:eastAsia="方正仿宋_GBK" w:hAnsi="方正仿宋_GBK" w:cs="方正仿宋_GBK"/>
          <w:sz w:val="32"/>
          <w:szCs w:val="32"/>
        </w:rPr>
      </w:pPr>
    </w:p>
    <w:p w:rsidR="0048009F" w:rsidRDefault="0048009F">
      <w:pPr>
        <w:adjustRightInd w:val="0"/>
        <w:snapToGrid w:val="0"/>
        <w:spacing w:line="520" w:lineRule="exact"/>
        <w:contextualSpacing/>
        <w:rPr>
          <w:rFonts w:ascii="方正仿宋_GBK" w:eastAsia="方正仿宋_GBK" w:hAnsi="方正仿宋_GBK" w:cs="方正仿宋_GBK"/>
          <w:sz w:val="32"/>
          <w:szCs w:val="32"/>
        </w:rPr>
      </w:pPr>
    </w:p>
    <w:p w:rsidR="0048009F" w:rsidRDefault="005A6574">
      <w:pPr>
        <w:adjustRightInd w:val="0"/>
        <w:snapToGrid w:val="0"/>
        <w:spacing w:line="520" w:lineRule="exact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售后服务条款</w:t>
      </w:r>
    </w:p>
    <w:p w:rsidR="0048009F" w:rsidRDefault="005A6574">
      <w:pPr>
        <w:adjustRightInd w:val="0"/>
        <w:snapToGrid w:val="0"/>
        <w:spacing w:line="520" w:lineRule="exact"/>
        <w:ind w:firstLineChars="300" w:firstLine="96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材料真实性及购销廉洁声明</w:t>
      </w:r>
    </w:p>
    <w:p w:rsidR="0048009F" w:rsidRDefault="005A6574">
      <w:pPr>
        <w:adjustRightInd w:val="0"/>
        <w:snapToGrid w:val="0"/>
        <w:spacing w:line="520" w:lineRule="exact"/>
        <w:ind w:firstLineChars="300" w:firstLine="960"/>
        <w:contextualSpacing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年医疗设备拟采购清单</w:t>
      </w:r>
    </w:p>
    <w:p w:rsidR="0048009F" w:rsidRDefault="0048009F">
      <w:pPr>
        <w:adjustRightInd w:val="0"/>
        <w:snapToGrid w:val="0"/>
        <w:spacing w:line="520" w:lineRule="exact"/>
        <w:contextualSpacing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48009F" w:rsidRDefault="005A6574" w:rsidP="009A1C94">
      <w:pPr>
        <w:adjustRightInd w:val="0"/>
        <w:snapToGrid w:val="0"/>
        <w:spacing w:line="520" w:lineRule="exact"/>
        <w:ind w:right="480"/>
        <w:contextualSpacing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江苏省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康新戒毒所</w:t>
      </w:r>
    </w:p>
    <w:p w:rsidR="0048009F" w:rsidRDefault="005A6574" w:rsidP="009A1C94">
      <w:pPr>
        <w:wordWrap w:val="0"/>
        <w:adjustRightInd w:val="0"/>
        <w:snapToGrid w:val="0"/>
        <w:spacing w:line="520" w:lineRule="exact"/>
        <w:ind w:right="160"/>
        <w:contextualSpacing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bookmarkStart w:id="1" w:name="_GoBack"/>
      <w:bookmarkEnd w:id="1"/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sz w:val="32"/>
          <w:szCs w:val="32"/>
        </w:rPr>
        <w:t>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</w:p>
    <w:p w:rsidR="0048009F" w:rsidRDefault="005A6574">
      <w:pPr>
        <w:widowControl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br w:type="page"/>
      </w:r>
    </w:p>
    <w:p w:rsidR="0048009F" w:rsidRDefault="005A6574">
      <w:pPr>
        <w:pStyle w:val="1"/>
        <w:adjustRightInd w:val="0"/>
        <w:spacing w:before="160" w:after="160"/>
        <w:ind w:firstLineChars="0" w:firstLine="0"/>
        <w:contextualSpacing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：售后服务条款</w:t>
      </w:r>
    </w:p>
    <w:p w:rsidR="0048009F" w:rsidRDefault="005A6574">
      <w:pPr>
        <w:adjustRightInd w:val="0"/>
        <w:spacing w:before="160" w:after="160"/>
        <w:contextualSpacing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甲方：</w:t>
      </w:r>
      <w:bookmarkStart w:id="2" w:name="_Hlk98490772"/>
      <w:r>
        <w:rPr>
          <w:rFonts w:ascii="宋体" w:hAnsi="宋体" w:hint="eastAsia"/>
          <w:sz w:val="24"/>
        </w:rPr>
        <w:t>江苏省</w:t>
      </w:r>
      <w:r>
        <w:rPr>
          <w:rFonts w:ascii="宋体" w:hAnsi="宋体" w:hint="eastAsia"/>
          <w:sz w:val="24"/>
        </w:rPr>
        <w:t>康新戒毒所</w:t>
      </w:r>
      <w:r>
        <w:rPr>
          <w:rFonts w:ascii="宋体" w:hAnsi="宋体" w:hint="eastAsia"/>
          <w:sz w:val="24"/>
        </w:rPr>
        <w:t>（江苏省监狱管理局</w:t>
      </w:r>
      <w:r>
        <w:rPr>
          <w:rFonts w:ascii="宋体" w:hAnsi="宋体" w:hint="eastAsia"/>
          <w:sz w:val="24"/>
        </w:rPr>
        <w:t>江北</w:t>
      </w:r>
      <w:r>
        <w:rPr>
          <w:rFonts w:ascii="宋体" w:hAnsi="宋体" w:hint="eastAsia"/>
          <w:sz w:val="24"/>
        </w:rPr>
        <w:t>医院）</w:t>
      </w:r>
      <w:bookmarkEnd w:id="2"/>
      <w:r>
        <w:rPr>
          <w:rFonts w:ascii="宋体" w:hAnsi="宋体" w:hint="eastAsia"/>
          <w:sz w:val="24"/>
        </w:rPr>
        <w:t xml:space="preserve">                 </w:t>
      </w:r>
    </w:p>
    <w:p w:rsidR="0048009F" w:rsidRDefault="005A6574">
      <w:pPr>
        <w:adjustRightInd w:val="0"/>
        <w:spacing w:before="160" w:after="160"/>
        <w:contextualSpacing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乙方：</w:t>
      </w:r>
      <w:r>
        <w:rPr>
          <w:rFonts w:ascii="宋体" w:hAnsi="宋体"/>
          <w:sz w:val="24"/>
        </w:rPr>
        <w:t xml:space="preserve"> </w:t>
      </w:r>
    </w:p>
    <w:p w:rsidR="0048009F" w:rsidRDefault="005A6574">
      <w:pPr>
        <w:pStyle w:val="1"/>
        <w:numPr>
          <w:ilvl w:val="1"/>
          <w:numId w:val="2"/>
        </w:numPr>
        <w:adjustRightInd w:val="0"/>
        <w:spacing w:before="160" w:after="160"/>
        <w:ind w:left="426" w:firstLineChars="0" w:hanging="426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乙方免费提前为甲方提供设备安装图纸，并充分协助甲方做好机房的准备工作（如必要的话）。</w:t>
      </w:r>
    </w:p>
    <w:p w:rsidR="0048009F" w:rsidRDefault="005A6574">
      <w:pPr>
        <w:pStyle w:val="1"/>
        <w:numPr>
          <w:ilvl w:val="1"/>
          <w:numId w:val="2"/>
        </w:numPr>
        <w:adjustRightInd w:val="0"/>
        <w:spacing w:before="160" w:after="160"/>
        <w:ind w:left="426" w:firstLineChars="0" w:hanging="426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乙方负责设备的免费安装和调试，必须事先与甲方设备科联系，并与设备科共同参与，否则引起的一切责任由乙方承担。</w:t>
      </w:r>
    </w:p>
    <w:p w:rsidR="0048009F" w:rsidRDefault="005A6574">
      <w:pPr>
        <w:pStyle w:val="1"/>
        <w:numPr>
          <w:ilvl w:val="1"/>
          <w:numId w:val="2"/>
        </w:numPr>
        <w:adjustRightInd w:val="0"/>
        <w:spacing w:before="160" w:after="160"/>
        <w:ind w:left="426" w:firstLineChars="0" w:hanging="426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所有医疗设备必须提供符合国家标准的电源线，插头制式必须为中国标准制式，保证安全接地，不接受欧标、美标等制式电源线，设备出厂时间不能超过壹年。</w:t>
      </w:r>
    </w:p>
    <w:p w:rsidR="0048009F" w:rsidRDefault="005A6574">
      <w:pPr>
        <w:pStyle w:val="1"/>
        <w:numPr>
          <w:ilvl w:val="1"/>
          <w:numId w:val="2"/>
        </w:numPr>
        <w:adjustRightInd w:val="0"/>
        <w:spacing w:before="160" w:after="160"/>
        <w:ind w:left="426" w:firstLineChars="0" w:hanging="426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乙方逾期交付货物的，每逾期一天，乙方向甲方偿付货款总额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‰的滞纳金，如乙方逾期交货达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天，甲方有权解</w:t>
      </w:r>
      <w:r>
        <w:rPr>
          <w:rFonts w:ascii="宋体" w:hAnsi="宋体" w:hint="eastAsia"/>
          <w:sz w:val="24"/>
        </w:rPr>
        <w:t>除合同或双方协商赔偿方式。</w:t>
      </w:r>
    </w:p>
    <w:p w:rsidR="0048009F" w:rsidRDefault="005A6574">
      <w:pPr>
        <w:pStyle w:val="1"/>
        <w:numPr>
          <w:ilvl w:val="1"/>
          <w:numId w:val="2"/>
        </w:numPr>
        <w:adjustRightInd w:val="0"/>
        <w:spacing w:before="160" w:after="160"/>
        <w:ind w:left="426" w:firstLineChars="0" w:hanging="426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装机所产生的垃圾必须摆放整齐，不得有影响工作人员、病人等安全通过的行为。公司在装机后</w:t>
      </w:r>
      <w:r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小时内必须完成对包装拆除物的清理。因包装拆除物原因引起的医疗事故和纠纷，由公司承担全部法律和经济责任。</w:t>
      </w:r>
    </w:p>
    <w:p w:rsidR="0048009F" w:rsidRDefault="005A6574">
      <w:pPr>
        <w:pStyle w:val="1"/>
        <w:numPr>
          <w:ilvl w:val="1"/>
          <w:numId w:val="2"/>
        </w:numPr>
        <w:adjustRightInd w:val="0"/>
        <w:spacing w:before="160" w:after="160"/>
        <w:ind w:left="426" w:firstLineChars="0" w:hanging="426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设备安装、调试结束后，甲方对设备试用后进行验收（时间由甲、乙双方商定），乙方免费派工程师到达现场协助验收工作。保修期自甲方验收合格之日算起，保修期外故障待修复后只收配件费，免收上门费、人工费。</w:t>
      </w:r>
    </w:p>
    <w:p w:rsidR="0048009F" w:rsidRDefault="005A6574">
      <w:pPr>
        <w:pStyle w:val="1"/>
        <w:numPr>
          <w:ilvl w:val="1"/>
          <w:numId w:val="2"/>
        </w:numPr>
        <w:adjustRightInd w:val="0"/>
        <w:spacing w:before="160" w:after="160"/>
        <w:ind w:left="426" w:firstLineChars="0" w:hanging="426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上述设备免费保修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年，保修范围包括合同中所有配置。并确保设备保修期内开机率≥</w:t>
      </w:r>
      <w:r>
        <w:rPr>
          <w:rFonts w:ascii="宋体" w:hAnsi="宋体" w:hint="eastAsia"/>
          <w:sz w:val="24"/>
        </w:rPr>
        <w:t>95%</w:t>
      </w:r>
      <w:r>
        <w:rPr>
          <w:rFonts w:ascii="宋体" w:hAnsi="宋体" w:hint="eastAsia"/>
          <w:sz w:val="24"/>
        </w:rPr>
        <w:t>，如设备故</w:t>
      </w:r>
      <w:r>
        <w:rPr>
          <w:rFonts w:ascii="宋体" w:hAnsi="宋体" w:hint="eastAsia"/>
          <w:sz w:val="24"/>
        </w:rPr>
        <w:t>障停机率超过</w:t>
      </w:r>
      <w:r>
        <w:rPr>
          <w:rFonts w:ascii="宋体" w:hAnsi="宋体" w:hint="eastAsia"/>
          <w:sz w:val="24"/>
        </w:rPr>
        <w:t>5%</w:t>
      </w:r>
      <w:r>
        <w:rPr>
          <w:rFonts w:ascii="宋体" w:hAnsi="宋体" w:hint="eastAsia"/>
          <w:sz w:val="24"/>
        </w:rPr>
        <w:t>（一年按</w:t>
      </w:r>
      <w:r>
        <w:rPr>
          <w:rFonts w:ascii="宋体" w:hAnsi="宋体" w:hint="eastAsia"/>
          <w:sz w:val="24"/>
        </w:rPr>
        <w:t>365</w:t>
      </w:r>
      <w:r>
        <w:rPr>
          <w:rFonts w:ascii="宋体" w:hAnsi="宋体" w:hint="eastAsia"/>
          <w:sz w:val="24"/>
        </w:rPr>
        <w:t>天计算，每年</w:t>
      </w:r>
      <w:r>
        <w:rPr>
          <w:rFonts w:ascii="宋体" w:hAnsi="宋体" w:hint="eastAsia"/>
          <w:sz w:val="24"/>
        </w:rPr>
        <w:t>18</w:t>
      </w:r>
      <w:r>
        <w:rPr>
          <w:rFonts w:ascii="宋体" w:hAnsi="宋体" w:hint="eastAsia"/>
          <w:sz w:val="24"/>
        </w:rPr>
        <w:t>天），每超过一天，保修期延长两周。保修期外乙方对本设备终身负责维修。</w:t>
      </w:r>
    </w:p>
    <w:p w:rsidR="0048009F" w:rsidRDefault="005A6574">
      <w:pPr>
        <w:pStyle w:val="1"/>
        <w:numPr>
          <w:ilvl w:val="1"/>
          <w:numId w:val="2"/>
        </w:numPr>
        <w:adjustRightInd w:val="0"/>
        <w:spacing w:before="160" w:after="160"/>
        <w:ind w:left="426" w:firstLineChars="0" w:hanging="426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如设备发生故障，乙方在接到甲方报修电话后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小时之内响应，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小时内到达甲方现场（若无维修站点，</w:t>
      </w:r>
      <w:r>
        <w:rPr>
          <w:rFonts w:ascii="宋体" w:hAnsi="宋体" w:hint="eastAsia"/>
          <w:sz w:val="24"/>
        </w:rPr>
        <w:t>24</w:t>
      </w:r>
      <w:r>
        <w:rPr>
          <w:rFonts w:ascii="宋体" w:hAnsi="宋体" w:hint="eastAsia"/>
          <w:sz w:val="24"/>
        </w:rPr>
        <w:t>小时内到达现场），</w:t>
      </w:r>
      <w:r>
        <w:rPr>
          <w:rFonts w:ascii="宋体" w:hAnsi="宋体" w:hint="eastAsia"/>
          <w:sz w:val="24"/>
        </w:rPr>
        <w:t>48</w:t>
      </w:r>
      <w:r>
        <w:rPr>
          <w:rFonts w:ascii="宋体" w:hAnsi="宋体" w:hint="eastAsia"/>
          <w:sz w:val="24"/>
        </w:rPr>
        <w:t>小时内修复或免费提供备用机，否则甲方可自行采取必要的措施，由此产生的风险和费用由乙方承担。如有特殊情况，乙方应立即电话通知甲方不能响应的原因，在获得甲方同意后，才可推迟响应时间。</w:t>
      </w:r>
    </w:p>
    <w:p w:rsidR="0048009F" w:rsidRDefault="005A6574">
      <w:pPr>
        <w:pStyle w:val="1"/>
        <w:numPr>
          <w:ilvl w:val="1"/>
          <w:numId w:val="2"/>
        </w:numPr>
        <w:adjustRightInd w:val="0"/>
        <w:spacing w:before="160" w:after="160"/>
        <w:ind w:left="426" w:firstLineChars="0" w:hanging="426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保修期内每年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次定期维护。</w:t>
      </w:r>
    </w:p>
    <w:p w:rsidR="0048009F" w:rsidRDefault="005A6574">
      <w:pPr>
        <w:pStyle w:val="1"/>
        <w:numPr>
          <w:ilvl w:val="1"/>
          <w:numId w:val="2"/>
        </w:numPr>
        <w:adjustRightInd w:val="0"/>
        <w:spacing w:before="160" w:after="160"/>
        <w:ind w:left="426" w:firstLineChars="0" w:hanging="426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无论在保修期内还是保修期外，乙方必须上门维修，乙方工程师至甲方维修</w:t>
      </w:r>
      <w:r>
        <w:rPr>
          <w:rFonts w:ascii="宋体" w:hAnsi="宋体" w:hint="eastAsia"/>
          <w:sz w:val="24"/>
        </w:rPr>
        <w:t>本设备，必须事先与甲方设备科取得联系，并做相应登记；在维修过程中与甲方工程师共同完成维修工作。否则引起的一切责任由乙方负责。</w:t>
      </w:r>
    </w:p>
    <w:p w:rsidR="0048009F" w:rsidRDefault="005A6574">
      <w:pPr>
        <w:pStyle w:val="1"/>
        <w:numPr>
          <w:ilvl w:val="1"/>
          <w:numId w:val="2"/>
        </w:numPr>
        <w:adjustRightInd w:val="0"/>
        <w:spacing w:before="160" w:after="160"/>
        <w:ind w:left="426" w:firstLineChars="0" w:hanging="426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如设备软件升级，乙方负责免费软件升级，保证软件为最新、最高版本。</w:t>
      </w:r>
    </w:p>
    <w:p w:rsidR="0048009F" w:rsidRDefault="005A6574">
      <w:pPr>
        <w:pStyle w:val="1"/>
        <w:numPr>
          <w:ilvl w:val="1"/>
          <w:numId w:val="2"/>
        </w:numPr>
        <w:adjustRightInd w:val="0"/>
        <w:spacing w:before="160" w:after="160"/>
        <w:ind w:left="426" w:firstLineChars="0" w:hanging="426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如有设备具有远程维修诊断功能，乙方负责免费为甲方安装。</w:t>
      </w:r>
    </w:p>
    <w:p w:rsidR="0048009F" w:rsidRDefault="005A6574">
      <w:pPr>
        <w:pStyle w:val="1"/>
        <w:numPr>
          <w:ilvl w:val="1"/>
          <w:numId w:val="2"/>
        </w:numPr>
        <w:adjustRightInd w:val="0"/>
        <w:spacing w:before="160" w:after="160"/>
        <w:ind w:left="426" w:firstLineChars="0" w:hanging="426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乙方免费提供全套资料，含产品合格证（国产设备）、出厂计量合格证（强检设备）、操作手册、维修手册（含详细电路图）、海关报关单（进口设备）、商检合格证明（进口设备），如技术资料不全，甲方有权不支付货款。</w:t>
      </w:r>
    </w:p>
    <w:p w:rsidR="0048009F" w:rsidRDefault="005A6574">
      <w:pPr>
        <w:pStyle w:val="1"/>
        <w:numPr>
          <w:ilvl w:val="1"/>
          <w:numId w:val="2"/>
        </w:numPr>
        <w:adjustRightInd w:val="0"/>
        <w:spacing w:before="160" w:after="160"/>
        <w:ind w:left="426" w:firstLineChars="0" w:hanging="426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技术培训：在安装过程中或安装结束后，乙方工程师或有关人员有义务对</w:t>
      </w:r>
      <w:r>
        <w:rPr>
          <w:rFonts w:ascii="宋体" w:hAnsi="宋体" w:hint="eastAsia"/>
          <w:sz w:val="24"/>
        </w:rPr>
        <w:t>甲方工程师和操作人员进行现场维修、保养、操作培训并提供快捷操作指南（过塑封好，挂在设备上），解答甲方人员提出的问题。必要时提供正规培训班培训，确保操作人员掌握完成日常工作所需的基本操作方法为止，工程师掌握基本的维护保养操作技术为止。详见乙方公司承诺书。</w:t>
      </w:r>
    </w:p>
    <w:p w:rsidR="0048009F" w:rsidRDefault="005A6574">
      <w:pPr>
        <w:pStyle w:val="1"/>
        <w:numPr>
          <w:ilvl w:val="1"/>
          <w:numId w:val="2"/>
        </w:numPr>
        <w:adjustRightInd w:val="0"/>
        <w:spacing w:before="160" w:after="160"/>
        <w:ind w:left="426" w:firstLineChars="0" w:hanging="426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如乙方提供的设备设有维修软件密码，乙方保证无条件地为甲方永久免费打开。</w:t>
      </w:r>
      <w:r>
        <w:rPr>
          <w:rFonts w:ascii="宋体" w:hAnsi="宋体" w:hint="eastAsia"/>
          <w:sz w:val="24"/>
        </w:rPr>
        <w:br w:type="page"/>
      </w:r>
    </w:p>
    <w:p w:rsidR="0048009F" w:rsidRDefault="005A6574">
      <w:pPr>
        <w:pStyle w:val="1"/>
        <w:adjustRightInd w:val="0"/>
        <w:spacing w:before="160" w:after="160"/>
        <w:ind w:firstLineChars="0" w:firstLine="0"/>
        <w:contextualSpacing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：材料真实性及购销廉洁声明</w:t>
      </w:r>
    </w:p>
    <w:p w:rsidR="0048009F" w:rsidRDefault="0048009F">
      <w:pPr>
        <w:pStyle w:val="1"/>
        <w:adjustRightInd w:val="0"/>
        <w:spacing w:before="160" w:after="160"/>
        <w:ind w:firstLineChars="0" w:firstLine="0"/>
        <w:contextualSpacing/>
        <w:rPr>
          <w:rFonts w:ascii="宋体" w:hAnsi="宋体"/>
          <w:sz w:val="24"/>
        </w:rPr>
      </w:pPr>
    </w:p>
    <w:p w:rsidR="0048009F" w:rsidRDefault="005A6574">
      <w:pPr>
        <w:pStyle w:val="1"/>
        <w:adjustRightInd w:val="0"/>
        <w:spacing w:before="160" w:after="160"/>
        <w:ind w:firstLineChars="0" w:firstLine="0"/>
        <w:contextualSpacing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承诺书</w:t>
      </w:r>
    </w:p>
    <w:p w:rsidR="0048009F" w:rsidRDefault="005A6574">
      <w:pPr>
        <w:pStyle w:val="1"/>
        <w:adjustRightInd w:val="0"/>
        <w:snapToGrid w:val="0"/>
        <w:spacing w:before="160" w:after="160" w:line="360" w:lineRule="auto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江苏省</w:t>
      </w:r>
      <w:r>
        <w:rPr>
          <w:rFonts w:ascii="宋体" w:hAnsi="宋体" w:hint="eastAsia"/>
          <w:sz w:val="24"/>
        </w:rPr>
        <w:t>康新戒毒所</w:t>
      </w:r>
      <w:r>
        <w:rPr>
          <w:rFonts w:ascii="宋体" w:hAnsi="宋体" w:hint="eastAsia"/>
          <w:sz w:val="24"/>
        </w:rPr>
        <w:t>（江苏省监狱管理局</w:t>
      </w:r>
      <w:r>
        <w:rPr>
          <w:rFonts w:ascii="宋体" w:hAnsi="宋体" w:hint="eastAsia"/>
          <w:sz w:val="24"/>
        </w:rPr>
        <w:t>江北</w:t>
      </w:r>
      <w:r>
        <w:rPr>
          <w:rFonts w:ascii="宋体" w:hAnsi="宋体" w:hint="eastAsia"/>
          <w:sz w:val="24"/>
        </w:rPr>
        <w:t>医院）：</w:t>
      </w:r>
    </w:p>
    <w:p w:rsidR="0048009F" w:rsidRDefault="005A6574">
      <w:pPr>
        <w:pStyle w:val="1"/>
        <w:adjustRightInd w:val="0"/>
        <w:snapToGrid w:val="0"/>
        <w:spacing w:before="160" w:after="160"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针对贵院此次调研，我公司郑重承诺：所提供资料（以骑缝章为准）真实有效，无任何虚假成分。如有虚假，由此产生的一切后果由本公司承担。</w:t>
      </w:r>
    </w:p>
    <w:p w:rsidR="0048009F" w:rsidRDefault="005A6574">
      <w:pPr>
        <w:pStyle w:val="1"/>
        <w:adjustRightInd w:val="0"/>
        <w:snapToGrid w:val="0"/>
        <w:spacing w:before="160" w:after="160"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:rsidR="0048009F" w:rsidRDefault="005A6574">
      <w:pPr>
        <w:pStyle w:val="1"/>
        <w:adjustRightInd w:val="0"/>
        <w:snapToGrid w:val="0"/>
        <w:spacing w:before="160" w:after="160"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一、我方按照《合同法》及本承诺购销医疗设备及相关服务。</w:t>
      </w:r>
    </w:p>
    <w:p w:rsidR="0048009F" w:rsidRDefault="005A6574">
      <w:pPr>
        <w:pStyle w:val="1"/>
        <w:adjustRightInd w:val="0"/>
        <w:snapToGrid w:val="0"/>
        <w:spacing w:before="160" w:after="160"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二、我方不以回扣、宴请等方式影响医院工作人员采购或使用产品的选择权，不在学术活动中提供旅游、超标准支付食宿等费用。</w:t>
      </w:r>
    </w:p>
    <w:p w:rsidR="0048009F" w:rsidRDefault="005A6574">
      <w:pPr>
        <w:pStyle w:val="1"/>
        <w:adjustRightInd w:val="0"/>
        <w:snapToGrid w:val="0"/>
        <w:spacing w:before="160" w:after="160"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三、我方指定销售代表承诺在工作时间到医院指定地点联系商谈，不到使用科室等推销产品，不借故到医院相关领导、部门负责人及相关工作人员家中访谈并提供任何好处费等。</w:t>
      </w:r>
    </w:p>
    <w:p w:rsidR="0048009F" w:rsidRDefault="005A6574">
      <w:pPr>
        <w:pStyle w:val="1"/>
        <w:adjustRightInd w:val="0"/>
        <w:snapToGrid w:val="0"/>
        <w:spacing w:before="160" w:after="160"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</w:t>
      </w:r>
      <w:r>
        <w:rPr>
          <w:rFonts w:ascii="宋体" w:hAnsi="宋体" w:hint="eastAsia"/>
          <w:sz w:val="24"/>
        </w:rPr>
        <w:t>[2013]50</w:t>
      </w:r>
      <w:r>
        <w:rPr>
          <w:rFonts w:ascii="宋体" w:hAnsi="宋体" w:hint="eastAsia"/>
          <w:sz w:val="24"/>
        </w:rPr>
        <w:t>号）相关规定处理。</w:t>
      </w:r>
    </w:p>
    <w:p w:rsidR="0048009F" w:rsidRDefault="005A6574">
      <w:pPr>
        <w:pStyle w:val="1"/>
        <w:adjustRightInd w:val="0"/>
        <w:snapToGrid w:val="0"/>
        <w:spacing w:before="160" w:after="160"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五、本承诺作为产品购销合同的重要组成部分，与购销合同一并执行，具有同等法律效力。</w:t>
      </w:r>
    </w:p>
    <w:p w:rsidR="0048009F" w:rsidRDefault="0048009F">
      <w:pPr>
        <w:pStyle w:val="1"/>
        <w:adjustRightInd w:val="0"/>
        <w:snapToGrid w:val="0"/>
        <w:spacing w:before="160" w:after="160" w:line="360" w:lineRule="auto"/>
        <w:ind w:firstLineChars="0" w:firstLine="0"/>
        <w:rPr>
          <w:rFonts w:ascii="宋体" w:hAnsi="宋体"/>
          <w:sz w:val="24"/>
        </w:rPr>
      </w:pPr>
    </w:p>
    <w:p w:rsidR="0048009F" w:rsidRDefault="0048009F">
      <w:pPr>
        <w:pStyle w:val="1"/>
        <w:adjustRightInd w:val="0"/>
        <w:snapToGrid w:val="0"/>
        <w:spacing w:before="160" w:after="160" w:line="360" w:lineRule="auto"/>
        <w:ind w:firstLineChars="0" w:firstLine="0"/>
        <w:rPr>
          <w:rFonts w:ascii="宋体" w:hAnsi="宋体"/>
          <w:sz w:val="24"/>
        </w:rPr>
      </w:pPr>
    </w:p>
    <w:p w:rsidR="0048009F" w:rsidRDefault="0048009F">
      <w:pPr>
        <w:pStyle w:val="1"/>
        <w:adjustRightInd w:val="0"/>
        <w:snapToGrid w:val="0"/>
        <w:spacing w:before="160" w:after="160" w:line="360" w:lineRule="auto"/>
        <w:ind w:firstLineChars="0" w:firstLine="0"/>
        <w:rPr>
          <w:rFonts w:ascii="宋体" w:hAnsi="宋体"/>
          <w:sz w:val="24"/>
        </w:rPr>
      </w:pPr>
    </w:p>
    <w:p w:rsidR="0048009F" w:rsidRDefault="005A6574">
      <w:pPr>
        <w:pStyle w:val="1"/>
        <w:adjustRightInd w:val="0"/>
        <w:snapToGrid w:val="0"/>
        <w:spacing w:before="160" w:after="160"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公司（签章）</w:t>
      </w:r>
    </w:p>
    <w:p w:rsidR="0048009F" w:rsidRDefault="005A6574">
      <w:pPr>
        <w:pStyle w:val="1"/>
        <w:adjustRightInd w:val="0"/>
        <w:snapToGrid w:val="0"/>
        <w:spacing w:before="160" w:after="160"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</w:p>
    <w:p w:rsidR="0048009F" w:rsidRDefault="005A6574">
      <w:pPr>
        <w:pStyle w:val="1"/>
        <w:adjustRightInd w:val="0"/>
        <w:snapToGrid w:val="0"/>
        <w:spacing w:before="160" w:after="160" w:line="360" w:lineRule="auto"/>
        <w:ind w:firstLineChars="0" w:firstLine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hint="eastAsia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黑体" w:eastAsia="黑体" w:hAnsi="黑体"/>
          <w:sz w:val="28"/>
          <w:szCs w:val="28"/>
        </w:rPr>
        <w:t xml:space="preserve"> 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2409"/>
        <w:gridCol w:w="1125"/>
        <w:gridCol w:w="1080"/>
        <w:gridCol w:w="1065"/>
        <w:gridCol w:w="2153"/>
      </w:tblGrid>
      <w:tr w:rsidR="0048009F">
        <w:trPr>
          <w:trHeight w:val="600"/>
          <w:jc w:val="center"/>
        </w:trPr>
        <w:tc>
          <w:tcPr>
            <w:tcW w:w="8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009F" w:rsidRDefault="005A6574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年医疗设备拟采购清单</w:t>
            </w:r>
          </w:p>
        </w:tc>
      </w:tr>
      <w:tr w:rsidR="0048009F">
        <w:trPr>
          <w:trHeight w:val="492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5A6574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5A6574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5A6574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5A6574">
            <w:pPr>
              <w:widowControl/>
              <w:jc w:val="center"/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5A6574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2"/>
                <w:szCs w:val="22"/>
              </w:rPr>
              <w:t>预算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5A6574">
            <w:pPr>
              <w:widowControl/>
              <w:jc w:val="center"/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48009F">
        <w:trPr>
          <w:trHeight w:val="74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5A6574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5A6574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心理量表检查软件系统（心理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CT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5A6574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5A6574">
            <w:pPr>
              <w:widowControl/>
              <w:jc w:val="center"/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5A6574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万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5A6574">
            <w:pPr>
              <w:widowControl/>
              <w:jc w:val="left"/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可连入医院信息化系统</w:t>
            </w:r>
          </w:p>
        </w:tc>
      </w:tr>
      <w:tr w:rsidR="0048009F">
        <w:trPr>
          <w:trHeight w:val="74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5A6574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5A6574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除颤仪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5A6574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5A6574">
            <w:pPr>
              <w:widowControl/>
              <w:jc w:val="center"/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5A6574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4.5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万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48009F">
            <w:pPr>
              <w:widowControl/>
              <w:jc w:val="left"/>
            </w:pPr>
          </w:p>
        </w:tc>
      </w:tr>
      <w:tr w:rsidR="0048009F">
        <w:trPr>
          <w:trHeight w:val="74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5A6574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5A6574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监护仪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5A6574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5A6574">
            <w:pPr>
              <w:widowControl/>
              <w:jc w:val="center"/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5A6574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3.5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万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48009F">
            <w:pPr>
              <w:widowControl/>
              <w:jc w:val="left"/>
            </w:pPr>
          </w:p>
        </w:tc>
      </w:tr>
      <w:tr w:rsidR="0048009F">
        <w:trPr>
          <w:trHeight w:val="74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5A6574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5A6574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心电图机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5A6574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5A6574">
            <w:pPr>
              <w:widowControl/>
              <w:jc w:val="center"/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5A6574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万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5A6574">
            <w:pPr>
              <w:widowControl/>
              <w:jc w:val="left"/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与现有心电系统相匹配兼容</w:t>
            </w:r>
          </w:p>
        </w:tc>
      </w:tr>
      <w:tr w:rsidR="0048009F">
        <w:trPr>
          <w:trHeight w:val="74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48009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48009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48009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48009F">
            <w:pPr>
              <w:widowControl/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48009F">
            <w:pPr>
              <w:widowControl/>
              <w:jc w:val="center"/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48009F">
            <w:pPr>
              <w:widowControl/>
              <w:jc w:val="left"/>
            </w:pPr>
          </w:p>
        </w:tc>
      </w:tr>
      <w:tr w:rsidR="0048009F">
        <w:trPr>
          <w:trHeight w:val="74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48009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48009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48009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48009F">
            <w:pPr>
              <w:widowControl/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48009F">
            <w:pPr>
              <w:widowControl/>
              <w:jc w:val="center"/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48009F">
            <w:pPr>
              <w:widowControl/>
              <w:jc w:val="left"/>
            </w:pPr>
          </w:p>
        </w:tc>
      </w:tr>
      <w:tr w:rsidR="0048009F">
        <w:trPr>
          <w:trHeight w:val="74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48009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48009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48009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48009F">
            <w:pPr>
              <w:widowControl/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48009F">
            <w:pPr>
              <w:widowControl/>
              <w:jc w:val="center"/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F" w:rsidRDefault="005A6574">
            <w:pPr>
              <w:widowControl/>
              <w:jc w:val="left"/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8009F">
        <w:trPr>
          <w:trHeight w:val="744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48009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48009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48009F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48009F">
            <w:pPr>
              <w:widowControl/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48009F">
            <w:pPr>
              <w:widowControl/>
              <w:jc w:val="center"/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F" w:rsidRDefault="005A6574">
            <w:pPr>
              <w:widowControl/>
              <w:jc w:val="left"/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8009F" w:rsidRDefault="0048009F">
      <w:pPr>
        <w:pStyle w:val="1"/>
        <w:adjustRightInd w:val="0"/>
        <w:snapToGrid w:val="0"/>
        <w:spacing w:before="160" w:after="160" w:line="360" w:lineRule="auto"/>
        <w:ind w:firstLineChars="0" w:firstLine="0"/>
        <w:jc w:val="left"/>
        <w:rPr>
          <w:rFonts w:ascii="黑体" w:eastAsia="黑体" w:hAnsi="黑体"/>
          <w:sz w:val="28"/>
          <w:szCs w:val="28"/>
        </w:rPr>
      </w:pPr>
    </w:p>
    <w:sectPr w:rsidR="0048009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74" w:rsidRDefault="005A6574">
      <w:r>
        <w:separator/>
      </w:r>
    </w:p>
  </w:endnote>
  <w:endnote w:type="continuationSeparator" w:id="0">
    <w:p w:rsidR="005A6574" w:rsidRDefault="005A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317658"/>
    </w:sdtPr>
    <w:sdtEndPr/>
    <w:sdtContent>
      <w:p w:rsidR="0048009F" w:rsidRDefault="005A65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C94" w:rsidRPr="009A1C94">
          <w:rPr>
            <w:noProof/>
            <w:lang w:val="zh-CN"/>
          </w:rPr>
          <w:t>1</w:t>
        </w:r>
        <w:r>
          <w:fldChar w:fldCharType="end"/>
        </w:r>
      </w:p>
    </w:sdtContent>
  </w:sdt>
  <w:p w:rsidR="0048009F" w:rsidRDefault="004800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74" w:rsidRDefault="005A6574">
      <w:r>
        <w:separator/>
      </w:r>
    </w:p>
  </w:footnote>
  <w:footnote w:type="continuationSeparator" w:id="0">
    <w:p w:rsidR="005A6574" w:rsidRDefault="005A6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0EA7"/>
    <w:multiLevelType w:val="multilevel"/>
    <w:tmpl w:val="384D0EA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801452"/>
    <w:multiLevelType w:val="multilevel"/>
    <w:tmpl w:val="5B801452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75"/>
    <w:rsid w:val="00024416"/>
    <w:rsid w:val="00031C33"/>
    <w:rsid w:val="00047188"/>
    <w:rsid w:val="00055F1B"/>
    <w:rsid w:val="00074631"/>
    <w:rsid w:val="000B7A46"/>
    <w:rsid w:val="000C3DCF"/>
    <w:rsid w:val="000C6075"/>
    <w:rsid w:val="000F5B12"/>
    <w:rsid w:val="000F639D"/>
    <w:rsid w:val="0011546F"/>
    <w:rsid w:val="00115E5C"/>
    <w:rsid w:val="00143A74"/>
    <w:rsid w:val="00161A60"/>
    <w:rsid w:val="001650CE"/>
    <w:rsid w:val="001B0C5F"/>
    <w:rsid w:val="001D13FF"/>
    <w:rsid w:val="001E0D4A"/>
    <w:rsid w:val="001E370D"/>
    <w:rsid w:val="00212F7B"/>
    <w:rsid w:val="00230953"/>
    <w:rsid w:val="002410FD"/>
    <w:rsid w:val="00246C14"/>
    <w:rsid w:val="00266720"/>
    <w:rsid w:val="00285AA0"/>
    <w:rsid w:val="002A2F6C"/>
    <w:rsid w:val="002B5AC0"/>
    <w:rsid w:val="002B701D"/>
    <w:rsid w:val="002F32F4"/>
    <w:rsid w:val="00301FBD"/>
    <w:rsid w:val="0035207A"/>
    <w:rsid w:val="003603A6"/>
    <w:rsid w:val="003623C9"/>
    <w:rsid w:val="00380AC8"/>
    <w:rsid w:val="00381F14"/>
    <w:rsid w:val="003B2832"/>
    <w:rsid w:val="003B2E34"/>
    <w:rsid w:val="003C1036"/>
    <w:rsid w:val="003C7EFF"/>
    <w:rsid w:val="00401CE8"/>
    <w:rsid w:val="00405B88"/>
    <w:rsid w:val="00460B7A"/>
    <w:rsid w:val="0048009F"/>
    <w:rsid w:val="00486B08"/>
    <w:rsid w:val="00495A70"/>
    <w:rsid w:val="004C0B71"/>
    <w:rsid w:val="004C60AD"/>
    <w:rsid w:val="004D69D5"/>
    <w:rsid w:val="004E661D"/>
    <w:rsid w:val="00503349"/>
    <w:rsid w:val="005107CC"/>
    <w:rsid w:val="00536220"/>
    <w:rsid w:val="00546E79"/>
    <w:rsid w:val="005509E3"/>
    <w:rsid w:val="005665A8"/>
    <w:rsid w:val="00577275"/>
    <w:rsid w:val="00596A4E"/>
    <w:rsid w:val="005A247F"/>
    <w:rsid w:val="005A5ECE"/>
    <w:rsid w:val="005A6574"/>
    <w:rsid w:val="005B741B"/>
    <w:rsid w:val="005C25B5"/>
    <w:rsid w:val="005E54DB"/>
    <w:rsid w:val="005E5A85"/>
    <w:rsid w:val="005F3546"/>
    <w:rsid w:val="006063DE"/>
    <w:rsid w:val="00624973"/>
    <w:rsid w:val="0062736D"/>
    <w:rsid w:val="006409AD"/>
    <w:rsid w:val="0064338B"/>
    <w:rsid w:val="006474DB"/>
    <w:rsid w:val="00660C42"/>
    <w:rsid w:val="006A48ED"/>
    <w:rsid w:val="006D49E3"/>
    <w:rsid w:val="006E074F"/>
    <w:rsid w:val="006E7636"/>
    <w:rsid w:val="006F1F40"/>
    <w:rsid w:val="006F660E"/>
    <w:rsid w:val="00711EFA"/>
    <w:rsid w:val="00736302"/>
    <w:rsid w:val="007412FA"/>
    <w:rsid w:val="00746D0B"/>
    <w:rsid w:val="00757149"/>
    <w:rsid w:val="00757A80"/>
    <w:rsid w:val="00796CC9"/>
    <w:rsid w:val="007A2B9B"/>
    <w:rsid w:val="007A4280"/>
    <w:rsid w:val="007B10FF"/>
    <w:rsid w:val="007B4202"/>
    <w:rsid w:val="007C5529"/>
    <w:rsid w:val="007C6150"/>
    <w:rsid w:val="007D17B1"/>
    <w:rsid w:val="007F058F"/>
    <w:rsid w:val="007F5E29"/>
    <w:rsid w:val="0080785D"/>
    <w:rsid w:val="00824C8A"/>
    <w:rsid w:val="0083189F"/>
    <w:rsid w:val="008463C2"/>
    <w:rsid w:val="00854F1C"/>
    <w:rsid w:val="00882379"/>
    <w:rsid w:val="008A42F8"/>
    <w:rsid w:val="008A57E7"/>
    <w:rsid w:val="008C7487"/>
    <w:rsid w:val="00912B1B"/>
    <w:rsid w:val="00916B84"/>
    <w:rsid w:val="0092401D"/>
    <w:rsid w:val="00965241"/>
    <w:rsid w:val="00981E17"/>
    <w:rsid w:val="009A1C94"/>
    <w:rsid w:val="009A6AF9"/>
    <w:rsid w:val="009C10A1"/>
    <w:rsid w:val="009F7D3F"/>
    <w:rsid w:val="00A42A0D"/>
    <w:rsid w:val="00A64B4B"/>
    <w:rsid w:val="00A9733B"/>
    <w:rsid w:val="00AA067E"/>
    <w:rsid w:val="00AA28E1"/>
    <w:rsid w:val="00AC6083"/>
    <w:rsid w:val="00AC62B6"/>
    <w:rsid w:val="00AD018F"/>
    <w:rsid w:val="00AD5338"/>
    <w:rsid w:val="00AE5CEB"/>
    <w:rsid w:val="00B31134"/>
    <w:rsid w:val="00B52545"/>
    <w:rsid w:val="00B6595D"/>
    <w:rsid w:val="00B66FB8"/>
    <w:rsid w:val="00B97E1D"/>
    <w:rsid w:val="00BB0B95"/>
    <w:rsid w:val="00BB0C82"/>
    <w:rsid w:val="00BB47FA"/>
    <w:rsid w:val="00BC686D"/>
    <w:rsid w:val="00BC6E3D"/>
    <w:rsid w:val="00BE2FB1"/>
    <w:rsid w:val="00BE6BFA"/>
    <w:rsid w:val="00C00955"/>
    <w:rsid w:val="00C2016F"/>
    <w:rsid w:val="00C24BC2"/>
    <w:rsid w:val="00C31776"/>
    <w:rsid w:val="00C45562"/>
    <w:rsid w:val="00C50B69"/>
    <w:rsid w:val="00C5352B"/>
    <w:rsid w:val="00C635EB"/>
    <w:rsid w:val="00C65ABD"/>
    <w:rsid w:val="00C80A43"/>
    <w:rsid w:val="00C82832"/>
    <w:rsid w:val="00C91335"/>
    <w:rsid w:val="00C94CCF"/>
    <w:rsid w:val="00CA08C3"/>
    <w:rsid w:val="00CA58BE"/>
    <w:rsid w:val="00CB4134"/>
    <w:rsid w:val="00CD5241"/>
    <w:rsid w:val="00D37D22"/>
    <w:rsid w:val="00D541FC"/>
    <w:rsid w:val="00D66639"/>
    <w:rsid w:val="00D960B9"/>
    <w:rsid w:val="00DA4650"/>
    <w:rsid w:val="00DA5218"/>
    <w:rsid w:val="00DA6FC0"/>
    <w:rsid w:val="00DB1394"/>
    <w:rsid w:val="00DC3E1C"/>
    <w:rsid w:val="00E04CFB"/>
    <w:rsid w:val="00E233BF"/>
    <w:rsid w:val="00E27E4B"/>
    <w:rsid w:val="00E465EA"/>
    <w:rsid w:val="00E5468C"/>
    <w:rsid w:val="00E57098"/>
    <w:rsid w:val="00E60568"/>
    <w:rsid w:val="00E67F6F"/>
    <w:rsid w:val="00E81B18"/>
    <w:rsid w:val="00EA6E80"/>
    <w:rsid w:val="00EB5FB2"/>
    <w:rsid w:val="00EF76A4"/>
    <w:rsid w:val="00F72371"/>
    <w:rsid w:val="00F7318A"/>
    <w:rsid w:val="00F83BC4"/>
    <w:rsid w:val="00F940DC"/>
    <w:rsid w:val="00FA75B8"/>
    <w:rsid w:val="00FB42F8"/>
    <w:rsid w:val="00FB5DE9"/>
    <w:rsid w:val="00FB769B"/>
    <w:rsid w:val="00FB7E4C"/>
    <w:rsid w:val="00FC00DD"/>
    <w:rsid w:val="00FC02DC"/>
    <w:rsid w:val="00FC1527"/>
    <w:rsid w:val="00FE44ED"/>
    <w:rsid w:val="1A8C20A8"/>
    <w:rsid w:val="278D4D0B"/>
    <w:rsid w:val="2D363D3A"/>
    <w:rsid w:val="44D44E44"/>
    <w:rsid w:val="528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D95816-39C4-4996-885D-9686207A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455</Words>
  <Characters>2600</Characters>
  <Application>Microsoft Office Word</Application>
  <DocSecurity>0</DocSecurity>
  <Lines>21</Lines>
  <Paragraphs>6</Paragraphs>
  <ScaleCrop>false</ScaleCrop>
  <Company>Microsoft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陈艳	(cy)</cp:lastModifiedBy>
  <cp:revision>4</cp:revision>
  <cp:lastPrinted>2024-07-24T07:36:00Z</cp:lastPrinted>
  <dcterms:created xsi:type="dcterms:W3CDTF">2025-04-22T07:24:00Z</dcterms:created>
  <dcterms:modified xsi:type="dcterms:W3CDTF">2025-04-22T07:42:00Z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