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楷体_GB2312"/>
          <w:b/>
          <w:sz w:val="36"/>
          <w:szCs w:val="36"/>
        </w:rPr>
      </w:pPr>
      <w:r>
        <w:rPr>
          <w:rFonts w:hint="eastAsia" w:ascii="宋体" w:hAnsi="宋体" w:eastAsia="宋体" w:cs="宋体"/>
          <w:b/>
          <w:sz w:val="52"/>
          <w:szCs w:val="52"/>
          <w:u w:val="single"/>
        </w:rPr>
        <w:t>江苏省南通女子监狱安防设施项目</w:t>
      </w:r>
    </w:p>
    <w:p>
      <w:pPr>
        <w:autoSpaceDE w:val="0"/>
        <w:autoSpaceDN w:val="0"/>
        <w:adjustRightInd w:val="0"/>
        <w:jc w:val="center"/>
        <w:rPr>
          <w:rFonts w:hint="eastAsia"/>
          <w:szCs w:val="21"/>
        </w:rPr>
      </w:pPr>
    </w:p>
    <w:p>
      <w:pPr>
        <w:autoSpaceDE w:val="0"/>
        <w:autoSpaceDN w:val="0"/>
        <w:adjustRightInd w:val="0"/>
        <w:spacing w:line="1000" w:lineRule="exact"/>
        <w:jc w:val="center"/>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100"/>
          <w:szCs w:val="100"/>
        </w:rPr>
      </w:pPr>
      <w:r>
        <w:rPr>
          <w:rFonts w:hint="eastAsia" w:ascii="华文新魏" w:eastAsia="华文新魏"/>
          <w:b/>
          <w:bCs/>
          <w:sz w:val="100"/>
          <w:szCs w:val="100"/>
          <w:lang w:val="zh-CN"/>
        </w:rPr>
        <w:t>政府采购竞争性</w:t>
      </w:r>
    </w:p>
    <w:p>
      <w:pPr>
        <w:autoSpaceDE w:val="0"/>
        <w:autoSpaceDN w:val="0"/>
        <w:adjustRightInd w:val="0"/>
        <w:spacing w:line="1000" w:lineRule="exact"/>
        <w:jc w:val="center"/>
        <w:rPr>
          <w:rFonts w:hint="eastAsia"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hint="eastAsia" w:ascii="宋体" w:hAnsi="宋体"/>
          <w:sz w:val="36"/>
          <w:szCs w:val="36"/>
          <w:lang w:val="en-US" w:eastAsia="zh-CN"/>
        </w:rPr>
      </w:pPr>
      <w:r>
        <w:rPr>
          <w:rFonts w:hint="eastAsia" w:ascii="宋体" w:hAnsi="宋体"/>
          <w:sz w:val="36"/>
          <w:szCs w:val="36"/>
          <w:lang w:val="en-US" w:eastAsia="zh-CN"/>
        </w:rPr>
        <w:t>项目编号：JSZC-320000-NTJC-C2024-0032</w:t>
      </w: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jc w:val="center"/>
        <w:rPr>
          <w:szCs w:val="21"/>
        </w:rPr>
      </w:pPr>
      <w:r>
        <w:rPr>
          <w:rFonts w:hint="eastAsia" w:ascii="宋体"/>
          <w:kern w:val="0"/>
          <w:sz w:val="20"/>
          <w:szCs w:val="20"/>
          <w:lang w:val="zh-CN"/>
        </w:rPr>
        <w:object>
          <v:shape id="_x0000_i1025" o:spt="75" type="#_x0000_t75" style="height:127.8pt;width:166.8pt;" o:ole="t" filled="f" stroked="f" coordsize="21600,21600">
            <v:path/>
            <v:fill on="f" focussize="0,0"/>
            <v:stroke on="f"/>
            <v:imagedata r:id="rId12" o:title=""/>
            <o:lock v:ext="edit" aspectratio="t"/>
            <w10:wrap type="none"/>
            <w10:anchorlock/>
          </v:shape>
          <o:OLEObject Type="Embed" ProgID="MS_ClipArt_Gallery.5" ShapeID="_x0000_i1025" DrawAspect="Content" ObjectID="_1468075725" r:id="rId11">
            <o:LockedField>false</o:LockedField>
          </o:OLEObject>
        </w:object>
      </w: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采</w:t>
      </w:r>
      <w:r>
        <w:rPr>
          <w:rFonts w:hint="eastAsia" w:ascii="宋体" w:hAnsi="宋体" w:eastAsia="宋体" w:cs="宋体"/>
          <w:b/>
          <w:bCs/>
          <w:color w:val="auto"/>
          <w:spacing w:val="0"/>
          <w:sz w:val="28"/>
          <w:szCs w:val="28"/>
          <w:highlight w:val="none"/>
          <w:lang w:val="en-US" w:eastAsia="zh-CN"/>
        </w:rPr>
        <w:t xml:space="preserve">   </w:t>
      </w:r>
      <w:r>
        <w:rPr>
          <w:rFonts w:hint="eastAsia" w:ascii="宋体" w:hAnsi="宋体" w:eastAsia="宋体" w:cs="宋体"/>
          <w:b/>
          <w:bCs/>
          <w:color w:val="auto"/>
          <w:spacing w:val="0"/>
          <w:sz w:val="28"/>
          <w:szCs w:val="28"/>
          <w:highlight w:val="none"/>
        </w:rPr>
        <w:t>购</w:t>
      </w:r>
      <w:r>
        <w:rPr>
          <w:rFonts w:hint="eastAsia" w:ascii="宋体" w:hAnsi="宋体" w:eastAsia="宋体" w:cs="宋体"/>
          <w:b/>
          <w:bCs/>
          <w:color w:val="auto"/>
          <w:spacing w:val="0"/>
          <w:sz w:val="28"/>
          <w:szCs w:val="28"/>
          <w:highlight w:val="none"/>
          <w:lang w:val="en-US" w:eastAsia="zh-CN"/>
        </w:rPr>
        <w:t xml:space="preserve">   </w:t>
      </w:r>
      <w:r>
        <w:rPr>
          <w:rFonts w:hint="eastAsia" w:ascii="宋体" w:hAnsi="宋体" w:eastAsia="宋体" w:cs="宋体"/>
          <w:b/>
          <w:bCs/>
          <w:color w:val="auto"/>
          <w:spacing w:val="0"/>
          <w:sz w:val="28"/>
          <w:szCs w:val="28"/>
          <w:highlight w:val="none"/>
        </w:rPr>
        <w:t>人：</w:t>
      </w:r>
      <w:r>
        <w:rPr>
          <w:rFonts w:hint="eastAsia" w:ascii="宋体" w:hAnsi="宋体" w:eastAsia="宋体" w:cs="宋体"/>
          <w:b/>
          <w:bCs/>
          <w:color w:val="auto"/>
          <w:spacing w:val="0"/>
          <w:sz w:val="28"/>
          <w:szCs w:val="28"/>
          <w:highlight w:val="none"/>
          <w:lang w:eastAsia="zh-CN"/>
        </w:rPr>
        <w:t>江苏省南通女子监狱</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pacing w:val="0"/>
          <w:sz w:val="28"/>
          <w:szCs w:val="28"/>
          <w:highlight w:val="none"/>
          <w:lang w:eastAsia="zh-CN"/>
        </w:rPr>
      </w:pPr>
      <w:bookmarkStart w:id="0" w:name="_Toc23871"/>
      <w:r>
        <w:rPr>
          <w:rFonts w:hint="eastAsia" w:ascii="宋体" w:hAnsi="宋体" w:eastAsia="宋体" w:cs="宋体"/>
          <w:b/>
          <w:bCs/>
          <w:color w:val="auto"/>
          <w:spacing w:val="0"/>
          <w:sz w:val="28"/>
          <w:szCs w:val="28"/>
          <w:highlight w:val="none"/>
        </w:rPr>
        <w:t>采购代理机构：</w:t>
      </w:r>
      <w:bookmarkEnd w:id="0"/>
      <w:r>
        <w:rPr>
          <w:rFonts w:hint="eastAsia" w:ascii="宋体" w:hAnsi="宋体" w:eastAsia="宋体" w:cs="宋体"/>
          <w:b/>
          <w:bCs/>
          <w:color w:val="auto"/>
          <w:spacing w:val="0"/>
          <w:sz w:val="28"/>
          <w:szCs w:val="28"/>
          <w:highlight w:val="none"/>
          <w:lang w:eastAsia="zh-CN"/>
        </w:rPr>
        <w:t>南通建辰工程咨询有限公司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spacing w:val="20"/>
          <w:sz w:val="28"/>
          <w:szCs w:val="28"/>
          <w:lang w:eastAsia="zh-CN"/>
        </w:rPr>
      </w:pPr>
      <w:r>
        <w:rPr>
          <w:rFonts w:hint="eastAsia" w:ascii="宋体" w:hAnsi="宋体" w:eastAsia="宋体" w:cs="宋体"/>
          <w:b/>
          <w:bCs/>
          <w:color w:val="auto"/>
          <w:spacing w:val="0"/>
          <w:sz w:val="28"/>
          <w:szCs w:val="28"/>
          <w:highlight w:val="none"/>
        </w:rPr>
        <w:t>日</w:t>
      </w:r>
      <w:r>
        <w:rPr>
          <w:rFonts w:hint="eastAsia" w:ascii="宋体" w:hAnsi="宋体" w:eastAsia="宋体" w:cs="宋体"/>
          <w:b/>
          <w:bCs/>
          <w:color w:val="auto"/>
          <w:spacing w:val="0"/>
          <w:sz w:val="28"/>
          <w:szCs w:val="28"/>
          <w:highlight w:val="none"/>
          <w:lang w:val="en-US" w:eastAsia="zh-CN"/>
        </w:rPr>
        <w:t xml:space="preserve">        </w:t>
      </w:r>
      <w:r>
        <w:rPr>
          <w:rFonts w:hint="eastAsia" w:ascii="宋体" w:hAnsi="宋体" w:eastAsia="宋体" w:cs="宋体"/>
          <w:b/>
          <w:bCs/>
          <w:color w:val="auto"/>
          <w:spacing w:val="0"/>
          <w:sz w:val="28"/>
          <w:szCs w:val="28"/>
          <w:highlight w:val="none"/>
        </w:rPr>
        <w:t>期：</w:t>
      </w:r>
      <w:r>
        <w:rPr>
          <w:rFonts w:hint="eastAsia" w:ascii="宋体" w:hAnsi="宋体" w:eastAsia="宋体" w:cs="宋体"/>
          <w:b/>
          <w:bCs/>
          <w:color w:val="auto"/>
          <w:spacing w:val="0"/>
          <w:sz w:val="28"/>
          <w:szCs w:val="28"/>
          <w:highlight w:val="none"/>
          <w:lang w:eastAsia="zh-CN"/>
        </w:rPr>
        <w:t>二零二四年九月</w:t>
      </w:r>
    </w:p>
    <w:p>
      <w:pPr>
        <w:adjustRightInd w:val="0"/>
        <w:snapToGrid w:val="0"/>
        <w:ind w:left="-158" w:leftChars="-75" w:right="-601" w:rightChars="-286"/>
        <w:rPr>
          <w:rFonts w:hint="eastAsia" w:ascii="宋体" w:hAnsi="宋体"/>
          <w:snapToGrid w:val="0"/>
          <w:sz w:val="26"/>
          <w:szCs w:val="28"/>
        </w:rPr>
      </w:pPr>
      <w:r>
        <w:rPr>
          <w:rFonts w:hint="eastAsia" w:ascii="宋体" w:hAnsi="宋体"/>
          <w:snapToGrid w:val="0"/>
          <w:sz w:val="26"/>
          <w:szCs w:val="28"/>
        </w:rPr>
        <w:t xml:space="preserve">   </w:t>
      </w:r>
    </w:p>
    <w:p>
      <w:pPr>
        <w:spacing w:line="360" w:lineRule="auto"/>
        <w:jc w:val="center"/>
        <w:rPr>
          <w:rFonts w:hint="eastAsia" w:ascii="楷体_GB2312" w:eastAsia="楷体_GB2312"/>
          <w:b/>
          <w:bCs/>
          <w:sz w:val="44"/>
          <w:szCs w:val="44"/>
          <w:lang w:val="zh-CN"/>
        </w:rPr>
      </w:pPr>
      <w:r>
        <w:rPr>
          <w:rFonts w:ascii="楷体_GB2312" w:eastAsia="楷体_GB2312"/>
          <w:b/>
          <w:bCs/>
          <w:sz w:val="44"/>
          <w:szCs w:val="44"/>
          <w:lang w:val="zh-CN"/>
        </w:rPr>
        <w:br w:type="page"/>
      </w:r>
      <w:r>
        <w:rPr>
          <w:rFonts w:hint="eastAsia" w:ascii="楷体_GB2312" w:eastAsia="楷体_GB2312"/>
          <w:b/>
          <w:bCs/>
          <w:sz w:val="44"/>
          <w:szCs w:val="44"/>
          <w:lang w:val="zh-CN"/>
        </w:rPr>
        <w:t>目   录</w:t>
      </w:r>
    </w:p>
    <w:p>
      <w:pPr>
        <w:autoSpaceDE w:val="0"/>
        <w:autoSpaceDN w:val="0"/>
        <w:adjustRightInd w:val="0"/>
        <w:spacing w:line="480" w:lineRule="auto"/>
        <w:ind w:firstLine="556"/>
        <w:rPr>
          <w:rFonts w:hint="eastAsia" w:ascii="楷体_GB2312" w:eastAsia="楷体_GB2312"/>
          <w:b/>
          <w:bCs/>
          <w:sz w:val="32"/>
          <w:szCs w:val="32"/>
        </w:rPr>
      </w:pP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第一部分  竞争性磋商</w:t>
      </w:r>
      <w:r>
        <w:rPr>
          <w:rFonts w:hint="eastAsia" w:ascii="楷体_GB2312" w:eastAsia="楷体_GB2312"/>
          <w:b/>
          <w:sz w:val="32"/>
          <w:szCs w:val="32"/>
          <w:lang w:val="zh-CN"/>
        </w:rPr>
        <w:t>公告</w:t>
      </w: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第二部分  磋商</w:t>
      </w:r>
      <w:r>
        <w:rPr>
          <w:rFonts w:hint="eastAsia" w:ascii="楷体_GB2312" w:eastAsia="楷体_GB2312"/>
          <w:b/>
          <w:sz w:val="32"/>
          <w:szCs w:val="32"/>
          <w:lang w:val="zh-CN"/>
        </w:rPr>
        <w:t>须知</w:t>
      </w:r>
    </w:p>
    <w:p>
      <w:pPr>
        <w:autoSpaceDE w:val="0"/>
        <w:autoSpaceDN w:val="0"/>
        <w:adjustRightInd w:val="0"/>
        <w:spacing w:line="480" w:lineRule="auto"/>
        <w:ind w:firstLine="537"/>
        <w:rPr>
          <w:rFonts w:hint="eastAsia" w:ascii="楷体_GB2312" w:eastAsia="楷体_GB2312"/>
          <w:b/>
          <w:sz w:val="32"/>
          <w:szCs w:val="32"/>
          <w:lang w:val="zh-CN"/>
        </w:rPr>
      </w:pPr>
      <w:r>
        <w:rPr>
          <w:rFonts w:hint="eastAsia" w:ascii="楷体_GB2312" w:eastAsia="楷体_GB2312"/>
          <w:b/>
          <w:bCs/>
          <w:sz w:val="32"/>
          <w:szCs w:val="32"/>
        </w:rPr>
        <w:t xml:space="preserve">第三部分  </w:t>
      </w:r>
      <w:r>
        <w:rPr>
          <w:rFonts w:hint="eastAsia" w:ascii="楷体_GB2312" w:eastAsia="楷体_GB2312"/>
          <w:b/>
          <w:sz w:val="32"/>
          <w:szCs w:val="32"/>
          <w:lang w:val="zh-CN"/>
        </w:rPr>
        <w:t>项目需求</w:t>
      </w:r>
    </w:p>
    <w:p>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第四部分  磋商</w:t>
      </w:r>
      <w:r>
        <w:rPr>
          <w:rFonts w:hint="eastAsia" w:ascii="楷体_GB2312" w:eastAsia="楷体_GB2312"/>
          <w:b/>
          <w:sz w:val="32"/>
          <w:szCs w:val="32"/>
          <w:lang w:val="zh-CN"/>
        </w:rPr>
        <w:t>程序和内容</w:t>
      </w:r>
    </w:p>
    <w:p>
      <w:pPr>
        <w:autoSpaceDE w:val="0"/>
        <w:autoSpaceDN w:val="0"/>
        <w:adjustRightInd w:val="0"/>
        <w:spacing w:line="480" w:lineRule="auto"/>
        <w:ind w:firstLine="556"/>
        <w:rPr>
          <w:rFonts w:hint="eastAsia" w:ascii="楷体_GB2312" w:eastAsia="楷体_GB2312"/>
          <w:b/>
          <w:bCs/>
          <w:sz w:val="32"/>
          <w:szCs w:val="32"/>
        </w:rPr>
      </w:pPr>
      <w:r>
        <w:rPr>
          <w:rFonts w:hint="eastAsia" w:ascii="楷体_GB2312" w:eastAsia="楷体_GB2312"/>
          <w:b/>
          <w:bCs/>
          <w:sz w:val="32"/>
          <w:szCs w:val="32"/>
        </w:rPr>
        <w:t>第五部分  合同签订与验收付款</w:t>
      </w:r>
    </w:p>
    <w:p>
      <w:pPr>
        <w:tabs>
          <w:tab w:val="left" w:pos="7740"/>
        </w:tabs>
        <w:spacing w:line="500" w:lineRule="exact"/>
        <w:ind w:firstLine="643" w:firstLineChars="200"/>
        <w:rPr>
          <w:rFonts w:hint="eastAsia" w:ascii="楷体_GB2312" w:eastAsia="楷体_GB2312"/>
          <w:b/>
          <w:spacing w:val="2"/>
          <w:sz w:val="32"/>
          <w:szCs w:val="32"/>
        </w:rPr>
      </w:pPr>
      <w:r>
        <w:rPr>
          <w:rFonts w:hint="eastAsia" w:ascii="楷体_GB2312" w:eastAsia="楷体_GB2312"/>
          <w:b/>
          <w:bCs/>
          <w:sz w:val="32"/>
          <w:szCs w:val="32"/>
        </w:rPr>
        <w:t>第六部分  质疑提出和处理</w:t>
      </w:r>
    </w:p>
    <w:p>
      <w:pPr>
        <w:spacing w:line="500" w:lineRule="exact"/>
        <w:rPr>
          <w:rFonts w:hint="eastAsia" w:ascii="楷体_GB2312" w:eastAsia="楷体_GB2312"/>
          <w:b/>
          <w:sz w:val="32"/>
          <w:szCs w:val="32"/>
        </w:rPr>
      </w:pPr>
    </w:p>
    <w:p>
      <w:pPr>
        <w:tabs>
          <w:tab w:val="left" w:pos="7740"/>
        </w:tabs>
        <w:spacing w:line="500" w:lineRule="exact"/>
        <w:ind w:firstLine="643" w:firstLineChars="200"/>
        <w:rPr>
          <w:rFonts w:hint="eastAsia" w:ascii="黑体" w:eastAsia="黑体"/>
          <w:b/>
          <w:bCs/>
          <w:sz w:val="36"/>
          <w:szCs w:val="36"/>
          <w:lang w:val="zh-CN"/>
        </w:rPr>
      </w:pPr>
      <w:r>
        <w:rPr>
          <w:rFonts w:hint="eastAsia" w:ascii="楷体_GB2312" w:eastAsia="楷体_GB2312"/>
          <w:b/>
          <w:bCs/>
          <w:sz w:val="32"/>
          <w:szCs w:val="32"/>
        </w:rPr>
        <w:t>第七部分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1" w:name="OLE_LINK1"/>
      <w:r>
        <w:rPr>
          <w:rFonts w:hint="eastAsia" w:ascii="仿宋_GB2312" w:eastAsia="仿宋_GB2312"/>
          <w:b/>
          <w:bCs/>
          <w:sz w:val="36"/>
          <w:szCs w:val="36"/>
          <w:lang w:val="zh-CN"/>
        </w:rPr>
        <w:t>竞争性磋商公告</w:t>
      </w:r>
    </w:p>
    <w:p>
      <w:pPr>
        <w:snapToGrid w:val="0"/>
        <w:spacing w:line="480" w:lineRule="exact"/>
        <w:ind w:firstLine="480" w:firstLineChars="200"/>
        <w:rPr>
          <w:bCs/>
          <w:sz w:val="24"/>
        </w:rPr>
      </w:pPr>
    </w:p>
    <w:p>
      <w:pPr>
        <w:snapToGrid w:val="0"/>
        <w:spacing w:line="480" w:lineRule="exact"/>
        <w:ind w:firstLine="480" w:firstLineChars="200"/>
        <w:rPr>
          <w:sz w:val="24"/>
        </w:rPr>
      </w:pPr>
      <w:r>
        <w:rPr>
          <w:bCs/>
          <w:sz w:val="24"/>
        </w:rPr>
        <w:t>项目概况</w:t>
      </w:r>
      <w:r>
        <w:rPr>
          <w:rFonts w:hint="eastAsia"/>
          <w:bCs/>
          <w:sz w:val="24"/>
        </w:rPr>
        <w:t>：</w:t>
      </w:r>
      <w:r>
        <w:rPr>
          <w:rFonts w:hint="eastAsia"/>
          <w:bCs/>
          <w:sz w:val="24"/>
          <w:u w:val="single"/>
        </w:rPr>
        <w:t>江苏省南通女子监狱安防设施项目</w:t>
      </w:r>
      <w:r>
        <w:rPr>
          <w:rFonts w:hint="eastAsia"/>
          <w:sz w:val="24"/>
        </w:rPr>
        <w:t>采购项目</w:t>
      </w:r>
      <w:r>
        <w:rPr>
          <w:sz w:val="24"/>
        </w:rPr>
        <w:t>的潜在</w:t>
      </w:r>
      <w:r>
        <w:rPr>
          <w:rFonts w:hint="eastAsia"/>
          <w:sz w:val="24"/>
        </w:rPr>
        <w:t>供应商</w:t>
      </w:r>
      <w:r>
        <w:rPr>
          <w:sz w:val="24"/>
        </w:rPr>
        <w:t>应在</w:t>
      </w:r>
      <w:r>
        <w:rPr>
          <w:rFonts w:hint="eastAsia" w:ascii="Times New Roman" w:hAnsi="Times New Roman" w:eastAsia="宋体" w:cs="Times New Roman"/>
          <w:bCs/>
          <w:sz w:val="24"/>
          <w:u w:val="single"/>
        </w:rPr>
        <w:t>“江苏政府采购网”</w:t>
      </w:r>
      <w:r>
        <w:rPr>
          <w:sz w:val="24"/>
        </w:rPr>
        <w:t>获取</w:t>
      </w:r>
      <w:r>
        <w:rPr>
          <w:rFonts w:hint="eastAsia"/>
          <w:sz w:val="24"/>
        </w:rPr>
        <w:t>采购</w:t>
      </w:r>
      <w:r>
        <w:rPr>
          <w:sz w:val="24"/>
        </w:rPr>
        <w:t>文件，并于</w:t>
      </w:r>
      <w:r>
        <w:rPr>
          <w:rFonts w:hint="eastAsia"/>
          <w:sz w:val="24"/>
          <w:u w:val="single"/>
          <w:lang w:val="en-US" w:eastAsia="zh-CN"/>
        </w:rPr>
        <w:t>2024</w:t>
      </w:r>
      <w:r>
        <w:rPr>
          <w:sz w:val="24"/>
          <w:u w:val="single"/>
        </w:rPr>
        <w:t>年</w:t>
      </w:r>
      <w:r>
        <w:rPr>
          <w:rFonts w:hint="eastAsia"/>
          <w:sz w:val="24"/>
          <w:u w:val="single"/>
          <w:lang w:val="en-US" w:eastAsia="zh-CN"/>
        </w:rPr>
        <w:t>10</w:t>
      </w:r>
      <w:r>
        <w:rPr>
          <w:sz w:val="24"/>
          <w:u w:val="single"/>
        </w:rPr>
        <w:t>月</w:t>
      </w:r>
      <w:r>
        <w:rPr>
          <w:rFonts w:hint="eastAsia"/>
          <w:sz w:val="24"/>
          <w:u w:val="single"/>
          <w:lang w:val="en-US" w:eastAsia="zh-CN"/>
        </w:rPr>
        <w:t>16</w:t>
      </w:r>
      <w:r>
        <w:rPr>
          <w:sz w:val="24"/>
          <w:u w:val="single"/>
        </w:rPr>
        <w:t>日</w:t>
      </w:r>
      <w:r>
        <w:rPr>
          <w:rFonts w:hint="eastAsia"/>
          <w:sz w:val="24"/>
          <w:u w:val="single"/>
          <w:lang w:val="en-US" w:eastAsia="zh-CN"/>
        </w:rPr>
        <w:t>09</w:t>
      </w:r>
      <w:r>
        <w:rPr>
          <w:sz w:val="24"/>
          <w:u w:val="single"/>
        </w:rPr>
        <w:t>点</w:t>
      </w:r>
      <w:r>
        <w:rPr>
          <w:rFonts w:hint="eastAsia"/>
          <w:sz w:val="24"/>
          <w:u w:val="single"/>
          <w:lang w:val="en-US" w:eastAsia="zh-CN"/>
        </w:rPr>
        <w:t>30</w:t>
      </w:r>
      <w:r>
        <w:rPr>
          <w:sz w:val="24"/>
          <w:u w:val="single"/>
        </w:rPr>
        <w:t>分</w:t>
      </w:r>
      <w:r>
        <w:rPr>
          <w:sz w:val="24"/>
        </w:rPr>
        <w:t>（北京时间）前递交</w:t>
      </w:r>
      <w:r>
        <w:rPr>
          <w:rFonts w:hint="eastAsia"/>
          <w:sz w:val="24"/>
        </w:rPr>
        <w:t>响应</w:t>
      </w:r>
      <w:r>
        <w:rPr>
          <w:sz w:val="24"/>
        </w:rPr>
        <w:t>文件。</w:t>
      </w:r>
    </w:p>
    <w:p>
      <w:pPr>
        <w:snapToGrid w:val="0"/>
        <w:spacing w:line="480" w:lineRule="exact"/>
        <w:ind w:firstLine="482" w:firstLineChars="200"/>
        <w:rPr>
          <w:b/>
          <w:sz w:val="24"/>
        </w:rPr>
      </w:pPr>
      <w:r>
        <w:rPr>
          <w:b/>
          <w:sz w:val="24"/>
        </w:rPr>
        <w:t>一、项目基本情况</w:t>
      </w:r>
    </w:p>
    <w:p>
      <w:pPr>
        <w:snapToGrid w:val="0"/>
        <w:spacing w:line="480" w:lineRule="exact"/>
        <w:ind w:firstLine="480" w:firstLineChars="200"/>
        <w:rPr>
          <w:rFonts w:hint="default"/>
          <w:sz w:val="24"/>
          <w:lang w:val="en-US"/>
        </w:rPr>
      </w:pPr>
      <w:r>
        <w:rPr>
          <w:sz w:val="24"/>
        </w:rPr>
        <w:t>项目编号：</w:t>
      </w:r>
      <w:r>
        <w:rPr>
          <w:rFonts w:hint="eastAsia"/>
          <w:sz w:val="24"/>
          <w:lang w:val="en-US" w:eastAsia="zh-CN"/>
        </w:rPr>
        <w:t>JSZC-320000-NTJC-C2024-0032</w:t>
      </w:r>
      <w:bookmarkStart w:id="560" w:name="_GoBack"/>
      <w:bookmarkEnd w:id="560"/>
    </w:p>
    <w:p>
      <w:pPr>
        <w:snapToGrid w:val="0"/>
        <w:spacing w:line="480" w:lineRule="exact"/>
        <w:ind w:firstLine="480" w:firstLineChars="200"/>
        <w:rPr>
          <w:sz w:val="24"/>
        </w:rPr>
      </w:pPr>
      <w:r>
        <w:rPr>
          <w:sz w:val="24"/>
        </w:rPr>
        <w:t>项目名称：</w:t>
      </w:r>
      <w:r>
        <w:rPr>
          <w:rFonts w:hint="eastAsia"/>
          <w:sz w:val="24"/>
        </w:rPr>
        <w:t>江苏省南通女子监狱安防设施项目</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采购方式：竞争性磋商</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预算金额：</w:t>
      </w:r>
      <w:r>
        <w:rPr>
          <w:rFonts w:hint="eastAsia" w:cs="Times New Roman"/>
          <w:sz w:val="24"/>
          <w:lang w:val="en-US" w:eastAsia="zh-CN"/>
        </w:rPr>
        <w:t>180万元</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最高限价：</w:t>
      </w:r>
      <w:r>
        <w:rPr>
          <w:rFonts w:hint="eastAsia" w:cs="Times New Roman"/>
          <w:sz w:val="24"/>
          <w:lang w:eastAsia="zh-CN"/>
        </w:rPr>
        <w:t>179.88万元</w:t>
      </w:r>
      <w:r>
        <w:rPr>
          <w:rFonts w:hint="eastAsia" w:ascii="Times New Roman" w:hAnsi="Times New Roman" w:eastAsia="宋体" w:cs="Times New Roman"/>
          <w:sz w:val="24"/>
        </w:rPr>
        <w:t xml:space="preserve">   </w:t>
      </w:r>
    </w:p>
    <w:p>
      <w:pPr>
        <w:snapToGrid w:val="0"/>
        <w:spacing w:line="48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采购需求：详见第三部分项目需求。</w:t>
      </w:r>
    </w:p>
    <w:p>
      <w:pPr>
        <w:snapToGrid w:val="0"/>
        <w:spacing w:line="48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工期：60日历天</w:t>
      </w:r>
    </w:p>
    <w:p>
      <w:pPr>
        <w:snapToGrid w:val="0"/>
        <w:spacing w:line="480" w:lineRule="exact"/>
        <w:ind w:firstLine="480" w:firstLineChars="200"/>
        <w:rPr>
          <w:rFonts w:hint="eastAsia"/>
          <w:sz w:val="24"/>
          <w:lang w:val="en-US" w:eastAsia="zh-CN"/>
        </w:rPr>
      </w:pPr>
      <w:r>
        <w:rPr>
          <w:rFonts w:hint="eastAsia"/>
          <w:sz w:val="24"/>
          <w:lang w:val="en-US" w:eastAsia="zh-CN"/>
        </w:rPr>
        <w:t>质量标准：符合国家现行有关标准、相关行业规范及采购人要求。</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2" w:firstLineChars="200"/>
        <w:rPr>
          <w:b/>
          <w:sz w:val="24"/>
        </w:rPr>
      </w:pPr>
      <w:r>
        <w:rPr>
          <w:b/>
          <w:sz w:val="24"/>
        </w:rPr>
        <w:t>二、申请人的资格要求：</w:t>
      </w:r>
    </w:p>
    <w:p>
      <w:pPr>
        <w:snapToGrid w:val="0"/>
        <w:spacing w:line="480" w:lineRule="exact"/>
        <w:ind w:firstLine="480" w:firstLineChars="200"/>
        <w:rPr>
          <w:sz w:val="24"/>
          <w:highlight w:val="yellow"/>
        </w:rPr>
      </w:pPr>
      <w:r>
        <w:rPr>
          <w:rFonts w:hint="eastAsia"/>
          <w:sz w:val="24"/>
        </w:rPr>
        <w:t>1.满足《中华人民共和国政府采购法》第二十二条规定；</w:t>
      </w:r>
    </w:p>
    <w:p>
      <w:pPr>
        <w:snapToGrid w:val="0"/>
        <w:spacing w:line="480" w:lineRule="exact"/>
        <w:ind w:firstLine="480" w:firstLineChars="200"/>
        <w:rPr>
          <w:rFonts w:hint="eastAsia"/>
          <w:sz w:val="24"/>
        </w:rPr>
      </w:pPr>
      <w:r>
        <w:rPr>
          <w:rFonts w:hint="eastAsia"/>
          <w:sz w:val="24"/>
        </w:rPr>
        <w:t>2.未被“信用中国”网站（www.creditchina.gov.cn）、“中国政府采购网”（www.ccgp.gov.cn）列入失信被执行人、重大税收违法案件当事人名单、政府采购严重违法失信行为记录名单；</w:t>
      </w:r>
    </w:p>
    <w:p>
      <w:pPr>
        <w:snapToGrid w:val="0"/>
        <w:spacing w:line="480" w:lineRule="exact"/>
        <w:ind w:firstLine="480" w:firstLineChars="200"/>
        <w:rPr>
          <w:rFonts w:hint="eastAsia" w:eastAsia="宋体"/>
          <w:sz w:val="24"/>
          <w:lang w:eastAsia="zh-CN"/>
        </w:rPr>
      </w:pPr>
      <w:r>
        <w:rPr>
          <w:rFonts w:hint="eastAsia"/>
          <w:sz w:val="24"/>
        </w:rPr>
        <w:t>3.落实政府采购政策需满足的资格要求：</w:t>
      </w:r>
      <w:r>
        <w:rPr>
          <w:rFonts w:hint="eastAsia"/>
          <w:sz w:val="24"/>
          <w:u w:val="single"/>
          <w:lang w:eastAsia="zh-CN"/>
        </w:rPr>
        <w:t>详见招标文件。</w:t>
      </w:r>
    </w:p>
    <w:p>
      <w:pPr>
        <w:snapToGrid w:val="0"/>
        <w:spacing w:line="480" w:lineRule="exact"/>
        <w:ind w:firstLine="480" w:firstLineChars="200"/>
        <w:rPr>
          <w:rFonts w:hint="eastAsia" w:ascii="Times New Roman" w:hAnsi="Times New Roman" w:eastAsia="宋体" w:cs="Times New Roman"/>
          <w:sz w:val="24"/>
          <w:szCs w:val="24"/>
          <w:highlight w:val="yellow"/>
          <w:lang w:eastAsia="zh-CN"/>
        </w:rPr>
      </w:pPr>
      <w:r>
        <w:rPr>
          <w:rFonts w:hint="eastAsia" w:ascii="Times New Roman" w:hAnsi="Times New Roman" w:eastAsia="宋体" w:cs="Times New Roman"/>
          <w:sz w:val="24"/>
          <w:szCs w:val="24"/>
        </w:rPr>
        <w:t>4.本项目的特定资格要求：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4.1提供有效的企业法人营业执照（副本）复印件及税务登记证（副本）复印件，或者是三证合一的营业执照（副本）</w:t>
      </w:r>
      <w:r>
        <w:rPr>
          <w:rFonts w:hint="eastAsia" w:ascii="Times New Roman" w:hAnsi="Times New Roman" w:eastAsia="宋体" w:cs="Times New Roman"/>
          <w:b/>
          <w:bCs/>
          <w:sz w:val="24"/>
          <w:szCs w:val="24"/>
        </w:rPr>
        <w:t>（提供复印件加盖公章）</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Ansi="宋体"/>
          <w:b/>
          <w:bCs/>
          <w:color w:val="000000"/>
          <w:sz w:val="24"/>
          <w:szCs w:val="24"/>
        </w:rPr>
      </w:pPr>
      <w:r>
        <w:rPr>
          <w:rFonts w:hint="eastAsia" w:hAnsi="宋体"/>
          <w:b/>
          <w:bCs/>
          <w:color w:val="000000"/>
          <w:sz w:val="24"/>
          <w:szCs w:val="24"/>
        </w:rPr>
        <w:t>4.2投标人须具有</w:t>
      </w:r>
      <w:r>
        <w:rPr>
          <w:rFonts w:hint="eastAsia" w:hAnsi="宋体"/>
          <w:b/>
          <w:bCs/>
          <w:color w:val="000000"/>
          <w:sz w:val="24"/>
          <w:szCs w:val="24"/>
          <w:u w:val="single"/>
        </w:rPr>
        <w:t>电子与智能化工程专业承包贰级及以上资质，并具有安全生产许可证。</w:t>
      </w:r>
      <w:r>
        <w:rPr>
          <w:rFonts w:hint="eastAsia" w:hAnsi="宋体"/>
          <w:b/>
          <w:color w:val="000000"/>
          <w:sz w:val="24"/>
          <w:szCs w:val="24"/>
        </w:rPr>
        <w:t>（提供资质证书复印件加盖公章）；</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imes New Roman"/>
          <w:b/>
          <w:bCs/>
          <w:sz w:val="24"/>
          <w:szCs w:val="24"/>
        </w:rPr>
      </w:pPr>
      <w:r>
        <w:rPr>
          <w:rFonts w:hint="eastAsia" w:hAnsi="宋体"/>
          <w:b/>
          <w:bCs/>
          <w:color w:val="000000"/>
          <w:sz w:val="24"/>
          <w:szCs w:val="24"/>
        </w:rPr>
        <w:t>4.3拟派项目负责人须具备</w:t>
      </w:r>
      <w:r>
        <w:rPr>
          <w:rFonts w:hint="eastAsia" w:hAnsi="宋体"/>
          <w:b/>
          <w:bCs/>
          <w:color w:val="000000"/>
          <w:sz w:val="24"/>
          <w:szCs w:val="24"/>
          <w:u w:val="single"/>
        </w:rPr>
        <w:t>机电工程专业</w:t>
      </w:r>
      <w:r>
        <w:rPr>
          <w:rFonts w:hint="eastAsia" w:hAnsi="宋体"/>
          <w:b/>
          <w:bCs/>
          <w:color w:val="000000"/>
          <w:sz w:val="24"/>
          <w:szCs w:val="24"/>
          <w:u w:val="single"/>
          <w:lang w:eastAsia="zh-CN"/>
        </w:rPr>
        <w:t>二</w:t>
      </w:r>
      <w:r>
        <w:rPr>
          <w:rFonts w:hint="eastAsia" w:hAnsi="宋体"/>
          <w:b/>
          <w:bCs/>
          <w:color w:val="000000"/>
          <w:sz w:val="24"/>
          <w:szCs w:val="24"/>
          <w:u w:val="single"/>
        </w:rPr>
        <w:t>级及以上注册建造师，同时具有安全生产考核合格证（B证）。</w:t>
      </w:r>
      <w:r>
        <w:rPr>
          <w:rFonts w:hint="eastAsia" w:hAnsi="宋体"/>
          <w:b/>
          <w:color w:val="000000"/>
          <w:sz w:val="24"/>
          <w:szCs w:val="24"/>
        </w:rPr>
        <w:t>（提供资质证书复印件加盖公章，</w:t>
      </w:r>
      <w:r>
        <w:rPr>
          <w:rFonts w:hint="eastAsia" w:hAnsi="宋体"/>
          <w:b/>
          <w:color w:val="000000"/>
          <w:sz w:val="24"/>
          <w:szCs w:val="24"/>
          <w:lang w:eastAsia="zh-CN"/>
        </w:rPr>
        <w:t>近一个月社保证明</w:t>
      </w:r>
      <w:r>
        <w:rPr>
          <w:rFonts w:hint="eastAsia" w:hAnsi="宋体"/>
          <w:b/>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lang w:val="en-US" w:eastAsia="zh-CN"/>
        </w:rPr>
      </w:pPr>
      <w:r>
        <w:rPr>
          <w:rFonts w:hint="eastAsia" w:ascii="宋体" w:hAnsi="宋体" w:cs="宋体"/>
          <w:b/>
          <w:bCs/>
          <w:kern w:val="0"/>
          <w:sz w:val="21"/>
          <w:szCs w:val="21"/>
        </w:rPr>
        <w:t>注：根据《住房和城乡建设部办公厅关于全面实行一级建造师电子注册证书的通知》(建办市〔2021〕40号)的规定，自2022年1月1日起，一级建造师统一使用电子证书，纸质注册证书作废。本工程投标人若拟派项目负责人为一级注册建造师，则须提供符合（建办市〔2021〕40 号）文件要求的电子证书，并应在个人签名处手写本人签名，未提供电子证书或未手写签名或手写签名与签名图像笔迹不一致的，该电子证书无效，视为项目负责人的资格不符合要求。</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hint="eastAsia" w:cs="Times New Roman"/>
          <w:sz w:val="24"/>
          <w:lang w:val="en-US" w:eastAsia="zh-CN"/>
        </w:rPr>
        <w:t>4</w:t>
      </w:r>
      <w:r>
        <w:rPr>
          <w:rFonts w:hint="eastAsia" w:ascii="Times New Roman" w:hAnsi="Times New Roman" w:eastAsia="宋体" w:cs="Times New Roman"/>
          <w:sz w:val="24"/>
          <w:lang w:val="zh-CN"/>
        </w:rPr>
        <w:t>供应商满足以下条件</w:t>
      </w:r>
      <w:r>
        <w:rPr>
          <w:rFonts w:hint="eastAsia" w:ascii="Times New Roman" w:hAnsi="Times New Roman" w:eastAsia="宋体" w:cs="Times New Roman"/>
          <w:b/>
          <w:bCs/>
          <w:sz w:val="24"/>
          <w:lang w:val="zh-CN"/>
        </w:rPr>
        <w:t>（提供</w:t>
      </w:r>
      <w:r>
        <w:rPr>
          <w:rFonts w:hint="eastAsia" w:cs="Times New Roman"/>
          <w:b/>
          <w:bCs/>
          <w:sz w:val="24"/>
          <w:lang w:val="zh-CN"/>
        </w:rPr>
        <w:t>声明</w:t>
      </w:r>
      <w:r>
        <w:rPr>
          <w:rFonts w:hint="eastAsia" w:ascii="Times New Roman" w:hAnsi="Times New Roman" w:eastAsia="宋体" w:cs="Times New Roman"/>
          <w:b/>
          <w:bCs/>
          <w:sz w:val="24"/>
          <w:lang w:val="zh-CN"/>
        </w:rPr>
        <w:t>原件）</w:t>
      </w:r>
      <w:r>
        <w:rPr>
          <w:rFonts w:hint="eastAsia" w:ascii="Times New Roman" w:hAnsi="Times New Roman" w:eastAsia="宋体" w:cs="Times New Roman"/>
          <w:sz w:val="24"/>
          <w:lang w:val="zh-CN"/>
        </w:rPr>
        <w:t>：</w:t>
      </w:r>
    </w:p>
    <w:p>
      <w:pPr>
        <w:snapToGrid w:val="0"/>
        <w:spacing w:line="480" w:lineRule="exact"/>
        <w:ind w:firstLine="480" w:firstLineChars="2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 xml:space="preserve">a.未处于被责令停业、投标资格被取消或财产被接管、冻结和破产状态的企业； </w:t>
      </w:r>
    </w:p>
    <w:p>
      <w:pPr>
        <w:snapToGrid w:val="0"/>
        <w:spacing w:line="480" w:lineRule="exact"/>
        <w:ind w:firstLine="480" w:firstLineChars="2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b.企业没有因骗取中标、严重违约或者违规用工、拖欠工人工资以及发生重大工程质量、安全生产事故等问题，被有关部门暂停投标资格并在暂停期内的。</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rPr>
        <w:t>现场勘察承诺函</w:t>
      </w:r>
      <w:r>
        <w:rPr>
          <w:rFonts w:hint="eastAsia" w:ascii="Times New Roman" w:hAnsi="Times New Roman" w:eastAsia="宋体" w:cs="Times New Roman"/>
          <w:b/>
          <w:bCs/>
          <w:sz w:val="24"/>
          <w:lang w:val="zh-CN"/>
        </w:rPr>
        <w:t>（提供承诺函原件）</w:t>
      </w:r>
      <w:r>
        <w:rPr>
          <w:rFonts w:hint="eastAsia" w:ascii="Times New Roman" w:hAnsi="Times New Roman" w:eastAsia="宋体" w:cs="Times New Roman"/>
          <w:sz w:val="24"/>
          <w:lang w:val="zh-CN"/>
        </w:rPr>
        <w:t>；</w:t>
      </w:r>
    </w:p>
    <w:p>
      <w:pPr>
        <w:snapToGrid w:val="0"/>
        <w:spacing w:line="480" w:lineRule="exact"/>
        <w:ind w:firstLine="480" w:firstLineChars="200"/>
        <w:rPr>
          <w:rFonts w:hint="eastAsia" w:ascii="Times New Roman" w:hAnsi="Times New Roman" w:eastAsia="宋体" w:cs="Times New Roman"/>
          <w:sz w:val="24"/>
          <w:lang w:val="zh-CN"/>
        </w:rPr>
      </w:pPr>
      <w:r>
        <w:rPr>
          <w:rFonts w:hint="eastAsia" w:cs="Times New Roman"/>
          <w:sz w:val="24"/>
          <w:lang w:val="en-US" w:eastAsia="zh-CN"/>
        </w:rPr>
        <w:t>6</w:t>
      </w:r>
      <w:r>
        <w:rPr>
          <w:rFonts w:hint="eastAsia" w:ascii="Times New Roman" w:hAnsi="Times New Roman" w:eastAsia="宋体" w:cs="Times New Roman"/>
          <w:sz w:val="24"/>
          <w:lang w:val="zh-CN"/>
        </w:rPr>
        <w:t>.拒绝下述供应商参加本次采购活动</w:t>
      </w:r>
      <w:r>
        <w:rPr>
          <w:rFonts w:hint="eastAsia" w:ascii="Times New Roman" w:hAnsi="Times New Roman" w:eastAsia="宋体" w:cs="Times New Roman"/>
          <w:b/>
          <w:bCs/>
          <w:sz w:val="24"/>
          <w:lang w:val="zh-CN"/>
        </w:rPr>
        <w:t>（提供</w:t>
      </w:r>
      <w:r>
        <w:rPr>
          <w:rFonts w:hint="eastAsia" w:cs="Times New Roman"/>
          <w:b/>
          <w:bCs/>
          <w:sz w:val="24"/>
          <w:lang w:val="zh-CN"/>
        </w:rPr>
        <w:t>声明</w:t>
      </w:r>
      <w:r>
        <w:rPr>
          <w:rFonts w:hint="eastAsia" w:ascii="Times New Roman" w:hAnsi="Times New Roman" w:eastAsia="宋体" w:cs="Times New Roman"/>
          <w:b/>
          <w:bCs/>
          <w:sz w:val="24"/>
          <w:lang w:val="zh-CN"/>
        </w:rPr>
        <w:t>原件）</w:t>
      </w:r>
      <w:r>
        <w:rPr>
          <w:rFonts w:hint="eastAsia" w:ascii="Times New Roman" w:hAnsi="Times New Roman" w:eastAsia="宋体" w:cs="Times New Roman"/>
          <w:sz w:val="24"/>
          <w:lang w:val="zh-CN"/>
        </w:rPr>
        <w:t>：</w:t>
      </w:r>
    </w:p>
    <w:p>
      <w:pPr>
        <w:snapToGrid w:val="0"/>
        <w:spacing w:line="480" w:lineRule="exact"/>
        <w:ind w:firstLine="480" w:firstLineChars="200"/>
        <w:rPr>
          <w:rFonts w:hint="eastAsia" w:ascii="Times New Roman" w:hAnsi="Times New Roman" w:eastAsia="宋体" w:cs="Times New Roman"/>
          <w:sz w:val="24"/>
          <w:lang w:val="zh-CN"/>
        </w:rPr>
      </w:pPr>
      <w:r>
        <w:rPr>
          <w:rFonts w:hint="eastAsia" w:cs="Times New Roman"/>
          <w:sz w:val="24"/>
          <w:lang w:val="en-US" w:eastAsia="zh-CN"/>
        </w:rPr>
        <w:t>6</w:t>
      </w:r>
      <w:r>
        <w:rPr>
          <w:rFonts w:hint="eastAsia" w:ascii="Times New Roman" w:hAnsi="Times New Roman" w:eastAsia="宋体" w:cs="Times New Roman"/>
          <w:sz w:val="24"/>
          <w:lang w:val="zh-CN"/>
        </w:rPr>
        <w:t>.1供应商单位负责人为同一人或者存在直接控股、管理关系的不同供应商，不得参加同一合同项下的政府采购活动。</w:t>
      </w:r>
    </w:p>
    <w:p>
      <w:pPr>
        <w:snapToGrid w:val="0"/>
        <w:spacing w:line="480" w:lineRule="exact"/>
        <w:ind w:firstLine="480" w:firstLineChars="200"/>
        <w:rPr>
          <w:rFonts w:hint="eastAsia" w:ascii="Times New Roman" w:hAnsi="Times New Roman" w:eastAsia="宋体" w:cs="Times New Roman"/>
          <w:sz w:val="24"/>
          <w:lang w:val="zh-CN"/>
        </w:rPr>
      </w:pPr>
      <w:r>
        <w:rPr>
          <w:rFonts w:hint="eastAsia" w:cs="Times New Roman"/>
          <w:sz w:val="24"/>
          <w:lang w:val="en-US" w:eastAsia="zh-CN"/>
        </w:rPr>
        <w:t>6</w:t>
      </w:r>
      <w:r>
        <w:rPr>
          <w:rFonts w:hint="eastAsia" w:ascii="Times New Roman" w:hAnsi="Times New Roman" w:eastAsia="宋体" w:cs="Times New Roman"/>
          <w:sz w:val="24"/>
          <w:lang w:val="zh-CN"/>
        </w:rPr>
        <w:t>.2凡为采购项目提供整体设计、规范编制或者项目管理、监理、检测等服务的供应商，不得再参加本项目的采购活动。</w:t>
      </w:r>
    </w:p>
    <w:p>
      <w:pPr>
        <w:snapToGrid w:val="0"/>
        <w:spacing w:line="480" w:lineRule="exact"/>
        <w:ind w:firstLine="480" w:firstLineChars="200"/>
        <w:rPr>
          <w:rFonts w:hint="eastAsia" w:ascii="Times New Roman" w:hAnsi="Times New Roman" w:eastAsia="宋体" w:cs="Times New Roman"/>
          <w:sz w:val="24"/>
          <w:lang w:val="zh-CN"/>
        </w:rPr>
      </w:pPr>
      <w:r>
        <w:rPr>
          <w:rFonts w:hint="eastAsia" w:cs="Times New Roman"/>
          <w:sz w:val="24"/>
          <w:lang w:val="en-US" w:eastAsia="zh-CN"/>
        </w:rPr>
        <w:t>7.承诺</w:t>
      </w:r>
      <w:r>
        <w:rPr>
          <w:rFonts w:hint="eastAsia" w:ascii="Times New Roman" w:hAnsi="Times New Roman" w:eastAsia="宋体" w:cs="Times New Roman"/>
          <w:sz w:val="24"/>
          <w:lang w:val="zh-CN"/>
        </w:rPr>
        <w:t>不拖欠农民工工资</w:t>
      </w:r>
      <w:r>
        <w:rPr>
          <w:rFonts w:hint="eastAsia" w:ascii="Times New Roman" w:hAnsi="Times New Roman" w:eastAsia="宋体" w:cs="Times New Roman"/>
          <w:b/>
          <w:bCs/>
          <w:sz w:val="24"/>
          <w:lang w:val="en"/>
        </w:rPr>
        <w:t>（提供承诺书</w:t>
      </w:r>
      <w:r>
        <w:rPr>
          <w:rFonts w:hint="eastAsia" w:cs="Times New Roman"/>
          <w:b/>
          <w:bCs/>
          <w:sz w:val="24"/>
          <w:lang w:val="en" w:eastAsia="zh-CN"/>
        </w:rPr>
        <w:t>原件</w:t>
      </w:r>
      <w:r>
        <w:rPr>
          <w:rFonts w:hint="eastAsia" w:ascii="Times New Roman" w:hAnsi="Times New Roman" w:eastAsia="宋体" w:cs="Times New Roman"/>
          <w:b/>
          <w:bCs/>
          <w:sz w:val="24"/>
          <w:lang w:val="en" w:eastAsia="zh-CN"/>
        </w:rPr>
        <w:t>）</w:t>
      </w:r>
      <w:r>
        <w:rPr>
          <w:rFonts w:hint="eastAsia" w:ascii="Times New Roman" w:hAnsi="Times New Roman" w:eastAsia="宋体" w:cs="Times New Roman"/>
          <w:sz w:val="24"/>
          <w:lang w:val="zh-CN" w:eastAsia="zh-CN"/>
        </w:rPr>
        <w:t>。</w:t>
      </w:r>
    </w:p>
    <w:p>
      <w:pPr>
        <w:snapToGrid w:val="0"/>
        <w:spacing w:line="480" w:lineRule="exact"/>
        <w:ind w:firstLine="482" w:firstLineChars="200"/>
        <w:rPr>
          <w:rFonts w:hint="eastAsia" w:ascii="Times New Roman" w:hAnsi="Times New Roman" w:eastAsia="宋体" w:cs="Times New Roman"/>
          <w:b/>
          <w:bCs/>
          <w:sz w:val="24"/>
          <w:lang w:val="zh-CN"/>
        </w:rPr>
      </w:pPr>
      <w:r>
        <w:rPr>
          <w:rFonts w:hint="eastAsia" w:ascii="Times New Roman" w:hAnsi="Times New Roman" w:eastAsia="宋体" w:cs="Times New Roman"/>
          <w:b/>
          <w:bCs/>
          <w:sz w:val="24"/>
          <w:lang w:val="zh-CN"/>
        </w:rPr>
        <w:t>注：以上所有资格要求条件必须在资格审查材料中逐条提供有效证明材料及相关承诺书并加盖公章，否则投标无效。</w:t>
      </w:r>
    </w:p>
    <w:p>
      <w:pPr>
        <w:snapToGrid w:val="0"/>
        <w:spacing w:line="480" w:lineRule="exact"/>
        <w:ind w:firstLine="482"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sz w:val="24"/>
        </w:rPr>
      </w:pPr>
      <w:r>
        <w:rPr>
          <w:sz w:val="24"/>
        </w:rPr>
        <w:t>时间：</w:t>
      </w:r>
      <w:r>
        <w:rPr>
          <w:rFonts w:hint="eastAsia"/>
          <w:sz w:val="24"/>
          <w:lang w:val="en-US" w:eastAsia="zh-CN"/>
        </w:rPr>
        <w:t>2024</w:t>
      </w:r>
      <w:r>
        <w:rPr>
          <w:sz w:val="24"/>
        </w:rPr>
        <w:t>年</w:t>
      </w:r>
      <w:r>
        <w:rPr>
          <w:rFonts w:hint="eastAsia"/>
          <w:sz w:val="24"/>
          <w:lang w:val="en-US" w:eastAsia="zh-CN"/>
        </w:rPr>
        <w:t>09</w:t>
      </w:r>
      <w:r>
        <w:rPr>
          <w:sz w:val="24"/>
        </w:rPr>
        <w:t>月</w:t>
      </w:r>
      <w:r>
        <w:rPr>
          <w:rFonts w:hint="eastAsia"/>
          <w:sz w:val="24"/>
          <w:lang w:val="en-US" w:eastAsia="zh-CN"/>
        </w:rPr>
        <w:t>27</w:t>
      </w:r>
      <w:r>
        <w:rPr>
          <w:sz w:val="24"/>
        </w:rPr>
        <w:t>日至</w:t>
      </w:r>
      <w:r>
        <w:rPr>
          <w:rFonts w:hint="eastAsia"/>
          <w:sz w:val="24"/>
          <w:lang w:val="en-US" w:eastAsia="zh-CN"/>
        </w:rPr>
        <w:t>2024</w:t>
      </w:r>
      <w:r>
        <w:rPr>
          <w:sz w:val="24"/>
        </w:rPr>
        <w:t>年</w:t>
      </w:r>
      <w:r>
        <w:rPr>
          <w:rFonts w:hint="eastAsia"/>
          <w:sz w:val="24"/>
          <w:lang w:val="en-US" w:eastAsia="zh-CN"/>
        </w:rPr>
        <w:t>10</w:t>
      </w:r>
      <w:r>
        <w:rPr>
          <w:sz w:val="24"/>
        </w:rPr>
        <w:t>月</w:t>
      </w:r>
      <w:r>
        <w:rPr>
          <w:rFonts w:hint="eastAsia"/>
          <w:sz w:val="24"/>
          <w:highlight w:val="yellow"/>
          <w:lang w:val="en-US" w:eastAsia="zh-CN"/>
        </w:rPr>
        <w:t>16</w:t>
      </w:r>
      <w:r>
        <w:rPr>
          <w:sz w:val="24"/>
        </w:rPr>
        <w:t>日。</w:t>
      </w:r>
    </w:p>
    <w:p>
      <w:pPr>
        <w:snapToGrid w:val="0"/>
        <w:spacing w:line="480" w:lineRule="exact"/>
        <w:ind w:firstLine="480" w:firstLineChars="200"/>
        <w:rPr>
          <w:rFonts w:hint="eastAsia"/>
          <w:b/>
          <w:bCs/>
          <w:sz w:val="24"/>
        </w:rPr>
      </w:pPr>
      <w:r>
        <w:rPr>
          <w:rFonts w:hint="eastAsia"/>
          <w:sz w:val="24"/>
        </w:rPr>
        <w:t>地点：“江苏政府采购网”</w:t>
      </w:r>
    </w:p>
    <w:p>
      <w:pPr>
        <w:snapToGrid w:val="0"/>
        <w:spacing w:line="480" w:lineRule="exact"/>
        <w:ind w:firstLine="480" w:firstLineChars="200"/>
        <w:rPr>
          <w:sz w:val="24"/>
        </w:rPr>
      </w:pPr>
      <w:r>
        <w:rPr>
          <w:rFonts w:hint="eastAsia"/>
          <w:sz w:val="24"/>
        </w:rPr>
        <w:t>方式：自行下载</w:t>
      </w:r>
    </w:p>
    <w:p>
      <w:pPr>
        <w:snapToGrid w:val="0"/>
        <w:spacing w:line="480" w:lineRule="exact"/>
        <w:ind w:firstLine="482"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sz w:val="24"/>
        </w:rPr>
      </w:pPr>
      <w:r>
        <w:rPr>
          <w:rFonts w:hint="eastAsia"/>
          <w:sz w:val="24"/>
        </w:rPr>
        <w:t>截止时间：</w:t>
      </w:r>
      <w:r>
        <w:rPr>
          <w:rFonts w:hint="eastAsia"/>
          <w:sz w:val="24"/>
          <w:u w:val="single"/>
          <w:lang w:val="en-US" w:eastAsia="zh-CN"/>
        </w:rPr>
        <w:t>2024</w:t>
      </w:r>
      <w:r>
        <w:rPr>
          <w:sz w:val="24"/>
          <w:u w:val="single"/>
        </w:rPr>
        <w:t>年</w:t>
      </w:r>
      <w:r>
        <w:rPr>
          <w:rFonts w:hint="eastAsia"/>
          <w:sz w:val="24"/>
          <w:u w:val="single"/>
          <w:lang w:val="en-US" w:eastAsia="zh-CN"/>
        </w:rPr>
        <w:t>10</w:t>
      </w:r>
      <w:r>
        <w:rPr>
          <w:sz w:val="24"/>
          <w:u w:val="single"/>
        </w:rPr>
        <w:t>月</w:t>
      </w:r>
      <w:r>
        <w:rPr>
          <w:rFonts w:hint="eastAsia"/>
          <w:sz w:val="24"/>
          <w:u w:val="single"/>
          <w:lang w:val="en-US" w:eastAsia="zh-CN"/>
        </w:rPr>
        <w:t>16</w:t>
      </w:r>
      <w:r>
        <w:rPr>
          <w:sz w:val="24"/>
          <w:u w:val="single"/>
        </w:rPr>
        <w:t>日</w:t>
      </w:r>
      <w:r>
        <w:rPr>
          <w:rFonts w:hint="eastAsia"/>
          <w:sz w:val="24"/>
          <w:u w:val="single"/>
          <w:lang w:val="en-US" w:eastAsia="zh-CN"/>
        </w:rPr>
        <w:t>9</w:t>
      </w:r>
      <w:r>
        <w:rPr>
          <w:sz w:val="24"/>
          <w:u w:val="single"/>
        </w:rPr>
        <w:t>点</w:t>
      </w:r>
      <w:r>
        <w:rPr>
          <w:rFonts w:hint="eastAsia"/>
          <w:sz w:val="24"/>
          <w:u w:val="single"/>
          <w:lang w:val="en-US" w:eastAsia="zh-CN"/>
        </w:rPr>
        <w:t>30</w:t>
      </w:r>
      <w:r>
        <w:rPr>
          <w:sz w:val="24"/>
          <w:u w:val="single"/>
        </w:rPr>
        <w:t>分</w:t>
      </w:r>
      <w:r>
        <w:rPr>
          <w:sz w:val="24"/>
        </w:rPr>
        <w:t>（北京时间）</w:t>
      </w:r>
      <w:r>
        <w:rPr>
          <w:rFonts w:hint="eastAsia"/>
          <w:sz w:val="24"/>
        </w:rPr>
        <w:t>，</w:t>
      </w:r>
      <w:r>
        <w:rPr>
          <w:sz w:val="24"/>
        </w:rPr>
        <w:t>逾时拒绝接收</w:t>
      </w:r>
      <w:r>
        <w:rPr>
          <w:rFonts w:hint="eastAsia"/>
          <w:sz w:val="24"/>
        </w:rPr>
        <w:t>磋商</w:t>
      </w:r>
      <w:r>
        <w:rPr>
          <w:sz w:val="24"/>
        </w:rPr>
        <w:t>响应文件</w:t>
      </w:r>
      <w:r>
        <w:rPr>
          <w:rFonts w:hint="eastAsia"/>
          <w:sz w:val="24"/>
        </w:rPr>
        <w:t>。</w:t>
      </w:r>
    </w:p>
    <w:p>
      <w:pPr>
        <w:snapToGrid w:val="0"/>
        <w:spacing w:line="480" w:lineRule="exact"/>
        <w:ind w:firstLine="480" w:firstLineChars="200"/>
        <w:rPr>
          <w:sz w:val="24"/>
        </w:rPr>
      </w:pPr>
      <w:r>
        <w:rPr>
          <w:sz w:val="24"/>
        </w:rPr>
        <w:t>地点：</w:t>
      </w:r>
      <w:r>
        <w:rPr>
          <w:rFonts w:hint="eastAsia"/>
          <w:sz w:val="24"/>
          <w:lang w:eastAsia="zh-CN"/>
        </w:rPr>
        <w:t>南通市崇川区红星路</w:t>
      </w:r>
      <w:r>
        <w:rPr>
          <w:rFonts w:hint="eastAsia"/>
          <w:sz w:val="24"/>
          <w:lang w:val="en-US" w:eastAsia="zh-CN"/>
        </w:rPr>
        <w:t>1号太阳鑫城1幢东单元6层开标室</w:t>
      </w:r>
      <w:r>
        <w:rPr>
          <w:sz w:val="24"/>
        </w:rPr>
        <w:t>，如有变动另行通知。</w:t>
      </w:r>
    </w:p>
    <w:p>
      <w:pPr>
        <w:snapToGrid w:val="0"/>
        <w:spacing w:line="480" w:lineRule="exact"/>
        <w:ind w:firstLine="482" w:firstLineChars="200"/>
        <w:rPr>
          <w:b/>
          <w:sz w:val="24"/>
        </w:rPr>
      </w:pPr>
      <w:r>
        <w:rPr>
          <w:rFonts w:hint="eastAsia"/>
          <w:b/>
          <w:sz w:val="24"/>
        </w:rPr>
        <w:t>五、开启</w:t>
      </w:r>
    </w:p>
    <w:p>
      <w:pPr>
        <w:snapToGrid w:val="0"/>
        <w:spacing w:line="480" w:lineRule="exact"/>
        <w:ind w:firstLine="480" w:firstLineChars="200"/>
        <w:rPr>
          <w:sz w:val="24"/>
        </w:rPr>
      </w:pPr>
      <w:r>
        <w:rPr>
          <w:rFonts w:hint="eastAsia"/>
          <w:sz w:val="24"/>
        </w:rPr>
        <w:t>时间：</w:t>
      </w:r>
      <w:r>
        <w:rPr>
          <w:rFonts w:hint="eastAsia"/>
          <w:sz w:val="24"/>
          <w:u w:val="single"/>
          <w:lang w:val="en-US" w:eastAsia="zh-CN"/>
        </w:rPr>
        <w:t>2024</w:t>
      </w:r>
      <w:r>
        <w:rPr>
          <w:sz w:val="24"/>
          <w:u w:val="single"/>
        </w:rPr>
        <w:t>年</w:t>
      </w:r>
      <w:r>
        <w:rPr>
          <w:rFonts w:hint="eastAsia"/>
          <w:sz w:val="24"/>
          <w:u w:val="single"/>
          <w:lang w:val="en-US" w:eastAsia="zh-CN"/>
        </w:rPr>
        <w:t>10</w:t>
      </w:r>
      <w:r>
        <w:rPr>
          <w:sz w:val="24"/>
          <w:u w:val="single"/>
        </w:rPr>
        <w:t>月</w:t>
      </w:r>
      <w:r>
        <w:rPr>
          <w:rFonts w:hint="eastAsia"/>
          <w:sz w:val="24"/>
          <w:u w:val="single"/>
          <w:lang w:val="en-US" w:eastAsia="zh-CN"/>
        </w:rPr>
        <w:t>16</w:t>
      </w:r>
      <w:r>
        <w:rPr>
          <w:sz w:val="24"/>
          <w:u w:val="single"/>
        </w:rPr>
        <w:t>日</w:t>
      </w:r>
      <w:r>
        <w:rPr>
          <w:rFonts w:hint="eastAsia"/>
          <w:sz w:val="24"/>
          <w:u w:val="single"/>
          <w:lang w:val="en-US" w:eastAsia="zh-CN"/>
        </w:rPr>
        <w:t>9</w:t>
      </w:r>
      <w:r>
        <w:rPr>
          <w:sz w:val="24"/>
          <w:u w:val="single"/>
        </w:rPr>
        <w:t>点</w:t>
      </w:r>
      <w:r>
        <w:rPr>
          <w:rFonts w:hint="eastAsia"/>
          <w:sz w:val="24"/>
          <w:u w:val="single"/>
          <w:lang w:val="en-US" w:eastAsia="zh-CN"/>
        </w:rPr>
        <w:t>30</w:t>
      </w:r>
      <w:r>
        <w:rPr>
          <w:sz w:val="24"/>
          <w:u w:val="single"/>
        </w:rPr>
        <w:t>分</w:t>
      </w:r>
      <w:r>
        <w:rPr>
          <w:sz w:val="24"/>
        </w:rPr>
        <w:t>（北京时间）</w:t>
      </w:r>
    </w:p>
    <w:p>
      <w:pPr>
        <w:snapToGrid w:val="0"/>
        <w:spacing w:line="480" w:lineRule="exact"/>
        <w:ind w:firstLine="480" w:firstLineChars="200"/>
        <w:rPr>
          <w:sz w:val="24"/>
        </w:rPr>
      </w:pPr>
      <w:r>
        <w:rPr>
          <w:rFonts w:hint="eastAsia"/>
          <w:sz w:val="24"/>
        </w:rPr>
        <w:t>地点：</w:t>
      </w:r>
      <w:r>
        <w:rPr>
          <w:rFonts w:hint="eastAsia"/>
          <w:sz w:val="24"/>
          <w:lang w:eastAsia="zh-CN"/>
        </w:rPr>
        <w:t>南通市崇川区红星路</w:t>
      </w:r>
      <w:r>
        <w:rPr>
          <w:rFonts w:hint="eastAsia"/>
          <w:sz w:val="24"/>
          <w:lang w:val="en-US" w:eastAsia="zh-CN"/>
        </w:rPr>
        <w:t>1号太阳鑫城1幢东单元6层开标室</w:t>
      </w:r>
      <w:r>
        <w:rPr>
          <w:sz w:val="24"/>
        </w:rPr>
        <w:t>，如有变动另行通知。</w:t>
      </w:r>
    </w:p>
    <w:p>
      <w:pPr>
        <w:snapToGrid w:val="0"/>
        <w:spacing w:line="480" w:lineRule="exact"/>
        <w:ind w:firstLine="482"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w:t>
      </w:r>
      <w:r>
        <w:rPr>
          <w:rFonts w:ascii="Times New Roman" w:hAnsi="Times New Roman" w:eastAsia="宋体" w:cs="Times New Roman"/>
          <w:sz w:val="24"/>
        </w:rPr>
        <w:t>日起</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个工</w:t>
      </w:r>
      <w:r>
        <w:rPr>
          <w:sz w:val="24"/>
        </w:rPr>
        <w:t>作日。</w:t>
      </w:r>
    </w:p>
    <w:p>
      <w:pPr>
        <w:snapToGrid w:val="0"/>
        <w:spacing w:line="480" w:lineRule="exact"/>
        <w:ind w:firstLine="482"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项目演示、样品、答辩等：无</w:t>
      </w:r>
    </w:p>
    <w:p>
      <w:pPr>
        <w:snapToGrid w:val="0"/>
        <w:spacing w:line="480" w:lineRule="exact"/>
        <w:ind w:firstLine="480" w:firstLineChars="20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pPr>
        <w:snapToGrid w:val="0"/>
        <w:spacing w:line="48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Times New Roman" w:eastAsia="宋体" w:cs="Times New Roman"/>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480" w:lineRule="exact"/>
        <w:ind w:firstLine="480" w:firstLineChars="200"/>
        <w:rPr>
          <w:rFonts w:hint="eastAsia" w:ascii="宋体" w:hAnsi="宋体" w:eastAsia="宋体" w:cs="宋体"/>
          <w:b/>
          <w:bCs/>
          <w:color w:val="000000"/>
          <w:kern w:val="0"/>
          <w:sz w:val="24"/>
          <w:szCs w:val="20"/>
          <w:u w:val="thick" w:color="FF0000"/>
          <w:lang w:val="zh-CN" w:bidi="ar"/>
        </w:rPr>
      </w:pPr>
      <w:r>
        <w:rPr>
          <w:rFonts w:hint="eastAsia" w:ascii="Times New Roman" w:hAnsi="Times New Roman" w:eastAsia="宋体" w:cs="Times New Roman"/>
          <w:sz w:val="24"/>
        </w:rPr>
        <w:t>6.勘察现场或答疑：本次采购不组织集中勘察现场。因本项目涉及到的</w:t>
      </w:r>
      <w:r>
        <w:rPr>
          <w:rFonts w:hint="eastAsia" w:cs="Times New Roman"/>
          <w:sz w:val="24"/>
          <w:lang w:eastAsia="zh-CN"/>
        </w:rPr>
        <w:t>装饰装修、</w:t>
      </w:r>
      <w:r>
        <w:rPr>
          <w:rFonts w:hint="eastAsia" w:ascii="Times New Roman" w:hAnsi="Times New Roman" w:eastAsia="宋体" w:cs="Times New Roman"/>
          <w:sz w:val="24"/>
        </w:rPr>
        <w:t>设备安装、调试以及软件的应用，所以请各</w:t>
      </w:r>
      <w:r>
        <w:rPr>
          <w:rFonts w:hint="eastAsia" w:ascii="Times New Roman" w:hAnsi="Times New Roman" w:eastAsia="宋体" w:cs="Times New Roman"/>
          <w:sz w:val="24"/>
          <w:lang w:eastAsia="zh-CN"/>
        </w:rPr>
        <w:t>供应商</w:t>
      </w:r>
      <w:r>
        <w:rPr>
          <w:rFonts w:hint="eastAsia" w:ascii="Times New Roman" w:hAnsi="Times New Roman" w:eastAsia="宋体" w:cs="Times New Roman"/>
          <w:sz w:val="24"/>
        </w:rPr>
        <w:t>在投标前务必认真踏勘现场，并在技术标里提供</w:t>
      </w:r>
      <w:r>
        <w:rPr>
          <w:rFonts w:hint="eastAsia" w:ascii="宋体" w:hAnsi="宋体" w:eastAsia="宋体" w:cs="宋体"/>
          <w:b/>
          <w:bCs/>
          <w:color w:val="000000"/>
          <w:kern w:val="0"/>
          <w:sz w:val="24"/>
          <w:szCs w:val="20"/>
          <w:u w:val="thick" w:color="FF0000"/>
          <w:lang w:val="zh-CN" w:bidi="ar"/>
        </w:rPr>
        <w:t>现场勘察承诺函</w:t>
      </w:r>
      <w:r>
        <w:rPr>
          <w:rFonts w:hint="eastAsia" w:ascii="Times New Roman" w:hAnsi="Times New Roman" w:eastAsia="宋体" w:cs="Times New Roman"/>
          <w:sz w:val="24"/>
        </w:rPr>
        <w:t>，</w:t>
      </w:r>
      <w:r>
        <w:rPr>
          <w:rFonts w:hint="eastAsia" w:ascii="宋体" w:hAnsi="宋体" w:eastAsia="宋体" w:cs="宋体"/>
          <w:b/>
          <w:bCs/>
          <w:color w:val="000000"/>
          <w:kern w:val="0"/>
          <w:sz w:val="24"/>
          <w:szCs w:val="20"/>
          <w:u w:val="thick" w:color="FF0000"/>
          <w:lang w:val="zh-CN" w:bidi="ar"/>
        </w:rPr>
        <w:t>承诺</w:t>
      </w:r>
      <w:r>
        <w:rPr>
          <w:rFonts w:hint="eastAsia" w:ascii="宋体" w:hAnsi="宋体" w:eastAsia="宋体" w:cs="宋体"/>
          <w:b/>
          <w:bCs/>
          <w:color w:val="000000"/>
          <w:kern w:val="0"/>
          <w:sz w:val="24"/>
          <w:szCs w:val="20"/>
          <w:u w:val="thick" w:color="FF0000"/>
          <w:lang w:val="zh-CN" w:eastAsia="zh-CN" w:bidi="ar"/>
        </w:rPr>
        <w:t>函</w:t>
      </w:r>
      <w:r>
        <w:rPr>
          <w:rFonts w:hint="eastAsia" w:ascii="宋体" w:hAnsi="宋体" w:eastAsia="宋体" w:cs="宋体"/>
          <w:b/>
          <w:bCs/>
          <w:color w:val="000000"/>
          <w:kern w:val="0"/>
          <w:sz w:val="24"/>
          <w:szCs w:val="20"/>
          <w:u w:val="thick" w:color="FF0000"/>
          <w:lang w:val="zh-CN" w:bidi="ar"/>
        </w:rPr>
        <w:t>内容必须包含但不限于：</w:t>
      </w:r>
      <w:r>
        <w:rPr>
          <w:rFonts w:hint="eastAsia" w:ascii="Times New Roman" w:hAnsi="Times New Roman" w:eastAsia="宋体" w:cs="Times New Roman"/>
          <w:sz w:val="24"/>
        </w:rPr>
        <w:t>承诺人已认真踏勘现场，充分了解并能满足本项目需求，</w:t>
      </w:r>
      <w:r>
        <w:rPr>
          <w:rFonts w:hint="eastAsia" w:ascii="宋体" w:hAnsi="宋体" w:eastAsia="宋体" w:cs="宋体"/>
          <w:b/>
          <w:bCs/>
          <w:color w:val="000000"/>
          <w:kern w:val="0"/>
          <w:sz w:val="24"/>
          <w:szCs w:val="20"/>
          <w:u w:val="thick" w:color="FF0000"/>
          <w:lang w:val="zh-CN" w:bidi="ar"/>
        </w:rPr>
        <w:t>未提供现场勘察承诺函或承诺函内容不全的做无效标处理。</w:t>
      </w:r>
    </w:p>
    <w:p>
      <w:pPr>
        <w:snapToGrid w:val="0"/>
        <w:spacing w:line="48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7.勘察时间工作日8:30-11:30，14:00-17:30。联系人：</w:t>
      </w:r>
      <w:r>
        <w:rPr>
          <w:rFonts w:hint="eastAsia" w:ascii="Times New Roman" w:hAnsi="Times New Roman" w:eastAsia="宋体" w:cs="Times New Roman"/>
          <w:sz w:val="24"/>
          <w:lang w:val="en-US" w:eastAsia="zh-CN"/>
        </w:rPr>
        <w:t>邓先生</w:t>
      </w: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0513-81163109</w:t>
      </w:r>
      <w:r>
        <w:rPr>
          <w:rFonts w:hint="eastAsia" w:ascii="Times New Roman" w:hAnsi="Times New Roman" w:eastAsia="宋体" w:cs="Times New Roman"/>
          <w:sz w:val="24"/>
        </w:rPr>
        <w:t>。</w:t>
      </w:r>
    </w:p>
    <w:p>
      <w:pPr>
        <w:snapToGrid w:val="0"/>
        <w:spacing w:line="480" w:lineRule="exact"/>
        <w:ind w:firstLine="482"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napToGrid w:val="0"/>
        <w:spacing w:line="480" w:lineRule="exact"/>
        <w:ind w:firstLine="480" w:firstLineChars="200"/>
        <w:rPr>
          <w:sz w:val="24"/>
        </w:rPr>
      </w:pPr>
      <w:r>
        <w:rPr>
          <w:sz w:val="24"/>
        </w:rPr>
        <w:t>1</w:t>
      </w:r>
      <w:r>
        <w:rPr>
          <w:rFonts w:hint="eastAsia"/>
          <w:sz w:val="24"/>
        </w:rPr>
        <w:t xml:space="preserve">. </w:t>
      </w:r>
      <w:r>
        <w:rPr>
          <w:sz w:val="24"/>
        </w:rPr>
        <w:t>采购人信息</w:t>
      </w:r>
    </w:p>
    <w:p>
      <w:pPr>
        <w:adjustRightInd w:val="0"/>
        <w:snapToGrid w:val="0"/>
        <w:spacing w:line="480" w:lineRule="exact"/>
        <w:ind w:firstLine="480" w:firstLineChars="200"/>
        <w:rPr>
          <w:rFonts w:hint="eastAsia"/>
          <w:sz w:val="24"/>
          <w:lang w:eastAsia="zh-CN"/>
        </w:rPr>
      </w:pPr>
      <w:r>
        <w:rPr>
          <w:rFonts w:hint="eastAsia"/>
          <w:sz w:val="24"/>
        </w:rPr>
        <w:t>名称：</w:t>
      </w:r>
      <w:r>
        <w:rPr>
          <w:rFonts w:hint="eastAsia"/>
          <w:sz w:val="24"/>
          <w:lang w:eastAsia="zh-CN"/>
        </w:rPr>
        <w:t>江苏省南通女子监狱</w:t>
      </w:r>
    </w:p>
    <w:p>
      <w:pPr>
        <w:adjustRightInd w:val="0"/>
        <w:snapToGrid w:val="0"/>
        <w:spacing w:line="480" w:lineRule="exact"/>
        <w:ind w:firstLine="480" w:firstLineChars="200"/>
        <w:rPr>
          <w:rFonts w:hint="eastAsia"/>
          <w:sz w:val="24"/>
          <w:lang w:eastAsia="zh-CN"/>
        </w:rPr>
      </w:pPr>
      <w:r>
        <w:rPr>
          <w:rFonts w:hint="eastAsia"/>
          <w:sz w:val="24"/>
        </w:rPr>
        <w:t>地址：</w:t>
      </w:r>
      <w:r>
        <w:rPr>
          <w:rFonts w:hint="eastAsia"/>
          <w:sz w:val="24"/>
          <w:lang w:eastAsia="zh-CN"/>
        </w:rPr>
        <w:t>南通市濠东路</w:t>
      </w:r>
      <w:r>
        <w:rPr>
          <w:rFonts w:hint="eastAsia"/>
          <w:sz w:val="24"/>
          <w:lang w:val="en-US" w:eastAsia="zh-CN"/>
        </w:rPr>
        <w:t>258</w:t>
      </w:r>
      <w:r>
        <w:rPr>
          <w:rFonts w:hint="eastAsia"/>
          <w:sz w:val="24"/>
          <w:lang w:eastAsia="zh-CN"/>
        </w:rPr>
        <w:t>号</w:t>
      </w:r>
    </w:p>
    <w:p>
      <w:pPr>
        <w:adjustRightInd w:val="0"/>
        <w:snapToGrid w:val="0"/>
        <w:spacing w:line="480" w:lineRule="exact"/>
        <w:ind w:firstLine="480" w:firstLineChars="200"/>
        <w:rPr>
          <w:rFonts w:hint="eastAsia"/>
          <w:sz w:val="24"/>
          <w:lang w:eastAsia="zh-CN"/>
        </w:rPr>
      </w:pPr>
      <w:r>
        <w:rPr>
          <w:rFonts w:hint="eastAsia"/>
          <w:sz w:val="24"/>
        </w:rPr>
        <w:t>联系人：</w:t>
      </w:r>
      <w:r>
        <w:rPr>
          <w:rFonts w:hint="eastAsia"/>
          <w:sz w:val="24"/>
          <w:lang w:eastAsia="zh-CN"/>
        </w:rPr>
        <w:t>于女士</w:t>
      </w:r>
    </w:p>
    <w:p>
      <w:pPr>
        <w:adjustRightInd w:val="0"/>
        <w:snapToGrid w:val="0"/>
        <w:spacing w:line="480" w:lineRule="exact"/>
        <w:ind w:firstLine="480" w:firstLineChars="200"/>
        <w:rPr>
          <w:sz w:val="24"/>
        </w:rPr>
      </w:pPr>
      <w:r>
        <w:rPr>
          <w:rFonts w:hint="eastAsia"/>
          <w:sz w:val="24"/>
        </w:rPr>
        <w:t>电话：051</w:t>
      </w:r>
      <w:r>
        <w:rPr>
          <w:rFonts w:hint="eastAsia"/>
          <w:sz w:val="24"/>
          <w:lang w:val="en-US" w:eastAsia="zh-CN"/>
        </w:rPr>
        <w:t>3-85286238</w:t>
      </w:r>
    </w:p>
    <w:p>
      <w:pPr>
        <w:snapToGrid w:val="0"/>
        <w:spacing w:line="48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 xml:space="preserve"> 采购代理机构信息</w:t>
      </w:r>
    </w:p>
    <w:p>
      <w:pPr>
        <w:adjustRightInd w:val="0"/>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名称：</w:t>
      </w:r>
      <w:r>
        <w:rPr>
          <w:rFonts w:hint="eastAsia" w:ascii="Times New Roman" w:hAnsi="Times New Roman" w:eastAsia="宋体" w:cs="Times New Roman"/>
          <w:sz w:val="24"/>
          <w:lang w:eastAsia="zh-CN"/>
        </w:rPr>
        <w:t>南通建辰工程咨询有限公司</w:t>
      </w:r>
    </w:p>
    <w:p>
      <w:pPr>
        <w:adjustRightInd w:val="0"/>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地址：</w:t>
      </w:r>
      <w:r>
        <w:rPr>
          <w:rFonts w:hint="eastAsia" w:ascii="Times New Roman" w:hAnsi="Times New Roman" w:eastAsia="宋体" w:cs="Times New Roman"/>
          <w:sz w:val="24"/>
          <w:lang w:eastAsia="zh-CN"/>
        </w:rPr>
        <w:t>南通市崇川区红星路</w:t>
      </w:r>
      <w:r>
        <w:rPr>
          <w:rFonts w:hint="eastAsia" w:ascii="Times New Roman" w:hAnsi="Times New Roman" w:eastAsia="宋体" w:cs="Times New Roman"/>
          <w:sz w:val="24"/>
          <w:lang w:val="en-US" w:eastAsia="zh-CN"/>
        </w:rPr>
        <w:t>1号太阳鑫城1幢东单元6层</w:t>
      </w:r>
    </w:p>
    <w:p>
      <w:pPr>
        <w:adjustRightInd w:val="0"/>
        <w:snapToGrid w:val="0"/>
        <w:spacing w:line="480" w:lineRule="exact"/>
        <w:ind w:firstLine="480" w:firstLineChars="2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 xml:space="preserve">联系人：陆语石  </w:t>
      </w:r>
    </w:p>
    <w:p>
      <w:pPr>
        <w:adjustRightInd w:val="0"/>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zh-CN"/>
        </w:rPr>
        <w:t>电话：</w:t>
      </w:r>
      <w:r>
        <w:rPr>
          <w:rFonts w:hint="eastAsia" w:ascii="Times New Roman" w:hAnsi="Times New Roman" w:eastAsia="宋体" w:cs="Times New Roman"/>
          <w:sz w:val="24"/>
          <w:lang w:val="en-US" w:eastAsia="zh-CN"/>
        </w:rPr>
        <w:t>0513-89010636</w:t>
      </w:r>
    </w:p>
    <w:p>
      <w:pPr>
        <w:snapToGrid w:val="0"/>
        <w:spacing w:line="48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ascii="Times New Roman" w:hAnsi="Times New Roman" w:eastAsia="宋体" w:cs="Times New Roman"/>
          <w:sz w:val="24"/>
        </w:rPr>
        <w:t>项目联系方式</w:t>
      </w:r>
    </w:p>
    <w:p>
      <w:pPr>
        <w:snapToGrid w:val="0"/>
        <w:spacing w:line="48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采购文件制作人：</w:t>
      </w:r>
      <w:r>
        <w:rPr>
          <w:rFonts w:hint="eastAsia" w:ascii="Times New Roman" w:hAnsi="Times New Roman" w:eastAsia="宋体" w:cs="Times New Roman"/>
          <w:sz w:val="24"/>
          <w:lang w:val="zh-CN"/>
        </w:rPr>
        <w:t>陆语石</w:t>
      </w:r>
    </w:p>
    <w:p>
      <w:pPr>
        <w:snapToGrid w:val="0"/>
        <w:spacing w:line="480" w:lineRule="exact"/>
        <w:ind w:firstLine="480" w:firstLineChars="200"/>
        <w:rPr>
          <w:rFonts w:hint="eastAsia" w:ascii="仿宋_GB2312" w:hAnsi="宋体" w:eastAsia="仿宋_GB2312" w:cs="宋体"/>
          <w:sz w:val="28"/>
          <w:szCs w:val="28"/>
        </w:rPr>
      </w:pPr>
      <w:r>
        <w:rPr>
          <w:rFonts w:hint="eastAsia"/>
          <w:sz w:val="24"/>
        </w:rPr>
        <w:t>电 话：</w:t>
      </w:r>
      <w:r>
        <w:rPr>
          <w:rFonts w:hint="eastAsia" w:ascii="Times New Roman" w:hAnsi="Times New Roman" w:eastAsia="宋体" w:cs="Times New Roman"/>
          <w:sz w:val="24"/>
          <w:lang w:val="en-US" w:eastAsia="zh-CN"/>
        </w:rPr>
        <w:t>0513-89010636</w:t>
      </w:r>
    </w:p>
    <w:bookmarkEnd w:id="1"/>
    <w:p>
      <w:pPr>
        <w:snapToGrid w:val="0"/>
        <w:spacing w:line="480" w:lineRule="exact"/>
        <w:contextualSpacing/>
        <w:jc w:val="center"/>
        <w:rPr>
          <w:rFonts w:hint="eastAsia" w:ascii="仿宋_GB2312" w:eastAsia="仿宋_GB2312"/>
          <w:b/>
          <w:sz w:val="28"/>
          <w:szCs w:val="28"/>
        </w:rPr>
      </w:pPr>
      <w:r>
        <w:rPr>
          <w:rFonts w:ascii="仿宋_GB2312" w:eastAsia="仿宋_GB2312"/>
          <w:b/>
          <w:bCs/>
          <w:sz w:val="36"/>
          <w:szCs w:val="36"/>
          <w:lang w:val="zh-CN"/>
        </w:rPr>
        <w:br w:type="page"/>
      </w:r>
      <w:r>
        <w:rPr>
          <w:rFonts w:hint="eastAsia" w:ascii="仿宋_GB2312" w:eastAsia="仿宋_GB2312"/>
          <w:b/>
          <w:bCs/>
          <w:sz w:val="36"/>
          <w:szCs w:val="36"/>
          <w:lang w:val="zh-CN"/>
        </w:rPr>
        <w:t>第二部分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2" w:firstLineChars="200"/>
        <w:contextualSpacing/>
        <w:outlineLvl w:val="0"/>
        <w:rPr>
          <w:b/>
          <w:sz w:val="24"/>
        </w:rPr>
      </w:pPr>
      <w:r>
        <w:rPr>
          <w:b/>
          <w:sz w:val="24"/>
        </w:rPr>
        <w:t>一、本磋商文件由采购人或采购代理机构解释。</w:t>
      </w:r>
    </w:p>
    <w:p>
      <w:pPr>
        <w:snapToGrid w:val="0"/>
        <w:spacing w:line="480" w:lineRule="exact"/>
        <w:ind w:firstLine="480" w:firstLineChars="200"/>
        <w:contextualSpacing/>
        <w:rPr>
          <w:b/>
          <w:sz w:val="24"/>
        </w:rPr>
      </w:pPr>
      <w:r>
        <w:rPr>
          <w:sz w:val="24"/>
        </w:rPr>
        <w:t>1</w:t>
      </w:r>
      <w:r>
        <w:rPr>
          <w:rFonts w:hint="eastAsia"/>
          <w:sz w:val="24"/>
          <w:lang w:val="en-US" w:eastAsia="zh-CN"/>
        </w:rPr>
        <w:t>.</w:t>
      </w:r>
      <w:r>
        <w:rPr>
          <w:sz w:val="24"/>
        </w:rPr>
        <w:t>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w:t>
      </w:r>
      <w:r>
        <w:rPr>
          <w:rFonts w:hint="eastAsia"/>
          <w:sz w:val="24"/>
          <w:lang w:val="en-US" w:eastAsia="zh-CN"/>
        </w:rPr>
        <w:t>.</w:t>
      </w:r>
      <w:r>
        <w:rPr>
          <w:sz w:val="24"/>
        </w:rPr>
        <w:t>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sz w:val="24"/>
        </w:rPr>
      </w:pPr>
      <w:r>
        <w:rPr>
          <w:b/>
          <w:sz w:val="24"/>
        </w:rPr>
        <w:t>二、磋商文件的澄清、修改、答疑</w:t>
      </w:r>
    </w:p>
    <w:p>
      <w:pPr>
        <w:pStyle w:val="7"/>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7"/>
        <w:snapToGrid w:val="0"/>
        <w:spacing w:line="480" w:lineRule="exact"/>
        <w:ind w:left="0" w:leftChars="0" w:firstLine="480" w:firstLineChars="20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pPr>
        <w:pStyle w:val="7"/>
        <w:snapToGrid w:val="0"/>
        <w:spacing w:line="480" w:lineRule="exact"/>
        <w:ind w:left="0" w:leftChars="0" w:firstLine="480" w:firstLineChars="200"/>
        <w:contextualSpacing/>
        <w:rPr>
          <w:sz w:val="24"/>
        </w:rPr>
      </w:pPr>
      <w:r>
        <w:rPr>
          <w:sz w:val="24"/>
          <w:lang w:val="zh-CN"/>
        </w:rPr>
        <w:t>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w:t>
      </w:r>
      <w:r>
        <w:rPr>
          <w:rFonts w:hint="eastAsia"/>
          <w:sz w:val="24"/>
          <w:lang w:val="en-US" w:eastAsia="zh-CN"/>
        </w:rPr>
        <w:t>.</w:t>
      </w:r>
      <w:r>
        <w:rPr>
          <w:sz w:val="24"/>
        </w:rPr>
        <w:t>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w:t>
      </w:r>
      <w:r>
        <w:rPr>
          <w:rFonts w:hint="eastAsia"/>
          <w:sz w:val="24"/>
          <w:lang w:val="en-US" w:eastAsia="zh-CN"/>
        </w:rPr>
        <w:t>.</w:t>
      </w:r>
      <w:r>
        <w:rPr>
          <w:sz w:val="24"/>
        </w:rPr>
        <w:t>响应文件每一部分内容均须提供“</w:t>
      </w:r>
      <w:r>
        <w:rPr>
          <w:b/>
          <w:sz w:val="24"/>
        </w:rPr>
        <w:t>一正</w:t>
      </w:r>
      <w:r>
        <w:rPr>
          <w:rFonts w:hint="eastAsia"/>
          <w:b/>
          <w:sz w:val="24"/>
          <w:u w:val="single"/>
          <w:lang w:eastAsia="zh-CN"/>
        </w:rPr>
        <w:t>贰</w:t>
      </w:r>
      <w:r>
        <w:rPr>
          <w:b/>
          <w:sz w:val="24"/>
        </w:rPr>
        <w:t>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w:t>
      </w:r>
      <w:r>
        <w:rPr>
          <w:rFonts w:hint="eastAsia"/>
          <w:sz w:val="24"/>
          <w:lang w:val="en-US" w:eastAsia="zh-CN"/>
        </w:rPr>
        <w:t>.</w:t>
      </w:r>
      <w:r>
        <w:rPr>
          <w:sz w:val="24"/>
        </w:rPr>
        <w:t>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w:t>
      </w:r>
      <w:r>
        <w:rPr>
          <w:rFonts w:hint="eastAsia"/>
          <w:sz w:val="24"/>
          <w:lang w:val="en-US" w:eastAsia="zh-CN"/>
        </w:rPr>
        <w:t>.</w:t>
      </w:r>
      <w:r>
        <w:rPr>
          <w:sz w:val="24"/>
        </w:rPr>
        <w:t>响应文件密封后应标明响应文件项目名称、项目编号</w:t>
      </w:r>
      <w:r>
        <w:rPr>
          <w:rFonts w:hint="eastAsia"/>
          <w:sz w:val="24"/>
        </w:rPr>
        <w:t>、</w:t>
      </w:r>
      <w:r>
        <w:rPr>
          <w:sz w:val="24"/>
        </w:rPr>
        <w:t>边缝处加盖单位骑缝章或骑缝签字。</w:t>
      </w:r>
    </w:p>
    <w:p>
      <w:pPr>
        <w:snapToGrid w:val="0"/>
        <w:spacing w:line="480" w:lineRule="exact"/>
        <w:ind w:firstLine="480" w:firstLineChars="200"/>
        <w:contextualSpacing/>
        <w:rPr>
          <w:b/>
          <w:sz w:val="24"/>
        </w:rPr>
      </w:pPr>
      <w:r>
        <w:rPr>
          <w:sz w:val="24"/>
        </w:rPr>
        <w:t>5</w:t>
      </w:r>
      <w:r>
        <w:rPr>
          <w:rFonts w:hint="eastAsia"/>
          <w:sz w:val="24"/>
          <w:lang w:val="en-US" w:eastAsia="zh-CN"/>
        </w:rPr>
        <w:t>.</w:t>
      </w:r>
      <w:r>
        <w:rPr>
          <w:sz w:val="24"/>
        </w:rPr>
        <w:t>递交时间：供应商须在规定的响应文件接收截止时间前送达指定地点。</w:t>
      </w:r>
      <w:r>
        <w:rPr>
          <w:rFonts w:hint="eastAsia"/>
          <w:b/>
          <w:sz w:val="24"/>
          <w:lang w:val="en-US" w:eastAsia="zh-CN"/>
        </w:rPr>
        <w:t>拒绝接受以邮寄等方式递交。</w:t>
      </w:r>
    </w:p>
    <w:p>
      <w:pPr>
        <w:snapToGrid w:val="0"/>
        <w:spacing w:line="480" w:lineRule="exact"/>
        <w:ind w:firstLine="482" w:firstLineChars="200"/>
        <w:contextualSpacing/>
        <w:rPr>
          <w:b/>
          <w:sz w:val="24"/>
        </w:rPr>
      </w:pPr>
      <w:r>
        <w:rPr>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hint="eastAsia" w:ascii="宋体" w:hAnsi="宋体" w:cs="宋体"/>
          <w:b/>
          <w:bCs/>
          <w:sz w:val="24"/>
        </w:rPr>
      </w:pPr>
      <w:r>
        <w:rPr>
          <w:rFonts w:hint="eastAsia" w:ascii="宋体" w:hAnsi="宋体" w:cs="宋体"/>
          <w:b/>
          <w:bCs/>
          <w:sz w:val="24"/>
        </w:rPr>
        <w:t>四、响应文件的有效期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从响应文件接收截止之日算起，</w:t>
      </w:r>
      <w:r>
        <w:rPr>
          <w:rFonts w:hint="eastAsia" w:ascii="宋体" w:hAnsi="宋体" w:cs="宋体"/>
          <w:b/>
          <w:sz w:val="24"/>
          <w:u w:val="single"/>
          <w:lang w:val="en-US" w:eastAsia="zh-CN"/>
        </w:rPr>
        <w:t>60（六十）</w:t>
      </w:r>
      <w:r>
        <w:rPr>
          <w:rFonts w:hint="eastAsia" w:ascii="宋体" w:hAnsi="宋体" w:cs="宋体"/>
          <w:sz w:val="24"/>
        </w:rPr>
        <w:t>个“日历天”内响应文件应保持有效。有效期短于这个规定期限的，投标将被拒绝。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480" w:lineRule="exact"/>
        <w:ind w:firstLine="602" w:firstLineChars="250"/>
        <w:contextualSpacing/>
        <w:rPr>
          <w:b/>
          <w:sz w:val="24"/>
        </w:rPr>
      </w:pPr>
      <w:r>
        <w:rPr>
          <w:rFonts w:hint="eastAsia"/>
          <w:b/>
          <w:sz w:val="24"/>
        </w:rPr>
        <w:t>五</w:t>
      </w:r>
      <w:r>
        <w:rPr>
          <w:b/>
          <w:sz w:val="24"/>
        </w:rPr>
        <w:t>、报价准备</w:t>
      </w:r>
    </w:p>
    <w:p>
      <w:pPr>
        <w:pStyle w:val="16"/>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lang w:val="en-US" w:eastAsia="zh-CN"/>
        </w:rPr>
        <w:t>1.</w:t>
      </w:r>
      <w:r>
        <w:rPr>
          <w:rFonts w:ascii="Times New Roman" w:hAnsi="Times New Roman" w:eastAsia="宋体"/>
          <w:sz w:val="24"/>
          <w:szCs w:val="24"/>
        </w:rPr>
        <w:t>磋商结束后，供应商就所有内容进行最后报价，少报无效。</w:t>
      </w:r>
    </w:p>
    <w:p>
      <w:pPr>
        <w:pStyle w:val="16"/>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lang w:val="en-US" w:eastAsia="zh-CN"/>
        </w:rPr>
        <w:t>2.</w:t>
      </w:r>
      <w:r>
        <w:rPr>
          <w:rFonts w:ascii="Times New Roman" w:hAnsi="Times New Roman" w:eastAsia="宋体"/>
          <w:sz w:val="24"/>
          <w:szCs w:val="24"/>
        </w:rPr>
        <w:t xml:space="preserve">最后报价应包括本项目的全部费用 (含一切必须的辅助材料费用)及相关服务费等。 </w:t>
      </w:r>
    </w:p>
    <w:p>
      <w:pPr>
        <w:pStyle w:val="16"/>
        <w:snapToGrid w:val="0"/>
        <w:spacing w:line="480" w:lineRule="exact"/>
        <w:ind w:firstLine="494"/>
        <w:contextualSpacing/>
        <w:rPr>
          <w:rFonts w:ascii="Times New Roman" w:hAnsi="Times New Roman" w:eastAsia="宋体"/>
          <w:sz w:val="24"/>
          <w:szCs w:val="24"/>
        </w:rPr>
      </w:pPr>
      <w:r>
        <w:rPr>
          <w:rFonts w:hint="eastAsia" w:ascii="Times New Roman" w:hAnsi="Times New Roman" w:eastAsia="宋体"/>
          <w:sz w:val="24"/>
          <w:szCs w:val="24"/>
          <w:lang w:val="en-US" w:eastAsia="zh-CN"/>
        </w:rPr>
        <w:t>3.</w:t>
      </w:r>
      <w:r>
        <w:rPr>
          <w:rFonts w:ascii="Times New Roman" w:hAnsi="Times New Roman" w:eastAsia="宋体"/>
          <w:sz w:val="24"/>
          <w:szCs w:val="24"/>
        </w:rPr>
        <w:t>最后报价将作为磋商小组评定成交供应商的组成依据。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w:t>
      </w:r>
      <w:r>
        <w:rPr>
          <w:rFonts w:hint="eastAsia"/>
          <w:sz w:val="24"/>
          <w:lang w:val="en-US" w:eastAsia="zh-CN"/>
        </w:rPr>
        <w:t>.</w:t>
      </w:r>
      <w:r>
        <w:rPr>
          <w:sz w:val="24"/>
        </w:rPr>
        <w:t>供应商承担参与磋商可能发生的全部费用，采购人在任何情况下均无义务和责任承担这些费用。</w:t>
      </w:r>
    </w:p>
    <w:p>
      <w:pPr>
        <w:snapToGrid w:val="0"/>
        <w:spacing w:line="480" w:lineRule="exact"/>
        <w:ind w:firstLine="480" w:firstLineChars="200"/>
        <w:contextualSpacing/>
        <w:rPr>
          <w:sz w:val="24"/>
        </w:rPr>
      </w:pPr>
      <w:r>
        <w:rPr>
          <w:sz w:val="24"/>
        </w:rPr>
        <w:t>2</w:t>
      </w:r>
      <w:r>
        <w:rPr>
          <w:rFonts w:hint="eastAsia"/>
          <w:sz w:val="24"/>
          <w:lang w:val="en-US" w:eastAsia="zh-CN"/>
        </w:rPr>
        <w:t>.</w:t>
      </w:r>
      <w:r>
        <w:rPr>
          <w:sz w:val="24"/>
        </w:rPr>
        <w:t>采购人不收取任何费用。</w:t>
      </w:r>
    </w:p>
    <w:p>
      <w:pPr>
        <w:snapToGrid w:val="0"/>
        <w:spacing w:line="440" w:lineRule="exact"/>
        <w:ind w:firstLine="480" w:firstLineChars="200"/>
        <w:outlineLvl w:val="1"/>
        <w:rPr>
          <w:rFonts w:hint="eastAsia"/>
          <w:bCs/>
          <w:sz w:val="24"/>
          <w:lang w:val="en-US" w:eastAsia="zh-CN"/>
        </w:rPr>
      </w:pPr>
      <w:r>
        <w:rPr>
          <w:rFonts w:hint="eastAsia"/>
          <w:bCs/>
          <w:sz w:val="24"/>
          <w:lang w:val="en-US" w:eastAsia="zh-CN"/>
        </w:rPr>
        <w:t>3.招标文件售价：300元/供应商，开标现场缴纳。</w:t>
      </w:r>
    </w:p>
    <w:p>
      <w:pPr>
        <w:snapToGrid w:val="0"/>
        <w:spacing w:line="440" w:lineRule="exact"/>
        <w:ind w:firstLine="480" w:firstLineChars="200"/>
        <w:outlineLvl w:val="1"/>
        <w:rPr>
          <w:rFonts w:hint="eastAsia"/>
          <w:bCs/>
          <w:sz w:val="24"/>
          <w:lang w:val="en-US" w:eastAsia="zh-CN"/>
        </w:rPr>
      </w:pPr>
      <w:r>
        <w:rPr>
          <w:rFonts w:hint="eastAsia"/>
          <w:bCs/>
          <w:sz w:val="24"/>
          <w:lang w:val="en-US" w:eastAsia="zh-CN"/>
        </w:rPr>
        <w:t>4.招标代理费：由采购人支付。</w:t>
      </w:r>
    </w:p>
    <w:p>
      <w:pPr>
        <w:snapToGrid w:val="0"/>
        <w:spacing w:line="480" w:lineRule="exact"/>
        <w:contextualSpacing/>
        <w:rPr>
          <w:sz w:val="24"/>
          <w:u w:val="single"/>
        </w:rPr>
      </w:pP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Times New Roman" w:hAnsi="Times New Roman" w:eastAsia="宋体" w:cs="Times New Roman"/>
          <w:b/>
          <w:sz w:val="24"/>
          <w:szCs w:val="24"/>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eastAsia="宋体" w:cs="宋体"/>
          <w:b/>
          <w:kern w:val="0"/>
          <w:sz w:val="24"/>
          <w:szCs w:val="24"/>
          <w:lang w:val="zh-CN"/>
        </w:rPr>
      </w:pPr>
      <w:r>
        <w:rPr>
          <w:rFonts w:hint="eastAsia" w:ascii="Times New Roman" w:hAnsi="Times New Roman" w:eastAsia="宋体" w:cs="Times New Roman"/>
          <w:b/>
          <w:sz w:val="24"/>
          <w:szCs w:val="24"/>
          <w:lang w:val="en-US" w:eastAsia="zh-CN" w:bidi="ar-SA"/>
        </w:rPr>
        <w:t>供应商</w:t>
      </w:r>
      <w:r>
        <w:rPr>
          <w:rFonts w:ascii="Times New Roman" w:hAnsi="Times New Roman" w:eastAsia="宋体" w:cs="Times New Roman"/>
          <w:b/>
          <w:sz w:val="24"/>
          <w:szCs w:val="24"/>
          <w:lang w:val="zh-CN" w:eastAsia="zh-CN" w:bidi="ar-SA"/>
        </w:rPr>
        <w:t>在制作</w:t>
      </w:r>
      <w:r>
        <w:rPr>
          <w:rFonts w:hint="eastAsia" w:ascii="Times New Roman" w:hAnsi="Times New Roman" w:eastAsia="宋体" w:cs="Times New Roman"/>
          <w:b/>
          <w:sz w:val="24"/>
          <w:szCs w:val="24"/>
          <w:lang w:val="en-US" w:eastAsia="zh-CN" w:bidi="ar-SA"/>
        </w:rPr>
        <w:t>响应</w:t>
      </w:r>
      <w:r>
        <w:rPr>
          <w:rFonts w:ascii="Times New Roman" w:hAnsi="Times New Roman" w:eastAsia="宋体" w:cs="Times New Roman"/>
          <w:b/>
          <w:sz w:val="24"/>
          <w:szCs w:val="24"/>
          <w:lang w:val="zh-CN" w:eastAsia="zh-CN" w:bidi="ar-SA"/>
        </w:rPr>
        <w:t>文件时仔细研究项目需求说明。项目需求包括技术要求和商务要求:技术要求是指对采购标的功能和质量要求，包括性能、材料、结构、外观、安全，或者服务内容和标准等</w:t>
      </w:r>
      <w:r>
        <w:rPr>
          <w:rFonts w:hint="eastAsia" w:ascii="Times New Roman" w:hAnsi="Times New Roman" w:eastAsia="宋体" w:cs="Times New Roman"/>
          <w:b/>
          <w:sz w:val="24"/>
          <w:szCs w:val="24"/>
          <w:lang w:val="zh-CN" w:eastAsia="zh-CN" w:bidi="ar-SA"/>
        </w:rPr>
        <w:t>；</w:t>
      </w:r>
      <w:r>
        <w:rPr>
          <w:rFonts w:ascii="Times New Roman" w:hAnsi="Times New Roman" w:eastAsia="宋体" w:cs="Times New Roman"/>
          <w:b/>
          <w:sz w:val="24"/>
          <w:szCs w:val="24"/>
          <w:lang w:val="zh-CN" w:eastAsia="zh-CN" w:bidi="ar-SA"/>
        </w:rPr>
        <w:t>商务要求是指取得采购标的的时间、地点、财务和服务要求，包括交付（实施）的时间（期限）和地点（范围），付款条件（进度和方法），</w:t>
      </w:r>
      <w:r>
        <w:rPr>
          <w:rFonts w:hint="eastAsia" w:ascii="Times New Roman" w:hAnsi="Times New Roman" w:eastAsia="宋体" w:cs="Times New Roman"/>
          <w:b/>
          <w:sz w:val="24"/>
          <w:szCs w:val="24"/>
          <w:lang w:val="en-US" w:eastAsia="zh-CN" w:bidi="ar-SA"/>
        </w:rPr>
        <w:t>商品</w:t>
      </w:r>
      <w:r>
        <w:rPr>
          <w:rFonts w:ascii="Times New Roman" w:hAnsi="Times New Roman" w:eastAsia="宋体" w:cs="Times New Roman"/>
          <w:b/>
          <w:sz w:val="24"/>
          <w:szCs w:val="24"/>
          <w:lang w:val="zh-CN" w:eastAsia="zh-CN" w:bidi="ar-SA"/>
        </w:rPr>
        <w:t>包装</w:t>
      </w:r>
      <w:r>
        <w:rPr>
          <w:rFonts w:hint="eastAsia" w:ascii="Times New Roman" w:hAnsi="Times New Roman" w:eastAsia="宋体" w:cs="Times New Roman"/>
          <w:b/>
          <w:sz w:val="24"/>
          <w:szCs w:val="24"/>
          <w:lang w:val="zh-CN" w:eastAsia="zh-CN" w:bidi="ar-SA"/>
        </w:rPr>
        <w:t>、</w:t>
      </w:r>
      <w:r>
        <w:rPr>
          <w:rFonts w:hint="eastAsia" w:ascii="Times New Roman" w:hAnsi="Times New Roman" w:eastAsia="宋体" w:cs="Times New Roman"/>
          <w:b/>
          <w:sz w:val="24"/>
          <w:szCs w:val="24"/>
          <w:lang w:val="en-US" w:eastAsia="zh-CN" w:bidi="ar-SA"/>
        </w:rPr>
        <w:t>快递包装</w:t>
      </w:r>
      <w:r>
        <w:rPr>
          <w:rFonts w:ascii="Times New Roman" w:hAnsi="Times New Roman" w:eastAsia="宋体" w:cs="Times New Roman"/>
          <w:b/>
          <w:sz w:val="24"/>
          <w:szCs w:val="24"/>
          <w:lang w:val="zh-CN" w:eastAsia="zh-CN" w:bidi="ar-SA"/>
        </w:rPr>
        <w:t>和运输，售后服务，保险等。</w:t>
      </w:r>
    </w:p>
    <w:p>
      <w:pPr>
        <w:pStyle w:val="16"/>
        <w:keepNext w:val="0"/>
        <w:keepLines w:val="0"/>
        <w:pageBreakBefore w:val="0"/>
        <w:kinsoku/>
        <w:wordWrap/>
        <w:overflowPunct/>
        <w:topLinePunct w:val="0"/>
        <w:autoSpaceDE/>
        <w:autoSpaceDN/>
        <w:bidi w:val="0"/>
        <w:snapToGrid w:val="0"/>
        <w:spacing w:line="360" w:lineRule="auto"/>
        <w:ind w:firstLine="482" w:firstLineChars="200"/>
        <w:rPr>
          <w:rFonts w:ascii="宋体" w:eastAsia="宋体"/>
          <w:sz w:val="24"/>
          <w:szCs w:val="24"/>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keepNext w:val="0"/>
        <w:keepLines w:val="0"/>
        <w:pageBreakBefore w:val="0"/>
        <w:kinsoku/>
        <w:wordWrap/>
        <w:overflowPunct/>
        <w:topLinePunct w:val="0"/>
        <w:autoSpaceDE/>
        <w:autoSpaceDN/>
        <w:bidi w:val="0"/>
        <w:spacing w:before="130" w:line="360" w:lineRule="auto"/>
        <w:ind w:left="129" w:firstLine="420"/>
        <w:rPr>
          <w:rFonts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说明：★号条款（如有）为必须满足指标，不满足任何一条，将被视为非实质性响应</w:t>
      </w:r>
      <w:r>
        <w:rPr>
          <w:rFonts w:hint="eastAsia" w:ascii="宋体" w:hAnsi="宋体" w:eastAsia="宋体" w:cs="宋体"/>
          <w:b/>
          <w:color w:val="auto"/>
          <w:spacing w:val="0"/>
          <w:sz w:val="24"/>
          <w:szCs w:val="24"/>
          <w:highlight w:val="none"/>
          <w:lang w:eastAsia="zh-CN"/>
        </w:rPr>
        <w:t>采购文件</w:t>
      </w:r>
      <w:r>
        <w:rPr>
          <w:rFonts w:hint="eastAsia" w:ascii="宋体" w:hAnsi="宋体" w:eastAsia="宋体" w:cs="宋体"/>
          <w:b/>
          <w:color w:val="auto"/>
          <w:spacing w:val="0"/>
          <w:sz w:val="24"/>
          <w:szCs w:val="24"/>
          <w:highlight w:val="none"/>
        </w:rPr>
        <w:t>要求，按无效响应处理。</w:t>
      </w:r>
    </w:p>
    <w:p>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b/>
          <w:sz w:val="24"/>
        </w:rPr>
      </w:pPr>
      <w:r>
        <w:rPr>
          <w:rFonts w:hint="eastAsia" w:ascii="宋体" w:hAnsi="宋体"/>
          <w:b/>
          <w:sz w:val="24"/>
        </w:rPr>
        <w:t>一、有关要求说明</w:t>
      </w:r>
    </w:p>
    <w:p>
      <w:pPr>
        <w:keepNext w:val="0"/>
        <w:keepLines w:val="0"/>
        <w:pageBreakBefore w:val="0"/>
        <w:tabs>
          <w:tab w:val="left" w:pos="1710"/>
        </w:tabs>
        <w:kinsoku/>
        <w:wordWrap/>
        <w:overflowPunct/>
        <w:topLinePunct w:val="0"/>
        <w:autoSpaceDE/>
        <w:autoSpaceDN/>
        <w:bidi w:val="0"/>
        <w:snapToGrid w:val="0"/>
        <w:spacing w:line="360" w:lineRule="auto"/>
        <w:ind w:firstLine="475" w:firstLineChars="197"/>
        <w:rPr>
          <w:rFonts w:hint="eastAsia" w:eastAsia="宋体"/>
          <w:b/>
          <w:sz w:val="24"/>
          <w:lang w:val="en-US" w:eastAsia="zh-CN"/>
        </w:rPr>
      </w:pPr>
      <w:r>
        <w:rPr>
          <w:rFonts w:hint="eastAsia"/>
          <w:b/>
          <w:sz w:val="24"/>
          <w:lang w:val="en-US" w:eastAsia="zh-CN"/>
        </w:rPr>
        <w:t>1.项目概况：</w:t>
      </w:r>
      <w:r>
        <w:rPr>
          <w:rFonts w:hint="eastAsia"/>
          <w:sz w:val="24"/>
          <w:lang w:val="en-US" w:eastAsia="zh-CN"/>
        </w:rPr>
        <w:t>南通女子监狱安防设施项目主要包括指挥中心改造和会见系统改造两大部分，均在现有的基础上进行设施设备升级改造，具体子项目主要包括：指挥中心监控大屏、分布式系统、音视频系统、控制台、无纸化办公、门禁系统、环境装修以及会见管理系统升级改造等。监狱现有监控平台为海康威视SPCC平台，会见系统为杭州华亭科技开发的会见管理系统，投标人所投相关产品不限定品牌，相关功能需满足与原系统的对接要求，并能够接入省局智能管理大平台和监狱综合管控平台。</w:t>
      </w:r>
    </w:p>
    <w:p>
      <w:pPr>
        <w:keepNext w:val="0"/>
        <w:keepLines w:val="0"/>
        <w:pageBreakBefore w:val="0"/>
        <w:tabs>
          <w:tab w:val="left" w:pos="1710"/>
        </w:tabs>
        <w:kinsoku/>
        <w:wordWrap/>
        <w:overflowPunct/>
        <w:topLinePunct w:val="0"/>
        <w:autoSpaceDE/>
        <w:autoSpaceDN/>
        <w:bidi w:val="0"/>
        <w:snapToGrid w:val="0"/>
        <w:spacing w:line="360" w:lineRule="auto"/>
        <w:ind w:firstLine="475" w:firstLineChars="197"/>
        <w:rPr>
          <w:sz w:val="24"/>
          <w:lang w:val="zh-CN"/>
        </w:rPr>
      </w:pPr>
      <w:r>
        <w:rPr>
          <w:rFonts w:hint="eastAsia"/>
          <w:b/>
          <w:sz w:val="24"/>
          <w:lang w:val="en-US" w:eastAsia="zh-CN"/>
        </w:rPr>
        <w:t>2.</w:t>
      </w:r>
      <w:r>
        <w:rPr>
          <w:b/>
          <w:sz w:val="24"/>
          <w:lang w:val="zh-CN"/>
        </w:rPr>
        <w:t>主要技术参数：</w:t>
      </w:r>
      <w:r>
        <w:rPr>
          <w:sz w:val="24"/>
          <w:lang w:val="zh-CN"/>
        </w:rPr>
        <w:t>为鼓励不同品牌的充分竞争，如某主要技术参数属于个别品牌专有，则该主要技术参数不具有限制性，供应商可对该参数进行适当调整，并说明调整的理由。</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kern w:val="0"/>
          <w:sz w:val="24"/>
          <w:lang w:val="zh-CN"/>
        </w:rPr>
      </w:pPr>
      <w:r>
        <w:rPr>
          <w:rFonts w:hint="eastAsia"/>
          <w:b/>
          <w:sz w:val="24"/>
          <w:lang w:val="en-US" w:eastAsia="zh-CN"/>
        </w:rPr>
        <w:t>3.</w:t>
      </w:r>
      <w:r>
        <w:rPr>
          <w:b/>
          <w:sz w:val="24"/>
          <w:lang w:val="zh-CN"/>
        </w:rPr>
        <w:t>产品要求：</w:t>
      </w:r>
      <w:r>
        <w:rPr>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widowControl w:val="0"/>
        <w:kinsoku/>
        <w:wordWrap/>
        <w:overflowPunct/>
        <w:topLinePunct w:val="0"/>
        <w:autoSpaceDE/>
        <w:autoSpaceDN/>
        <w:bidi w:val="0"/>
        <w:snapToGrid w:val="0"/>
        <w:spacing w:line="360" w:lineRule="auto"/>
        <w:ind w:firstLine="479" w:firstLineChars="199"/>
        <w:outlineLvl w:val="0"/>
        <w:rPr>
          <w:rFonts w:hint="eastAsia" w:ascii="宋体" w:hAnsi="宋体" w:eastAsia="宋体" w:cs="宋体"/>
          <w:b/>
          <w:bCs/>
          <w:color w:val="auto"/>
          <w:spacing w:val="0"/>
          <w:sz w:val="24"/>
          <w:szCs w:val="24"/>
          <w:highlight w:val="none"/>
        </w:rPr>
      </w:pPr>
      <w:r>
        <w:rPr>
          <w:rFonts w:hint="eastAsia" w:ascii="宋体" w:hAnsi="宋体" w:eastAsia="宋体" w:cs="宋体"/>
          <w:b/>
          <w:sz w:val="24"/>
          <w:szCs w:val="24"/>
        </w:rPr>
        <w:t>二、</w:t>
      </w:r>
      <w:r>
        <w:rPr>
          <w:rFonts w:hint="eastAsia" w:ascii="宋体" w:hAnsi="宋体" w:eastAsia="宋体" w:cs="宋体"/>
          <w:b/>
          <w:bCs/>
          <w:color w:val="auto"/>
          <w:spacing w:val="0"/>
          <w:sz w:val="24"/>
          <w:szCs w:val="24"/>
          <w:highlight w:val="none"/>
        </w:rPr>
        <w:t>施工方案说明</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1.本项目总体技术标准和要求见本工程的设计图纸（图纸另附电子稿，请</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sz w:val="24"/>
          <w:szCs w:val="24"/>
          <w:lang w:eastAsia="zh-CN"/>
        </w:rPr>
        <w:t>自行</w:t>
      </w:r>
      <w:r>
        <w:rPr>
          <w:rFonts w:hint="eastAsia" w:ascii="宋体" w:hAnsi="宋体" w:eastAsia="宋体" w:cs="宋体"/>
          <w:color w:val="auto"/>
          <w:spacing w:val="0"/>
          <w:sz w:val="24"/>
          <w:szCs w:val="24"/>
          <w:highlight w:val="none"/>
        </w:rPr>
        <w:t>下载），图纸中未明确之处以国家、省或行业的工程建设标准、规范的要求执行，特别是有关质量、安全方面的强制性规定。投标单位应以最新规范、规程、标准为准，如投标单位用错规范、规程、标准由</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自行负责。</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通过勘查现场，综合考虑施工机械进退场，自行报价，结算时不予调整。</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应仔细核对采购人提供的施工图纸和工程量清单，并勘查现场，对施工图纸和工程量清单有疑问的，应于收到</w:t>
      </w:r>
      <w:r>
        <w:rPr>
          <w:rFonts w:hint="eastAsia" w:ascii="宋体" w:hAnsi="宋体" w:eastAsia="宋体" w:cs="宋体"/>
          <w:color w:val="auto"/>
          <w:spacing w:val="0"/>
          <w:sz w:val="24"/>
          <w:szCs w:val="24"/>
          <w:highlight w:val="none"/>
          <w:lang w:eastAsia="zh-CN"/>
        </w:rPr>
        <w:t>采购文件</w:t>
      </w:r>
      <w:r>
        <w:rPr>
          <w:rFonts w:hint="eastAsia" w:ascii="宋体" w:hAnsi="宋体" w:eastAsia="宋体" w:cs="宋体"/>
          <w:color w:val="auto"/>
          <w:spacing w:val="0"/>
          <w:sz w:val="24"/>
          <w:szCs w:val="24"/>
          <w:highlight w:val="none"/>
        </w:rPr>
        <w:t>之日起二个工作日内按本文件要求向采购人书面提出。</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b/>
          <w:bCs/>
          <w:color w:val="auto"/>
          <w:spacing w:val="0"/>
          <w:sz w:val="24"/>
          <w:szCs w:val="24"/>
          <w:highlight w:val="none"/>
          <w:u w:val="single"/>
        </w:rPr>
      </w:pPr>
      <w:r>
        <w:rPr>
          <w:rFonts w:hint="eastAsia" w:ascii="宋体" w:hAnsi="宋体" w:eastAsia="宋体" w:cs="宋体"/>
          <w:b/>
          <w:bCs/>
          <w:color w:val="auto"/>
          <w:spacing w:val="0"/>
          <w:sz w:val="24"/>
          <w:szCs w:val="24"/>
          <w:highlight w:val="none"/>
          <w:u w:val="single"/>
          <w:lang w:val="en-US" w:eastAsia="zh-CN"/>
        </w:rPr>
        <w:t>4.</w:t>
      </w:r>
      <w:r>
        <w:rPr>
          <w:rFonts w:hint="eastAsia" w:ascii="宋体" w:hAnsi="宋体" w:eastAsia="宋体" w:cs="宋体"/>
          <w:b/>
          <w:bCs/>
          <w:color w:val="auto"/>
          <w:spacing w:val="0"/>
          <w:sz w:val="24"/>
          <w:szCs w:val="24"/>
          <w:highlight w:val="none"/>
          <w:u w:val="single"/>
          <w:lang w:eastAsia="zh-CN"/>
        </w:rPr>
        <w:t>投标人</w:t>
      </w:r>
      <w:r>
        <w:rPr>
          <w:rFonts w:hint="eastAsia" w:ascii="宋体" w:hAnsi="宋体" w:eastAsia="宋体" w:cs="宋体"/>
          <w:b/>
          <w:bCs/>
          <w:color w:val="auto"/>
          <w:spacing w:val="0"/>
          <w:sz w:val="24"/>
          <w:szCs w:val="24"/>
          <w:highlight w:val="none"/>
          <w:u w:val="single"/>
        </w:rPr>
        <w:t>应按工程量清单报价，且不得改变工程量清单中的序号、项目编码、项目名称、项目特征描述、计量单位、工程量；否则按无效响应处理。</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5.本项目部分材料提出了品牌上的要求，具体品牌要求详见工程量清单</w:t>
      </w:r>
      <w:r>
        <w:rPr>
          <w:rFonts w:hint="eastAsia" w:ascii="宋体" w:hAnsi="宋体" w:eastAsia="宋体" w:cs="宋体"/>
          <w:color w:val="auto"/>
          <w:spacing w:val="0"/>
          <w:sz w:val="24"/>
          <w:szCs w:val="24"/>
          <w:highlight w:val="none"/>
          <w:lang w:val="en-US" w:eastAsia="zh-CN"/>
        </w:rPr>
        <w:t>编制说明</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须在采购人推荐的品牌或不低于该档次的品牌中选择，进行市场询价，自主报价。设计图纸、工程量清单表述不一致，按照二者中高标准执行。</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拟采用推荐外的品牌时，必须在收到</w:t>
      </w:r>
      <w:r>
        <w:rPr>
          <w:rFonts w:hint="eastAsia" w:ascii="宋体" w:hAnsi="宋体" w:eastAsia="宋体" w:cs="宋体"/>
          <w:color w:val="auto"/>
          <w:spacing w:val="0"/>
          <w:sz w:val="24"/>
          <w:szCs w:val="24"/>
          <w:highlight w:val="none"/>
          <w:lang w:eastAsia="zh-CN"/>
        </w:rPr>
        <w:t>采购文件</w:t>
      </w:r>
      <w:r>
        <w:rPr>
          <w:rFonts w:hint="eastAsia" w:ascii="宋体" w:hAnsi="宋体" w:eastAsia="宋体" w:cs="宋体"/>
          <w:color w:val="auto"/>
          <w:spacing w:val="0"/>
          <w:sz w:val="24"/>
          <w:szCs w:val="24"/>
          <w:highlight w:val="none"/>
        </w:rPr>
        <w:t>之日起二个工作日内向采购人提出具体品牌，采购人在“澄清答疑”环节中给予答复。</w:t>
      </w:r>
    </w:p>
    <w:p>
      <w:pPr>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b/>
          <w:bCs/>
          <w:color w:val="auto"/>
          <w:spacing w:val="0"/>
          <w:sz w:val="24"/>
          <w:szCs w:val="24"/>
          <w:highlight w:val="none"/>
          <w:u w:val="single"/>
        </w:rPr>
      </w:pPr>
      <w:r>
        <w:rPr>
          <w:rFonts w:hint="eastAsia" w:ascii="宋体" w:hAnsi="宋体" w:eastAsia="宋体" w:cs="宋体"/>
          <w:b/>
          <w:bCs/>
          <w:color w:val="auto"/>
          <w:spacing w:val="0"/>
          <w:sz w:val="24"/>
          <w:szCs w:val="24"/>
          <w:highlight w:val="none"/>
          <w:u w:val="single"/>
        </w:rPr>
        <w:t>★</w:t>
      </w:r>
      <w:r>
        <w:rPr>
          <w:rFonts w:hint="eastAsia" w:ascii="宋体" w:hAnsi="宋体" w:eastAsia="宋体" w:cs="宋体"/>
          <w:b/>
          <w:bCs/>
          <w:color w:val="auto"/>
          <w:spacing w:val="0"/>
          <w:sz w:val="24"/>
          <w:szCs w:val="24"/>
          <w:highlight w:val="none"/>
          <w:u w:val="single"/>
          <w:lang w:val="en-US" w:eastAsia="zh-CN"/>
        </w:rPr>
        <w:t>6.</w:t>
      </w:r>
      <w:r>
        <w:rPr>
          <w:rFonts w:hint="eastAsia" w:ascii="宋体" w:hAnsi="宋体" w:eastAsia="宋体" w:cs="宋体"/>
          <w:b/>
          <w:bCs/>
          <w:color w:val="auto"/>
          <w:spacing w:val="0"/>
          <w:sz w:val="24"/>
          <w:szCs w:val="24"/>
          <w:highlight w:val="none"/>
          <w:u w:val="single"/>
        </w:rPr>
        <w:t>响应文件中必须注明所投产品品牌，否则按无效响应处理。</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根据</w:t>
      </w:r>
      <w:r>
        <w:rPr>
          <w:rFonts w:hint="eastAsia" w:ascii="宋体" w:hAnsi="宋体" w:eastAsia="宋体" w:cs="宋体"/>
          <w:color w:val="auto"/>
          <w:spacing w:val="0"/>
          <w:sz w:val="24"/>
          <w:szCs w:val="24"/>
          <w:highlight w:val="none"/>
          <w:lang w:eastAsia="zh-CN"/>
        </w:rPr>
        <w:t>采购文件</w:t>
      </w:r>
      <w:r>
        <w:rPr>
          <w:rFonts w:hint="eastAsia" w:ascii="宋体" w:hAnsi="宋体" w:eastAsia="宋体" w:cs="宋体"/>
          <w:color w:val="auto"/>
          <w:spacing w:val="0"/>
          <w:sz w:val="24"/>
          <w:szCs w:val="24"/>
          <w:highlight w:val="none"/>
        </w:rPr>
        <w:t>给定的工期进行投标，且应充分考虑本工程所处地区的自然气候、人文地理条件、政府政策性调整、采购人分区或分阶段提前使用等原因导致的工期影响，措施费用包干使用，一旦成交，不再调整因工期影响产生的措施费用。</w:t>
      </w:r>
    </w:p>
    <w:p>
      <w:pPr>
        <w:pStyle w:val="22"/>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三、现场踏勘</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应该对工程施工现场和周围环境进行勘察，以获取编制响应文件和签署合同所需的所有资料。勘察现场所发生的费用由</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承担。</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2.采购人向</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提供的有关施工现场的资料和数据是采购人现有的能使</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利用的资料。采购人对</w:t>
      </w:r>
      <w:r>
        <w:rPr>
          <w:rFonts w:hint="eastAsia" w:ascii="宋体" w:hAnsi="宋体" w:eastAsia="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由此而做出的推论、理解和结论概不负责。</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3.投标人应充分了解现场条件、项目情况，以及采购人特殊管理要求等，并且作为报价因素予以充分考虑，一旦中标，任何影响实质性问题的要求都不被采购人接受。</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4.现场踏勘前请与采购人提前预约，携带身份证和授权委托书。现场踏勘联系人：邓先生，联系电话：0513-81163109。</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5.鉴于采购人特殊性，建议现场踏勘。</w:t>
      </w:r>
    </w:p>
    <w:p>
      <w:pPr>
        <w:pStyle w:val="22"/>
        <w:keepNext w:val="0"/>
        <w:keepLines w:val="0"/>
        <w:pageBreakBefore w:val="0"/>
        <w:widowControl w:val="0"/>
        <w:kinsoku/>
        <w:wordWrap/>
        <w:overflowPunct/>
        <w:topLinePunct w:val="0"/>
        <w:autoSpaceDE/>
        <w:autoSpaceDN/>
        <w:bidi w:val="0"/>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6.没有现场踏勘的投标人，自行承担因此可能产生的一切后果。</w:t>
      </w:r>
    </w:p>
    <w:p>
      <w:pPr>
        <w:pStyle w:val="22"/>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rPr>
        <w:t>四、工程量清单和图纸</w:t>
      </w:r>
      <w:r>
        <w:rPr>
          <w:rFonts w:hint="eastAsia" w:ascii="宋体" w:hAnsi="宋体" w:eastAsia="宋体" w:cs="宋体"/>
          <w:color w:val="auto"/>
          <w:spacing w:val="0"/>
          <w:sz w:val="24"/>
          <w:szCs w:val="24"/>
          <w:highlight w:val="none"/>
          <w:lang w:val="en-US" w:eastAsia="zh-CN"/>
        </w:rPr>
        <w:t>（工程量清单和图纸另附电子版，请投标人自行下载）</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（一）工程量清单编制依据</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1.“江苏省南通女子监狱安防设施项目”施工图纸；</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《建设工程工程量清单计价规范》GB50500-2013、《房屋建筑与装饰工程工程量计算规范》GB50854-2013、《通用安装工程工程量计算规范》GB50856-2013、《市政工程工程量计算规范》GB50857-2013；</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.《江苏省建筑与装饰工程计价定额》（2014 版）、《江苏省市政工程计价定额》（2014 版）、《江苏省安装工程计价定额》（2014 版）、《江苏省建设工程费用定额》（2014）；</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val="en-US" w:eastAsia="zh-CN"/>
        </w:rPr>
        <w:t>.苏建价[2014]448号江苏省住房城乡建设厅关于《建设工程工程量清单计价规范》（GB50500-2013）及其9本工程量计算规范的贯彻意见；</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.《江苏省住房城乡建设厅关于调整建设工程计价增值税税率的通知》及附件（苏建函价[2019]178号文）；</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val="en-US" w:eastAsia="zh-CN"/>
        </w:rPr>
        <w:t>.省住房城乡建设厅关于调整建设工程按质论价等费用计取方法的公告（江苏省住房和城乡建设厅公告[2018]第24号）；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CN"/>
        </w:rPr>
        <w:t>.关于贯彻执行《省住房城乡建设厅关于调整建设工程按质论价等费用计取方法的公告》的通知（宁建建监字[2018]528号）；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val="en-US" w:eastAsia="zh-CN"/>
        </w:rPr>
        <w:t>.省住房城乡建设厅关于智慧工地费用计取方法的公告（〔2021〕第16号）；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val="en-US" w:eastAsia="zh-CN"/>
        </w:rPr>
        <w:t>.与建设项目相关的标准、规范、技术资料；</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.建设单位提供的清单；</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.拟定的招标文件；</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.施工现场情况、工程特点及常规施工方案</w:t>
      </w:r>
      <w:r>
        <w:rPr>
          <w:rFonts w:hint="eastAsia" w:ascii="宋体" w:hAnsi="宋体" w:cs="宋体"/>
          <w:color w:val="auto"/>
          <w:spacing w:val="0"/>
          <w:sz w:val="24"/>
          <w:szCs w:val="24"/>
          <w:highlight w:val="none"/>
          <w:lang w:val="en-US" w:eastAsia="zh-CN"/>
        </w:rPr>
        <w:t>。</w:t>
      </w:r>
    </w:p>
    <w:p>
      <w:pPr>
        <w:pStyle w:val="22"/>
        <w:keepNext w:val="0"/>
        <w:keepLines w:val="0"/>
        <w:pageBreakBefore w:val="0"/>
        <w:widowControl w:val="0"/>
        <w:numPr>
          <w:ilvl w:val="0"/>
          <w:numId w:val="1"/>
        </w:numPr>
        <w:kinsoku/>
        <w:wordWrap/>
        <w:overflowPunct/>
        <w:topLinePunct w:val="0"/>
        <w:autoSpaceDE/>
        <w:autoSpaceDN/>
        <w:bidi w:val="0"/>
        <w:snapToGrid/>
        <w:spacing w:line="360" w:lineRule="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工程量清单编制有关说明</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投标人在收到工程量清单时须对清单的项目特征描述进行复核，如供应商对项目特征复核后认为描述有错误、不完整等情况，须在招标答疑时以书面形式向招标人提出，招标人将书面回复。</w:t>
      </w:r>
    </w:p>
    <w:p>
      <w:pPr>
        <w:pStyle w:val="22"/>
        <w:keepNext w:val="0"/>
        <w:keepLines w:val="0"/>
        <w:pageBreakBefore w:val="0"/>
        <w:widowControl w:val="0"/>
        <w:numPr>
          <w:ilvl w:val="0"/>
          <w:numId w:val="1"/>
        </w:numPr>
        <w:kinsoku/>
        <w:wordWrap/>
        <w:overflowPunct/>
        <w:topLinePunct w:val="0"/>
        <w:autoSpaceDE/>
        <w:autoSpaceDN/>
        <w:bidi w:val="0"/>
        <w:snapToGrid/>
        <w:spacing w:line="360" w:lineRule="auto"/>
        <w:ind w:left="0" w:firstLine="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工程质量、材料、施工等特殊要求</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1.施工现场、交通运输情况、自然地理条件、环境保护要求、监狱各项规章制度等由供应商自行现场勘察。供应商须充分考虑可能对施工、工期、成本及其他造成影响的各类因素，由此增加的费用计入报价。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2.土石方运距、渣土费及弃置费用等，在投标综合单价中自行考虑。</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3.投标人为项目顺利实施应采取的合理有效的措施，其费用须计入报价。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4.投标人须对清单各条目进行完整性报价，综合单价为完成各清单项目所有内容的费用（包含但不限于项目特征描述的工艺、做法）</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工程量清单报价应包括完成招标文件规定的工程量清单项目所需的全部费用，其内涵：①包括分部分项工程费、措施费、其它项目费和规费、税金；②包括完成每分部分项工程所含全部工程内容的费用；③包括完成每项工程内容所需的全部费用；④工程量清单项目中没有体现的，施工中又必须发生的工程内容所需的费用；⑤考虑风险因素而调整的费用；⑥因招标人在招标文件中的要求而发生的费用。</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6.投标人应对图纸内容和清单中的每一个项目进行报价（包括综合单价及合价），如漏报或少报项目，则视为其费用已含在其它项目的综合单价或合价中，结算时不调整。</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7.人工费参照“苏建函价〔2023〕63号省住房城乡建设厅关于发布建设工程人工工资指导价的通知”精神，投标人结合企业自身情况自主报价。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8. 因避免工程质量通病而采取的施工做法及施工措施须考虑并计入报价。</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9.承包人自行采购材料及设备时，须满足设计、规范品质要求，考虑价格涨落，自主报价。</w:t>
      </w:r>
    </w:p>
    <w:p>
      <w:pPr>
        <w:pStyle w:val="13"/>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10.其余应结合有效设计图纸、施工招标文件、清单总说明、营改增的相关文件规定等要求进行报价。</w:t>
      </w:r>
    </w:p>
    <w:p>
      <w:pPr>
        <w:pStyle w:val="22"/>
        <w:keepNext w:val="0"/>
        <w:keepLines w:val="0"/>
        <w:pageBreakBefore w:val="0"/>
        <w:widowControl w:val="0"/>
        <w:kinsoku/>
        <w:wordWrap/>
        <w:overflowPunct/>
        <w:topLinePunct w:val="0"/>
        <w:autoSpaceDE/>
        <w:autoSpaceDN/>
        <w:bidi w:val="0"/>
        <w:snapToGrid/>
        <w:spacing w:line="360" w:lineRule="auto"/>
        <w:rPr>
          <w:rFonts w:hint="default" w:ascii="宋体" w:hAnsi="宋体" w:cs="Times New Roman"/>
          <w:b/>
          <w:sz w:val="24"/>
          <w:lang w:val="en-US" w:eastAsia="zh-CN"/>
        </w:rPr>
      </w:pPr>
      <w:r>
        <w:rPr>
          <w:rFonts w:hint="eastAsia" w:ascii="宋体" w:hAnsi="宋体" w:cs="Times New Roman"/>
          <w:b/>
          <w:sz w:val="24"/>
          <w:lang w:val="en-US" w:eastAsia="zh-CN"/>
        </w:rPr>
        <w:t>五、技术参数及品牌约定</w:t>
      </w:r>
    </w:p>
    <w:p>
      <w:pPr>
        <w:pStyle w:val="22"/>
        <w:keepNext w:val="0"/>
        <w:keepLines w:val="0"/>
        <w:pageBreakBefore w:val="0"/>
        <w:widowControl w:val="0"/>
        <w:kinsoku/>
        <w:wordWrap/>
        <w:overflowPunct/>
        <w:topLinePunct w:val="0"/>
        <w:autoSpaceDE/>
        <w:autoSpaceDN/>
        <w:bidi w:val="0"/>
        <w:snapToGrid/>
        <w:spacing w:line="360" w:lineRule="auto"/>
        <w:ind w:firstLine="42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（一）安防部分技术参数要求</w:t>
      </w:r>
    </w:p>
    <w:tbl>
      <w:tblPr>
        <w:tblStyle w:val="14"/>
        <w:tblW w:w="5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78"/>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Times New Roman"/>
                <w:b/>
                <w:sz w:val="21"/>
                <w:szCs w:val="21"/>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LED显示屏幕</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1.显示主屏宽度≥9米，高度≥2.3625米，显示分辨率不低于7200点×1890点，显示面积不低于21.2625平米</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最大不超过25平米</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▲2.像素构成：1R1G1B全倒装集成三合一 COB封装，芯片单边尺寸＜80um，显示屏需每颗像素点包含红、绿、蓝三颗发光芯片；不采用虚拟像素或像素复用技术；</w:t>
            </w:r>
            <w:r>
              <w:rPr>
                <w:rFonts w:hint="eastAsia" w:ascii="宋体" w:hAnsi="宋体" w:eastAsia="宋体" w:cs="宋体"/>
                <w:color w:val="000000"/>
                <w:kern w:val="0"/>
                <w:sz w:val="21"/>
                <w:szCs w:val="21"/>
                <w:lang w:eastAsia="zh-CN"/>
              </w:rPr>
              <w:t>（提供CMA、CNAS认证的第三方检测报告复印件并加盖投标人公章。）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▲3.箱体材质:箱体与后壳为压铸铝材质箱体，整体压铸，一次成型，箱体厚度≤39.9mm，箱体比例：16:9，不接受显示单元切割或不完整箱体，不接受模组产品；</w:t>
            </w:r>
            <w:r>
              <w:rPr>
                <w:rFonts w:hint="eastAsia" w:ascii="宋体" w:hAnsi="宋体" w:eastAsia="宋体" w:cs="宋体"/>
                <w:color w:val="000000"/>
                <w:kern w:val="0"/>
                <w:sz w:val="21"/>
                <w:szCs w:val="21"/>
                <w:lang w:eastAsia="zh-CN"/>
              </w:rPr>
              <w:t>（提供CMA、CNAS认证的第三方检测报告复印件并加盖投标人公章。）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4.像素间距：≤1.25mm像素密度≥640000点/㎡；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5.维护方式:电源、模组、接收卡，HUB 前维护、更换、支持热插拔；模组、接收卡需支持带电维护，支持热插拔；HUB板与模组之间通过硬链接方式链接；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6.模组尺寸：150mm*168.75mm；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7.亮度:校正后:≥800nits，支持通过配套软件0-100%无级调节；亮度鉴别等级：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8.平整度：平整度≤0.05mm；单元拼接间隙≤0.05mm；相邻像素之间平整度≤0.05mm；相邻模块之间平整度≤0.05mm；显示单元垂直、水平相对错位≤3%；</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9.换帧频率：50&amp;60Hz，刷新频率≥3840；</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10.色温:2000-10000K可调，色温误差：色温为6500K时，100%，75%，50%，25%四挡电平白场调节色温误差≤160K</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11.像素失控率：LED像素失控率：≤0.000001，区域像素失控率≤0.000003，无连续失控点，出厂时为0</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12.IP防护等级：IP65；防盐雾10级；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13.模块级校正：模组自带校正功能，带flash芯片，flash芯片容量大于8M；支持数据断电保存，支持数据存储及回读；</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14.防信号远程窃密技术：可满足防信号远程窃密技术，具有良好的抗还原性能;覆盖范围广，涵盖10KHz~1.2GHz;千扰信号强度10KHz~230MHz区间，小于90dBuV;235MHz~1.2GHz 区间，小于 97dBuV;传导抑制&gt;35dB可以单机使用、可以组网使用；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15.防电力远程窃密技术：可满足防电力远程窃密技术，采用信息相关方式阻止电力通信;覆盖范围广，涵盖1KHz~ 1.5GHz;输入/输出电源滤波设计抑制信号强度，具有很好的电磁兼容性;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16.智能除湿设计：开机后自动检测客户端未使用时间长，智能匹配相应时间的除湿模式，使屏体从10%到100%亮度逐步显示，无需人工定期手动维护，除湿功能可手动开启和关闭；</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故障报警：支持实时监控显示屏工作状态，具有计时功能及信号运行监测功能，具有坏点检测系统。支持接收卡、信号状态、温度电压、IC信息、模组参数实时显示。支持当设备电压、温度超出阈值范围，主动进行故障报警，当接收卡之间的连接线断开时，系统主动进行故障报警，支持根据采集到信息生成健康度报告，报警方式包括邮件报警、短信报警、微信报警</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18.箱体测试功能：箱体带测试按键，支持前后操作，可实现红、绿、蓝、白四种单色显示，横扫、竖扫等方式扫描显示；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▲19.本项目为保证后期系统稳定性，采用双电源备份产品，投标人需提供承诺书，承诺大屏幕货到现场之后，采购方有权抽取任意箱体送至市场监督管理局进行真伪符合性鉴定，若鉴定结果与</w:t>
            </w:r>
            <w:r>
              <w:rPr>
                <w:rFonts w:hint="eastAsia" w:ascii="宋体" w:hAnsi="宋体" w:eastAsia="宋体" w:cs="宋体"/>
                <w:color w:val="000000"/>
                <w:kern w:val="0"/>
                <w:sz w:val="21"/>
                <w:szCs w:val="21"/>
                <w:lang w:eastAsia="zh-CN"/>
              </w:rPr>
              <w:t>采购</w:t>
            </w:r>
            <w:r>
              <w:rPr>
                <w:rFonts w:hint="eastAsia" w:ascii="宋体" w:hAnsi="宋体" w:eastAsia="宋体" w:cs="宋体"/>
                <w:color w:val="000000"/>
                <w:kern w:val="0"/>
                <w:sz w:val="21"/>
                <w:szCs w:val="21"/>
              </w:rPr>
              <w:t>要求不符，则投标人需承担法律责任且按照甲方要求免费</w:t>
            </w:r>
            <w:r>
              <w:rPr>
                <w:rFonts w:hint="eastAsia" w:ascii="宋体" w:hAnsi="宋体" w:eastAsia="宋体" w:cs="宋体"/>
                <w:color w:val="000000"/>
                <w:kern w:val="0"/>
                <w:sz w:val="21"/>
                <w:szCs w:val="21"/>
                <w:lang w:eastAsia="zh-CN"/>
              </w:rPr>
              <w:t>无条件</w:t>
            </w:r>
            <w:r>
              <w:rPr>
                <w:rFonts w:hint="eastAsia" w:ascii="宋体" w:hAnsi="宋体" w:eastAsia="宋体" w:cs="宋体"/>
                <w:color w:val="000000"/>
                <w:kern w:val="0"/>
                <w:sz w:val="21"/>
                <w:szCs w:val="21"/>
              </w:rPr>
              <w:t>更换符合</w:t>
            </w:r>
            <w:r>
              <w:rPr>
                <w:rFonts w:hint="eastAsia" w:ascii="宋体" w:hAnsi="宋体" w:eastAsia="宋体" w:cs="宋体"/>
                <w:color w:val="000000"/>
                <w:kern w:val="0"/>
                <w:sz w:val="21"/>
                <w:szCs w:val="21"/>
                <w:lang w:eastAsia="zh-CN"/>
              </w:rPr>
              <w:t>采购</w:t>
            </w:r>
            <w:r>
              <w:rPr>
                <w:rFonts w:hint="eastAsia" w:ascii="宋体" w:hAnsi="宋体" w:eastAsia="宋体" w:cs="宋体"/>
                <w:color w:val="000000"/>
                <w:kern w:val="0"/>
                <w:sz w:val="21"/>
                <w:szCs w:val="21"/>
              </w:rPr>
              <w:t>需求的产品</w:t>
            </w:r>
            <w:r>
              <w:rPr>
                <w:rFonts w:hint="eastAsia" w:ascii="宋体" w:hAnsi="宋体" w:eastAsia="宋体" w:cs="宋体"/>
                <w:color w:val="000000"/>
                <w:kern w:val="0"/>
                <w:sz w:val="21"/>
                <w:szCs w:val="21"/>
                <w:lang w:eastAsia="zh-CN"/>
              </w:rPr>
              <w:t>，如果不合格，检测费有投标人承担。（投标人提供本项目相应承诺函并加盖投标人公章）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配电系统</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制大屏专用配电柜，三相五线制，额定负载不小于20kW，内含接触器、空气开关、时序器等，支持分区逐级上电，避免浪涌对电路的冲击。配电系统按照标准网络机房供电标准设计安装供电，为考虑峰值电流影响，需考虑分路供电，时序控制（分路供电及相关设施等由厂家根据所投产品自行计算配置，确保正常运行）。电源供电需考虑二级防雷，设备、保护地分开，整个大屏接地系统需接入大楼接地系统，应考虑关键信息设备端口防雷措施；防护功能：具有防静电、抗震动、防电磁干扰、抗雷击等功能，具有电源过压、过流、断电保护、分布上电措施，具有实时监控温度、故障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分布式部分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Times New Roman"/>
                <w:b/>
                <w:sz w:val="21"/>
                <w:szCs w:val="21"/>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浅压缩坐席输入节点</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1.支持3840×2160分辨率，并向下兼容其他分辨率。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2.视频接口同时支持HDM和DP视频输入接口，同时支持HDMI和DP视频环出接口；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3.音频接口支持1路3.5mm音频输入(可自适应接入mic或者line)、1路平衡音频环出、1路3.5mm音频输出；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4.控制接口支持1路232接口，1路485接口、2路I/O接口，2路红外接口、2路继电器接口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5.支持3路USB接口，其中一个为TYPE-C标准USB接口，方便设备调试维护；支持2路RJ45网口、1路SFP光口。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6.分布式节点支持多种音频模式，编码节点支持内嵌、3.5mm外置模式音频输入，支持3.5mm外置、凤凰端子模式音频输出；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图像采样格式支持4:4:4采样处理，系统支持浅压缩编码传输，无法通过VLC等第三方解码软件取流进行解码显示，浅压缩码流可设置为400Mbps～2Gbps；信号源自身图像从简单到复杂的过程中，无呼吸效应，图像色彩三原色可完整还原与原图无差异，无色散现象；</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8.节点支持多种码流加密算法，包含AES256、AES128、DES、3DES、HMAC256、RC4。</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9.节点支持两种主备模式的设置；优先模式下，固定主链路通道号；自协商模式下，不固定主链路通道号；节点支持链路备份自协商模式和某网口优先模式的选择</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10.节点支持 USB type-A和tpeB接口，完成键鼠传输；编码节点支持通过 USB type-A和 type-B接口同时连接，实现键鼠数据传输备份功能。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11.支持列表模式、预监模式等多种视频切换模式，可通过系统后台进行自定义设置，同时同步到web操作界面，满足不同用户的业务使用习惯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12.通过“非USB接口”与主机连接，进行键鼠信息安全传输，支持PS2协议单向通信，仅能识别键鼠设备，支持传输键鼠数据以及键鼠状态，实现数据隔离</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13.保证物理隔离，从物理接口上防止不同密级电脑之间因USB设备发生数据泄露，同时避免U盘、USB摄像头、Ukey、USB打印机等设备的连接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14.席位OSD支持请求自动响应设置，支持请求确认，自动接受，自动拒绝三种模式。支持通过OSD菜单跟随其他坐席屏幕的信号，本坐席实时跟随被跟随坐席屏幕的信号源及分割模式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▲15.节点支持直流供电和POE供电，实现主、备供电方案。须提供CMA、CNAS认证的第三方检测报告复印件并</w:t>
            </w:r>
            <w:r>
              <w:rPr>
                <w:rFonts w:hint="eastAsia" w:ascii="宋体" w:hAnsi="宋体" w:eastAsia="宋体" w:cs="宋体"/>
                <w:color w:val="000000"/>
                <w:kern w:val="0"/>
                <w:sz w:val="21"/>
                <w:szCs w:val="21"/>
                <w:lang w:val="en-US" w:eastAsia="zh-CN"/>
              </w:rPr>
              <w:t>加盖投标人公章</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16.MTBF≥200000小时。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浅压缩坐席输出节点</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1.支持3840×2160分辨率，并向下兼容其他分辨率。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2.视频接口同时支持HDMI接口和DP视频输出接口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3.音频接口支持1路3.5mm音频输入（可自适应接入mic或者line）、1路平衡音频输出、1路3.5mm音频输出；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4.控制接口支持1路232接口，1路485接口、2路I/O接口，2路红外接口、2路继电器接口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5.支持3路USB接口，其中一个为TYPE-C标准USB接口，方便设备调试维护；支持2路RJ45网口、1路SFP光口。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6.支持单个/批量新增席位功能，单个席位新增，配置相关席位名称、屏幕分辨率及型号、席位布局选择并保存；批量新增席位，配置好相关席位参数及新增席位数量并保存，提高管理员的坐席配置工作效率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7.席位OSD菜单支持列表模式/预览模式对信号源进行管理。列表模式支持实时查看信号源的在线状态、名称、IP地址、键鼠状态等信息；预览模式支持实时监看信号源视频画面，实现OSD可视化预监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8.支持USB设备接入状态指示，当有鼠标、键盘USB设备接入时，在软件上可显示鼠标键盘的接入状态。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9.同一信号源经过编码、解码后到两台显示屏显示，显示时间差为16ms。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10.支持通过OSD菜单跟随其他坐席屏幕的信号，本坐席实时跟随被跟随坐席屏幕的信号源及分割模式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11.支持坐席音频鼠标跟随功能和混音功能，席位四画面情况下，支持多窗口混音输出，可实现每个窗口独立进行音量调节；声音可跟随鼠标指向实时切换，实现图文声象控制和音频的完全联动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12.系统在无需额外插件下， 可支持单个用户进行短消息发送和交互， 支持多用户和分组的短消息群发。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13.出于对账号安全的考虑，初始密码未修改情况下，坐席登录后支持提示用户进行默认密码的修改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.画面无缝切换时间≤3ms。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.MTBF≥200000小时。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4K60浅压缩坐席输入节点</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1.支持3840×2160@60Hz分辨率，并向下兼容其他分辨率。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2.视频接口同时支持HDM和DP视频输入接口，同时支持HDMI和DP视频环出接口；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3.音频接口支持1路3.5mm音频输入(可自适应接入mic或者line)、1路平衡音频环出、1路3.5mm音频输出；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4.控制接口支持1路232接口，1路485接口、2路I/O接口，2路红外接口、2路继电器接口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5.支持3路USB接口，其中一个为TYPE-C标准USB接口，方便设备调试维护；支持2路RJ45网口、1路SFP光口。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6.分布式节点支持多种音频模式，编码节点支持内嵌、3.5mm外置模式音频输入，支持3.5mm外置、凤凰端子模式音频输出；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图像采样格式支持4:4:4采样处理，系统支持浅压缩编码传输，无法通过VLC等第三方解码软件取流进行解码显示，浅压缩码流可设置为400Mbps～2Gbps；信号源自身图像从简单到复杂的过程中，无呼吸效应，图像色彩三原色可完整还原与原图无差异，无色散现象；</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8.节点支持多种码流加密算法，包含AES256、AES128、DES、3DES、HMAC256、RC4。</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9.节点支持两种主备模式的设置；优先模式下，固定主链路通道号；自协商模式下，不固定主链路通道号；节点支持链路备份自协商模式和某网口优先模式的选择</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10.节点支持 USB type-A和tpeB接口，完成键鼠传输；编码节点支持通过 USB type-A和 type-B接口同时连接，实现键鼠数据传输备份功能。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11.支持列表模式、预监模式等多种视频切换模式，可通过系统后台进行自定义设置，同时同步到web操作界面，满足不同用户的业务使用习惯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12.通过“非USB接口”与主机连接，进行键鼠信息安全传输，支持PS2协议单向通信，仅能识别键鼠设备，支持传输键鼠数据以及键鼠状态，实现数据隔离</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13.保证物理隔离，从物理接口上防止不同密级电脑之间因USB设备发生数据泄露，同时避免U盘、USB摄像头、Ukey、USB打印机等设备的连接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14.席位OSD支持请求自动响应设置，支持请求确认，自动接受，自动拒绝三种模式。支持通过OSD菜单跟随其他坐席屏幕的信号，本坐席实时跟随被跟随坐席屏幕的信号源及分割模式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▲15.节点支持直流供电和POE供电，实现主、备供电方案。须提供CMA、CNAS认证的第三方检测报告复印件并加盖</w:t>
            </w:r>
            <w:r>
              <w:rPr>
                <w:rFonts w:hint="eastAsia" w:ascii="宋体" w:hAnsi="宋体" w:eastAsia="宋体" w:cs="宋体"/>
                <w:color w:val="000000"/>
                <w:kern w:val="0"/>
                <w:sz w:val="21"/>
                <w:szCs w:val="21"/>
                <w:lang w:val="en-US" w:eastAsia="zh-CN"/>
              </w:rPr>
              <w:t>投标人公章</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16.MTBF≥200000小时。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4K60浅压缩坐席输出节点</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1.支持3840×2160@60Hz分辨率，并向下兼容其他分辨率。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2.视频接口同时支持HDMI接口和DP视频输出接口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3.音频接口支持1路3.5mm音频输入（可自适应接入mic或者line）、1路平衡音频输出、1路3.5mm音频输出；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4.控制接口支持1路232接口，1路485接口、2路I/O接口，2路红外接口、2路继电器接口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5.支持3路USB接口，其中一个为TYPE-C标准USB接口，方便设备调试维护；支持2路RJ45网口、1路SFP光口。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6.支持单个/批量新增席位功能，单个席位新增，配置相关席位名称、屏幕分辨率及型号、席位布局选择并保存；批量新增席位，配置好相关席位参数及新增席位数量并保存，提高管理员的坐席配置工作效率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7.席位OSD菜单支持列表模式/预览模式对信号源进行管理。列表模式支持实时查看信号源的在线状态、名称、IP地址、键鼠状态等信息；预览模式支持实时监看信号源视频画面，实现OSD可视化预监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8.支持USB设备接入状态指示，当有鼠标、键盘USB设备接入时，在软件上可显示鼠标键盘的接入状态。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9.同一信号源经过编码、解码后到两台显示屏显示，显示时间差为16ms。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10.支持通过OSD菜单跟随其他坐席屏幕的信号，本坐席实时跟随被跟随坐席屏幕的信号源及分割模式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11.支持坐席音频鼠标跟随功能和混音功能，席位四画面情况下，支持多窗口混音输出，可实现每个窗口独立进行音量调节；声音可跟随鼠标指向实时切换，实现图文声象控制和音频的完全联动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12.系统在无需额外插件下， 可支持单个用户进行短消息发送和交互， 支持多用户和分组的短消息群发。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13.出于对账号安全的考虑，初始密码未修改情况下，坐席登录后支持提示用户进行默认密码的修改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14.可通过管理软件设置多个信号源标签，并可将不同的标 签与同一席位的不同显示屏绑定，使得同一席位的不同 显示屏显示不同的信号源列表。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15.画面无缝切换时间≤3ms。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16.MTBF≥200000小时。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拼接处理器</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基于全硬件FPGA堆叠架构，无内置操作系统，启动迅速。避免了系统硬件兼容性和病毒的困扰。设备采用无电池设计，消除运输安全隐患，提高产品的可靠性。设备的板卡、电源、切换卡、风扇等部件均采用模块化设计，无需关机，各部件可带电热拔插，上电后自动恢复配置及图像显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2.本次配置16路2K60HDMI输入、2路4K60HDMI输入、支持48路监控摄像机信号解码输出、最大支持2080万像素带载，配置双电源。</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3.单路信号接口最大传输带宽为20Gbps；单张板卡最大传输带宽为160Gbps；整机最大信号传输带宽容量为9600Gbps。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4.支持4K@60Hz信号的完全色度4:4:4图像无压缩处理。自适应识别并兼容RGB、YUV4:4:4图像采样，确保图像细节完整无损。设备能保持图像原始帧率，不抽帧、不降帧，实现满帧输出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5.设备具备高级同步功能，可对拼接屏的撕裂画面进行像素补偿，补偿精确度可低至1像素，整个拼接墙画面显示同步、无撕裂。</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6.背板采用双向信号传输处理，支持数据通道的硬件混插设计。同一槽位既支持输入板卡接入，也支持输出板卡接入，实现业务槽位的合理分配。</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设备配备触控前面板，方便直观地进行大屏显示控制和设备管理。集成多项功能，包括大屏显示控制、设备运行状态及参数的管理，包括大屏显示配置、场景调用及切换、信号源展示、告警信息展示及查询、设备信息查询及配置、运行状态监测及查询、中英文语言配置、IP地址查询及配置、网络配置等，简化操作流程。</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8.无需单独配置预监板卡或连接单独预监端口，即可在软件上进行可视化大屏管控，大屏回显，任意拖放，缩放，移动。无需单独配置回显板卡，外接HDMI、DVI接口显示器即可实现大屏回显。</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9.支持自定义调节画质的亮度、对比度、饱和度、色调、色温、Gamma等参数，可添加测试画面图像，支持间距、速度、亮度调节。</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设备支持对输入源图像进行裁剪，既可以通过输入像素点进行精确裁剪，也可以通过鼠标拖拽方式进行可视化裁剪。支持1像素为单位的精细化裁剪，且裁剪的画面可开窗调用，作为一个新的输入源而不影响原输入源的使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11.支持控制卡热备份，当主控制卡故障的时候，无需人为操作即可自动切换到备份控制卡进行设备的控制，双控制卡均故障或拔出的条件下，输出图像依然可保持原来正常的显示状态，不会出现黑屏、闪烁情况。</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 设备支持16bit灰阶处理与显示，为用户提供多达65536个灰阶选择，使画面更加细腻。</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13.设备无需额外添加平台或服务器设备，可同时支持B/S和C/S两种管控方式；支持多台管控终端跨系统平台对设备进行访问、登录、管控操作，可支持Linux/Windows/MAC OS/Android/中标麒麟(NeoKylin)、银河麒麟(Kylin)、优麒麟(Ubuntu Kylin)和麒麟信安(Kylinsec)/凝思磐石/鸿蒙/UOS/鲲鹏/红帽等操作系统设备的可视化协同作业。</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14.设备支持底图功能，在无额外设备或板卡。回显屏和管控终端界面中底图内容均实时可见。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支持场景预设和预案调用无缝切换，支持将音视频场景、滚动字幕场景、条幅场景、设备联控、矩阵场景、软开关机中任意不同设备动作保存为一个全局预案，可自定义调整预案调用顺序，实现全局预案按需一键调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▲16.设备可以将视频处理功能和发送卡功能合二为一，无需其他设备，二合一网口输出卡可直接连接LED 显示屏显示，减少设备连接，简化线缆部署，增强设备稳定性和兼容性。须提供CMA、CNAS认证的第三方检测报告复印件并加盖</w:t>
            </w:r>
            <w:r>
              <w:rPr>
                <w:rFonts w:hint="eastAsia" w:ascii="宋体" w:hAnsi="宋体" w:eastAsia="宋体" w:cs="宋体"/>
                <w:color w:val="000000"/>
                <w:kern w:val="0"/>
                <w:sz w:val="21"/>
                <w:szCs w:val="21"/>
                <w:lang w:val="en-US" w:eastAsia="zh-CN"/>
              </w:rPr>
              <w:t>投标人公章</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可视化集中管控平台</w:t>
            </w:r>
          </w:p>
        </w:tc>
        <w:tc>
          <w:tcPr>
            <w:tcW w:w="4114"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系统兼容性：系统采用B/S系统架构，支持平台在不同的操作系统下进行访问。支持远端云化部署、本地物理机部署、混合部署多种部署方式。</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用户管理：系统支持多用户同时登陆，支持单点登陆模式，支持多人协同操作，单个客户端操作，会在其他客户端实时同步显示，确保操作实行性。</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权限管理：可对所有用户的操作权限进行分级管理和独立管理，按级别设置信号控制权限，或按用户单独设置信号控制权限，可针对每个信号源或屏幕进行单独权限设置。</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设备搜索：能够自动搜索、注册、添加设定网段内的显控系统设备，支持自定义设备名称，支持导入导出设备配置文件。</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5.信号源管理：支持建立信号源分组，支持信号源收藏，支持信号源状态可视化显示，支持信号源推送大屏以及多屏推送输出。</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6.视频资源检索：支持信号源以多级树状结构显示、支持精确检索，模糊检索等方式快速查找到目标资源。</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7.资源编目：支持视频资源统一编目，可按照地点、房间将视频资源分级显示。</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8.预案管理：支持预案保存以及一键切换场景，实现复杂系统中视频、音频、环境及周边设备快速变更调节。支持预案保存调用、一切多、显示切换关系、实时模式、非实时模式、触控切换、鼠标切换。</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屏幕拼接管理：具备大屏M*N的任意拼接方式选择，支持虚拟大屏显示、大屏预监回显、可视化预览、开窗、漫游、叠加、拼接、分割、跨屏、整屏、画中画、置顶、置底、窗口锁定操作，相互之间不受影响，多种类型信号无缝切换。</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系统时间显示：支持系统时间显示，可实时动态显示日期和时间且格式可选，时间来源可以是本地也可以从远程服务器获取，且与时间源保持同步；可实现天文时间、作战时间、北斗时间专用时间显示，具备8种时间显示格式，并将显示方式与大屏显示方式进行整体布局的预案保存、切换调用。</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11.智能路由：在操作界面拖动视频源至虚拟大屏，即可自动完成视频的采集→切换→处理→显示，多个视频切换路径智能路由，无需使用者关注设备及实现方式，只需一键切换，实现快速上屏。</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12.消息发布：支持系统内用户之间互发即时信息，支持单独发送和群组发送;支持消息历史查看;支持展示全网用户组织架构</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13.点播功能：支持对所有信号源进行的实时点播并提供1/4/9/16分屏四种点播模式。</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▲14.流媒体功能：可通过 GB/T 28181协议接入流媒体和设备信号源；支持 ONVIF 协议，接入 ONVIF 协议设备信号源，支持标准 RTSP流媒体接入。与原有视频监控平台对接，可实时获取最新视频监控资源列表，提供对接承诺函并加盖投标人公章。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15.多界面支持：支持在PAD端、电脑端，或不同用户使用个性化定制界面。</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16.日志管理：支持根据用户、分类、客户端IP、时间段过滤操作日志信息，支持自动归档日志，支持日志下载和调整存储时间；日志管理功能包括日志查看、日志查询和日志分析。日志类型包括操作日志、报警日志。</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17.日志筛选：支持多种条件筛选归档日志，支持根据用户、分类、客户端IP、时间段过滤操作日志信息；支持日志下载，可导出Excel。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48口分布式汇聚交换机</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1.交换容量≥670Gbps，包转发率≥200Mpps（以官网较小值为准）；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2.▲千兆电口≥48，万兆SFP+≥4；2个＞10G光口可用作堆叠使用满足对高堆叠带宽的需求（提供官网截图并加盖投标人公章）；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3.为满足国家安全可控要求,要求CPU国产化（设备厂商自研，非第三方产品）；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4.设备支持复位按钮和清配置按钮（PNP），解决设备调试复位和忘记密码恢复出厂设置的情况；支持ID指示灯，可快速定位设备位置；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5.支持统一用户管理功能，支持802.1X/MAC/Portal等多种认证方式，支持1024认证用户同时在线；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6.支持4K VLAN，支持Voice VLAN、支持端口VLAN、协议VLAN、IP子网VLAN,支持IEEE 802.1d(STP), 802.w(RSTP), 802.1s(MSTP)；</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7.支持静态路由、RIP、OSPF、RIPng、OSPFv3，支持WRR、DRR、SP、WRR＋SP、DRR+SP队列调度算法,支持双向端口限速、广播风暴抑制功能；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8.支持堆叠，主机堆叠数不小于9台；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智能中控</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1.采用国产化自主可控平台，主要零部件采用国产化自主可控品牌产品。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2.支持国产操作系统，包括麒麟系统、鸿蒙系统；软件釆用国产中文设计、中文编辑环境、中文操作。</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3.ARM 64位内嵌式处理器，主频≥1.8GHz的；内存≥3G；存储内存≥32G；</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4.具备8个多功能串口（RS232/485/422），具备8个IR红外接口，具备8个I/O接口，具备10个弱电继电器，具备2个以太网网口，具备2路24v输出供电。</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5.设备支持7×24小时工作；支持双机冗余备份；支持背板双总线冗余备份；风扇转速可进行自动调节和手动调节，支持风扇工作状态检测和告警。</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6.支持B/S架构，支持B/S端编程和操控，无需安装软件，直接通过浏览器访问控制主机IP地址进行编程和操控。支持PC/linux/安卓系统/苹果IOS系统/国产系统操控和管理。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7.支持通过RST按键实现系统复位。</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8.支持添加和管控多种设备，支持视频设备、控制网关、音频设备、环境设备管理、IPC、IP电源控制器，对设备进行统一集中管控；支持拼接器叠加、漫游、开窗、切换、场景调用控制。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9.支持摄像机云台控制，可实时监看摄像机信号，支持对前端设备的动作进行遥控，包括摄像机方向控制、变倍调焦控制、保存调用预置位功能。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10.可视化音频控制，可以控制音量大小、切换静音模式、音频通道切换、实时声压大小展示、预案保存与调用；支持对设备电源进行控制。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11.支持电动窗帘电机控制，包括一键开启和关闭。</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12.支持可视化，支持视频可视化预监，支持音频音量可视化显示，支持环境状态参数可视化显示，支持数据信息可视化显示，支持外接设备状态可视化显示。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▲13.支持在控制界面中嵌入第三方网页页面，可在中控页面中对第三方网页内容进行显示和控制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须提供CMA、CNAS认证的第三方检测报告复印件并加盖</w:t>
            </w:r>
            <w:r>
              <w:rPr>
                <w:rFonts w:hint="eastAsia" w:ascii="宋体" w:hAnsi="宋体" w:eastAsia="宋体" w:cs="宋体"/>
                <w:color w:val="000000"/>
                <w:kern w:val="0"/>
                <w:sz w:val="21"/>
                <w:szCs w:val="21"/>
                <w:lang w:val="en-US" w:eastAsia="zh-CN"/>
              </w:rPr>
              <w:t>投标人公章</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14.具备多功能扩展槽，支持不同种类功能板卡的扩展，支持插卡进行中控接口扩展。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音视频部分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Times New Roman"/>
                <w:b/>
                <w:sz w:val="21"/>
                <w:szCs w:val="21"/>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会议讨论主控机</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1、通过IEC 60914国际标准认证，内置高速DSP数字音效处理器；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2、48KHz音频采样频率，音频频响：20Hz～20KHz，信噪比：&gt;96dBA，动态范围：&gt;94dB；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3、采用黑色钢化玻璃面板，导航式旋钮，OLED屏显示，并提供中文/英文、英文/俄文、英文/西班牙等多语言菜单；</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4、内置实时时钟，万年历功能；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5、单台主控机标准可挂载60～70个话筒单元，通过连接多台扩容主机可组成4096席大型系统；</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6、USB自动录音功能：前面板插入U盘后可自动/手动录制系统音频，并实时显示当前录音状态；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▲7、内置4*1+1视频矩阵，实现标清自动摄像跟踪功能或选配高清视频摄像跟踪矩阵或切换器，可实现高清自动摄像跟踪（提供产品彩页或官网截图并加盖投标人公章）；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8、带外部音频信号输入接口，用于连接报警音频、广播音频、其他音频系统，单元可同步输出音频信号；</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9、支持申请等待模式(Operator)、限制发言模式(Auto)、先进先出模式(FIFO)、声控模式（VOX）、申请发言模式；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10、最多同时开启单元数量为4个，主席单元和副主席单元无数量限制，主席和副主席单元不受开启数量限制，系统最大同时发言人数无数量限制</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11、可集中进行会议单元的管理，操作员可点击会议单元图标批准或拒绝与会者发言，同时显示发言倒计时时间；</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12、中控控制方式：RS-232，PC通讯方式：TCP/IP，摄像控制方式：RS-485，协议：PELCO-P/PELCO-D/VISCA；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会议讨论主席单元</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1.通过IEC 60914国际标准认证。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2.麦克风采用直径14mm大振膜电容咪芯，内置防风棉和腔体拾音结构。</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3.单元之间采用“T型”手拉手连接。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18"/>
                <w:szCs w:val="18"/>
              </w:rPr>
            </w:pPr>
            <w:r>
              <w:rPr>
                <w:rFonts w:hint="eastAsia" w:ascii="宋体" w:hAnsi="宋体" w:eastAsia="宋体" w:cs="宋体"/>
                <w:kern w:val="0"/>
                <w:sz w:val="21"/>
                <w:szCs w:val="21"/>
              </w:rPr>
              <w:t>4.内</w:t>
            </w:r>
            <w:r>
              <w:rPr>
                <w:rFonts w:hint="eastAsia" w:ascii="宋体" w:hAnsi="宋体" w:eastAsia="宋体" w:cs="宋体"/>
                <w:kern w:val="0"/>
                <w:sz w:val="18"/>
                <w:szCs w:val="18"/>
              </w:rPr>
              <w:t>置会议单元嵌入式软件，可滤除声音中无效的低频成分。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5.支持多种发言模式：先进先出、限制发言、申请等待、申请发言。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6.支持多种控制方式。支持通过中控系统、无线平板、电脑软件等方式控制话筒开启与关闭。</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18"/>
                <w:szCs w:val="18"/>
              </w:rPr>
              <w:t>7.▲主席和副主席单元无数量限制。（提供具有CNAS标志的第三方权威检测机构出具的检测报告复印件并加盖投标人公章）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会议讨论代表单元</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1.通过IEC 60914国际标准认证。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2.麦克风采用直径14mm大振膜电容咪芯，内置防风棉和腔体拾音结构。</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3.单元之间采用“T型”手拉手连接。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4.内置会议单元嵌入式软件，可滤除声音中无效的低频成分。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5.支持多种发言模式：先进先出、限制发言、申请等待、申请发言。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6.支持多种控制方式。支持通过中控系统、无线平板、电脑软件等方式控制话筒开启与关闭。</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7.主席和副主席单元无数量限制。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会议系统管理软件</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功能齐全，操作简单，能轻松实现智能化、人性化的现代化高效会议；配合摄像球机实现自动摄像跟踪功能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延长线</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颜色：黑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类型：8PS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接头：一公头、一母头</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长度：20米</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会议话筒专用线缆，用于主控机到第一个话筒单元的连接线及话筒单元之间的延长连接线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一拖二柱形短杆话筒</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基本功能：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1、一台一拖二接收主机，配套2支柱形短杆话筒</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2、接收主机采用金属外壳设计，段码式液晶屏显示系统信息，各通道独立设置按键方便使用者操作，带总音量控制旋钮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3、系统采用全数字无线通信技术，可抗干扰、抗多径衰落，不受光照和红外线的影响，可在WLAN环境下稳定使用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4、接收主机采用真分集式大动态接收电路，支持48KHz音频采样频率，多达100个通信频点选择</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5、采用内部CRC校验，音频和数据采用32位加密字传输，确保通信的私密性，避免窃听和恶意干扰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6、采用高性能通信天线，并支持天线延长扩展，无线信号直线无障碍工作距离100米</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7、接收主机支持天线级联，多台接收主机可共用一套天线系统，便于工程安装接线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8、接收主机支持天线放大器供电功能，可为指定的有源天线供电，减少系统中间设备，提高便捷性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9、各通道可单独或混合输出，每通道可独立进行音量调节</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10、混合输出具有平衡输出和非平衡输出，灵活适配各种后级设备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11、接收主机支持一键自动扫频功能，系统自动检测当前无线环境，选择干净频点，提高通信稳定性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12、接收主机支持一键锁定/解锁功能，可以防止人员误操作导致设置更改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13、采用安全智能适配器供电，符合安规认证，适合多种地区使用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14、接收主机提供USB接口，连接PC电脑，可实现PPT翻页功能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技术参数：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传输技术：全数字音频，pi/4 DQPSK数字调制调解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加密技术：32位加密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工作频率：ISM国际准用频段</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音频频响：20Hz～20KHz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电源接口：DC 24V1A</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通信接口：1组凤凰端RS485接口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天线接口：2个BNC输入接口，带电源输出，用于连接接收天线，2个BNC输出接口，用于天线级联</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音频接口：2CH XLR独立输出，XLR+TRS6.35混合输出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其他接口：1路USB接口，用于连接PC进行PPT翻页功能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话筒类型：柱形短杆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话筒供电：电池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安装：桌面或19'机柜安装</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尺寸：420×185×45mm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重量：2.5kg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工作温度 ：0～45℃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存储温度： -20～50℃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天线分配器</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基本功能：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1.采用超高动态低杂讯元件与超宽频微带线路设计，具有超低内调失真及损耗，排除多频道接收系统同时使用时的混频干扰；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2.天线输入连接座具有供应天线放大器的电源，可直接连接具有天线放大器的延长天线及内建放大器的天线；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3.载波范围为500MHz─850MHz；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4.能提供四台宽频多频道接收机共用一对天线，同时级联第二台分配器或宽频多频道接收机，简化天线装配工程；</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5.分路器可提供4路DC12V电源输出，为4台无线接收机提供电源，简化机柜安装；</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技术参数：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天线分配：4路双通道输出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适用频宽范围：500MHz～850MHz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输入截断点：+15dBm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输出/输入增益：+1.0dB±1dB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输出端隔离度：&gt;18dB在500MHz～850MHz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输出/入阻抗：50Ω</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天线输出接头：TNC插座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天线输入接头电源：DC8V,250mA(max)（天线A、B输入端口）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电源输入：12V～15V/5ADC</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电源输出：12V/1.2ADC(每通道)</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消耗电流：约145mA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有源定向天线</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基本功能：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1、专业UHF频段接收用对数天线；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2、适用的频宽涵盖500MHz～850MHz；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3、搭配输出-9～18dB（±1dB）连续可变的增益信号；</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4、内建可调增益放大器，用户可根据实际使用—环境调整增益；</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5、放大器使用锌合金外壳具有优异散热特性，使用更加持续稳定；</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6、对需要特定方位使用的环境有非常好的效果；</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技术参数：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类型：外接延长天线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适用频段：500MHZ～850MHZ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步进增益总增益量：0～+18dB（±2dB），步进量：±1dB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步进衰减总衰减量：0～-9dB（±2dB），步进量：±1dB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天线阻抗：50Ω</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天线增益：3～5dB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驻波比：≤2.5：1</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接收模式(3dB波束宽度)：65°（垂直角）,120°(水平面）</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连接插座：TNC母座×1</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电流消耗：约60mA/DC8V</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电源：TNC母座须提供偏压电源6～10VDC</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连接线：≥4米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sz w:val="21"/>
                <w:szCs w:val="21"/>
              </w:rPr>
              <w:t>国产无纸化软件</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软件功能：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具备</w:t>
            </w:r>
            <w:r>
              <w:rPr>
                <w:rFonts w:hint="eastAsia" w:ascii="宋体" w:hAnsi="宋体" w:eastAsia="宋体" w:cs="宋体"/>
                <w:sz w:val="21"/>
                <w:szCs w:val="21"/>
              </w:rPr>
              <w:t>账号密码方式登录，支持设置会议室管理员身份，保证会议信息安全；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2、具有新增会议、查询会议、修改会议、删除会议、查看会议等功能；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3、支持对会议的基本信息、议题文件、人员信息、座位布局、桌牌信息、会场标语等信息进行设置；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4、具有多种会议议题设置功能，包括普通议题、单项表决、单项满意度、单项称职度、多项表决、多项满意度，多项称职度等议题形式；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5、会议议题创建支持对议题文件拖拽进行排序；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6、会议议题创建支持对小型议题文件设置终端在线预览功能；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7、具有下载会签文件、批注文件、语音转写文件的功能；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8、支持一键发送会议短信、通知邮件、钉钉通知，将会议通知以不同的方式发送给与会人员（需服务器连接外网，配置邮箱、钉钉等，购买短信服务）；</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9、具有桌牌设置功能，可设置与会人员单位，姓名及职位等信息功能，可直接拖动进行位置调整，支持设置字体颜色、样式及背景图；</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10、具有自定义会场标语功能，可设置文字、图片等显示方式，并一键投放大屏及终端；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11、会议管理具有复制会议功能，系统可对所有状态的会议进行一键复制；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12、具有查看会议终端状态、控制终端待机、终端唤醒、删除终端、终端分组控制等功能；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13、支持议题批量上传功能，支持多种文件格式，支持管理多议题会议；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14、具有主持人、操作员、委员、列席四种会议角色，具有不同的功能设置权限，实现对不同的与会人员设置不同的议题参与权限，支持设置任何与会客户端角色为主持人、操作员、委员、列席的身份；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15、支持会议模版预设，管理员可根据模板快速创建会议，包括新增、查询、修改、删除模板；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16、支持一键结束尚未开始或正在进行的会议，便于统一管理；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17.支持会议室布局图上传、对与会人员的座位进行拖放设置与布局，终端直观显示与会人员的参会信息；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sz w:val="21"/>
                <w:szCs w:val="21"/>
              </w:rPr>
              <w:t>18.后台可查看已结束会议的信息，自动生成会议纪要供管理人员一键下载，并可下载所有议题文件。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rPr>
            </w:pPr>
            <w:r>
              <w:rPr>
                <w:rFonts w:hint="eastAsia" w:ascii="宋体" w:hAnsi="宋体" w:eastAsia="宋体" w:cs="宋体"/>
                <w:sz w:val="21"/>
                <w:szCs w:val="21"/>
              </w:rPr>
              <w:t>10</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rPr>
            </w:pPr>
            <w:r>
              <w:rPr>
                <w:rFonts w:hint="eastAsia" w:ascii="宋体" w:hAnsi="宋体" w:eastAsia="宋体" w:cs="宋体"/>
                <w:sz w:val="21"/>
                <w:szCs w:val="21"/>
              </w:rPr>
              <w:t>平板终端软件</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1、终端软件支持Windows10系统、安卓系统、鸿蒙系统、银河麒麟系统、统信系统等，支持多系统融合与混搭；</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2、会议终端具有多种会议角色，支持各会议角色具有不同的与会权限；</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3、会议终端角色分为会议主持人、会议操作员、与会委员、列席四种角色；</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4、会议操作员角色具有发起签到与一键代签功能，支持多轮签到；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5、操作员和主持人可分别在签到管理与签到信息界面查看已签到、未签到人员信息；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6、操作员可控制会议进程，控制开始、结束会议，控制开始、结束议题，控制议题进程等功能；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7、具有单项表决议题、单项满意度议题、单项称职度议题、多项表决议题、多项满意度议题、多项称职度议题等多种会议议程；</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8、操作员和主持人可查看实时投票信息；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9、会议议题文件按后台设置排序方式对应显示；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10、后台设置议题文件在线预览，可在无纸化终端软件内部直接查看内容；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11、支持查看参会人员签到情况及坐席排列，可直接点击与会人员头像查看人员详细信息；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12、具有文稿导读功能，可查看终端本地或U盘中的文件；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13、具有文件共享功能，与会者可分享终端本地或U盘中的文件给其他已签到与会人员；</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14、主持人具有主持词功能，仅主持人可查看，支持批注主持词；</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15、具有会场短信功能，与会人员可发送会场短信给单个或全体与会人员（操作员除外）；</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16、操作员可自定义会场标语，可控制显示或隐藏会场标语到其它终端或大屏显示；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17、具有会签功能，支持多个文件批量签字，会签文件支持选择本地文件或议题文件；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18、具有批注功能，支持单个文件批注，多平台终端实时同步批注（鸿蒙平板不支持发起批注），批注文件支持选择本地文件或议题文件；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19、具有普通同屏、投放大屏、同屏外部信号等多种同屏模式；不同的角色（操作员、主持人、与会委员、列席人员）具有不同的申请权限；                                                          20、普通同屏和外部信号支持浮窗播放功能，视频窗口可放大缩小、可任意移动位置；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21、具有服务员功能，与会人员发送服务信息给服务员端，服务员端接收并处理相应的服务信息；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rPr>
              <w:t>22、具有语音识别转写功能，配合语音识别转写设备将麦克风发言的语音信息实时转换成文字信息，显示在终端界面上。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会议音箱</w:t>
            </w:r>
          </w:p>
        </w:tc>
        <w:tc>
          <w:tcPr>
            <w:tcW w:w="4114" w:type="pct"/>
            <w:shd w:val="clear" w:color="auto" w:fill="auto"/>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1、全频柱阵列音箱</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2、箱体采用优质木工板</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3、表面喷涂黑色水性砂面漆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4、扬声器系统采用全频进口单元</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5、金属防护网，4mm六边形透声孔，内衬防尘透声网。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技术指标: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1、额定阻抗：8Ω</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2、额定功率（AES）：300W</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3、额定驱动电压（AES）：49V（8Ω）</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4、特性灵敏度：95dB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5、连续声压级：119dB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6、最大声压级：125dB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7、额定频率范围：120～20000Hz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8、全频扬声器：3"×8</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9、覆盖角度（H×V）：120°×60°</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10、输入接口：凤凰钳位电路接口</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11、尺寸(mm)：961mm×106mm×140mm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rPr>
            </w:pPr>
            <w:r>
              <w:rPr>
                <w:rFonts w:hint="eastAsia" w:ascii="宋体" w:hAnsi="宋体" w:eastAsia="宋体" w:cs="宋体"/>
                <w:sz w:val="21"/>
                <w:szCs w:val="21"/>
              </w:rPr>
              <w:t>12、净重：8.5kg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路由器</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无线千兆WiFi6  6000M 2.5G网口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可视化控制平板</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屏幕≥11.5吋，8+128GB，鸿蒙操作系统，WIFI6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指挥中心控制台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41"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cs="宋体"/>
                <w:b/>
                <w:bCs/>
                <w:color w:val="000000"/>
                <w:kern w:val="0"/>
                <w:sz w:val="21"/>
                <w:szCs w:val="21"/>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操作员控制台</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共8个席位2组排列/定制/台面深度1000mm,距地面高740mm。背墙高度不低于200mm,厚度不低于150mm.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干架构使用冷轧钢板钣金加工；承重配件使用2.0mm厚冷轧钢板加工；所有钣金配件外表面使用静电吸塑工艺。整体框架通过螺栓连接成型，下部采用可调整水平的固定脚支撑,框架下部设有进线孔,方便外部线路引入框体,连接其他设备。根据模块长度配置标准长度背墙；背墙下部可以过线，通过支脚连接箱体内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控制台面板使用实木颗粒板双面贴防火板加工，整体厚度为27mm，面板前侧采用鸭嘴封边，与桌面材质无缝粘接，保证整体外观协调统一；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▲实木颗粒板双面贴防火板应依据GB/T 17657-2022、GB/T 15102-2017标准进行测试，且静曲强度应&gt;30，弹性模量至少应大于4000MPa;表面耐香烟灼烧、表面耐干热、表面耐污染腐蚀、表面耐龟裂、表面耐水蒸气应达到5级水准。（投标时提供需通过CMA或CNAS认证的第三方检测机构的测试报告复印件并加盖投标</w:t>
            </w:r>
            <w:r>
              <w:rPr>
                <w:rFonts w:hint="eastAsia" w:ascii="宋体" w:hAnsi="宋体" w:eastAsia="宋体" w:cs="宋体"/>
                <w:color w:val="000000"/>
                <w:kern w:val="0"/>
                <w:sz w:val="21"/>
                <w:szCs w:val="21"/>
                <w:lang w:eastAsia="zh-CN"/>
              </w:rPr>
              <w:t>人</w:t>
            </w:r>
            <w:r>
              <w:rPr>
                <w:rFonts w:hint="eastAsia" w:ascii="宋体" w:hAnsi="宋体" w:eastAsia="宋体" w:cs="宋体"/>
                <w:color w:val="000000"/>
                <w:kern w:val="0"/>
                <w:sz w:val="21"/>
                <w:szCs w:val="21"/>
              </w:rPr>
              <w:t>公章）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后门板应使用实木颗粒板双帖防火板加工，整体厚度应不低于20mm，应采用胶线较普通封边更小、无封边后期脱落问题、环保性能更优的PUR封边工艺；连接铰链应使用高档五金件，应具有质轻，手感好，开关门噪音小等优点，保证其200000次无障碍开启，具有认证资质。同时铰链安装方式应可实现快速安装和拆卸。</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控制台产品均通过绿色卫士金级认证并具有检测报告，有害物质168小时的测试排放量为:TVOC排放量&lt;3μg/㎡.hr、甲醛释放量&lt;3ug/㎡.hr、总醛释放量&lt;0.lumol/m.hr。;</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▲控制台应具有由中国质量认证中心出具的《中国环保认证》证书，即CQC证书。控制台获得实施规则ECC-1031EL-A/0标准的中国环境标志产品认证(俗称十环认证).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控制台具有依据YD 5083-2005《电信设备抗地震性能检测规范》标准检测的检测报告，且在配重不小于200kg的工况下，通过9烈度抗震试验.</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▲为确保信息安全，控制台的传导发射、辐射骚扰试验依据标准和规范:测试结果应检测合格，符合GB/T 17743-试验标准:2021标准要求;控制台静电放电抗扰度、射频电磁场辐射抗扰度、电快速瞬变脉冲群抗扰度、浪涌(冲击)抗扰度、射频场感应的传导骚扰抗扰度的测试结果应符合GB/T 17626 标准要求，均为A级。（投标时提供需通过CMA或CNAS认证的第三方检测机构的测试报告复印件并加盖投标</w:t>
            </w:r>
            <w:r>
              <w:rPr>
                <w:rFonts w:hint="eastAsia" w:ascii="宋体" w:hAnsi="宋体" w:eastAsia="宋体" w:cs="宋体"/>
                <w:color w:val="000000"/>
                <w:kern w:val="0"/>
                <w:sz w:val="21"/>
                <w:szCs w:val="21"/>
                <w:lang w:eastAsia="zh-CN"/>
              </w:rPr>
              <w:t>人</w:t>
            </w:r>
            <w:r>
              <w:rPr>
                <w:rFonts w:hint="eastAsia" w:ascii="宋体" w:hAnsi="宋体" w:eastAsia="宋体" w:cs="宋体"/>
                <w:color w:val="000000"/>
                <w:kern w:val="0"/>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亚格力灯带</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背墙可根据需要具备嵌入亚克力灯带。配置LED灯带，可以实现报警功能；可以接入中控系，具备变色显示预警功能。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控制台灯带应依据GB/T 4208-2017进行IPX7防水检测，且测试后无水进入产品内部，判定合格。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电脑支臂（单层）</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显示器伸缩支架可9方向自由调节、伸缩，稳定承重49寸以下液晶显示器.显示器伸缩支架按照国标GB/T 10125-2021《人造气氛腐蚀实验盐雾实验》标准检测100小时，镀（涂）层对基体的保护等级及自身耐腐蚀等级达到10级。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键盘托盘</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金属托盘，聚氨酯护腕，人体工程学机构.前端边缘位置设计有柔性皮制腕垫，保护皮肤不受伤害，长时间使用手腕亦无疲劳感。耐久性功能测试通过符合QBT2454-2013《家具五金抽屉导轨》标准，不低于100000次。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电脑主机托盘</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金属托盘，可竖直放置电脑主机等设备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电源PDU</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19英寸标准机架PDU，6位3孔，可直连UPS配电柜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桌面多媒体信息插座</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多媒体插座采用简单易用的接入方式，连接视频、音频、计算机视频、网络、电话、电源等接口；锁定后的连接盒与桌面保持齐平，所有接口隐藏。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sz w:val="21"/>
                <w:szCs w:val="21"/>
              </w:rPr>
            </w:pPr>
            <w:r>
              <w:rPr>
                <w:rFonts w:hint="eastAsia" w:ascii="宋体" w:hAnsi="宋体" w:eastAsia="宋体" w:cs="宋体"/>
                <w:color w:val="000000"/>
                <w:sz w:val="21"/>
                <w:szCs w:val="21"/>
              </w:rPr>
              <w:t>指挥操作台</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共3个席位直排排列/定制单席位可独立升降/台面深度1000mm,距地面高740mm。背墙高度不低于230mm,厚度应不小于130mm。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1）框架结构：控制台中主承重结构应采用冷轧钢板加工，采用精密钣金工艺加工。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2）台面板：高压耐磨防火板（HPL)+实木颗粒板，整体厚度不低于27mm，大面板之间需做隐藏式箭头所链接，整体连接后必须平整光滑无缝隙。 面板前侧应采用鸭嘴边封边形式，面板后侧应采用T型封边或者PVC封边，采用PVC封边应添加防护配件所有封边应与桌面材质无缝粘接，保证整体外观协调统一。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3）侧板可以对LOGO定制化要求，依据提供LOGO标识进行生产制作。</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4）前后门板：整体厚度应不低于20mm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5）后背墙：后背墙整体厚度应不小于120mm，高度不低于200mm，满足日常所需。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6）颜色搭配与指挥中心现有装修风格保持统一。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控制台所使用的木质板材通过GB/T 39600-2021《人造板及其制品甲醛释放量分级》的检测，甲醛释放符合Enf级要求。控制台应获得实施规则ECC-1031EL-A/0标准的中国环境标志产品认证(俗称十环认证)。控制台应具有由中国质量认证中心出具的《中国环保认证》证书，即CQ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电脑支臂（单层）</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挂墙型固定于控制台背墙，可9方向自由调节、伸缩的支架，稳定承重49寸以下液晶显示器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键盘托盘</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金属托盘，聚氨酯护腕，人体工程学机构.前端边缘位置设计有柔性皮制腕垫，保护皮肤不受伤害，长时间使用手腕亦无疲劳感。耐久性功能测试通过符合QBT2454-2013《家具五金抽屉导轨》标准，不低于100000次。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电脑主机托盘</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托盘式架构，可竖直放置主机等设备,安装滑轮可移动。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电源PDU</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19英寸标准机架PDU，6位3孔，可直连UPS配电柜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桌面多媒体信息插座</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多媒体插座采用简单易用的接入方式，连接视频、音频、计算机视频、网络、电话、电源等接口；锁定后的连接盒与桌面保持齐平，所有接口隐藏。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sz w:val="21"/>
                <w:szCs w:val="21"/>
              </w:rPr>
              <w:t>会议指挥桌</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定制12人席位、5400mm*1400mm*750mm ，高度750mm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框架结构：主体框架结构桌腿为钣金结构，其面板支撑采用2.0mm的优质冷轧钢板加工而成。(1) 面板应使用刨花板+防火板板材，整体厚度应为27mm；面板连接应采用箭头槽样式，通过M6螺杆连接一体，前侧采用鸭嘴边封边的形式。框架前后门板板材应使用刨花板，整体厚度应采用20mm；门板连接铰链应使用高档五金件，应具有质轻，手感好，开关门噪音小等优点，保证其200000次无障碍开启，具有认证资质。同时铰链安装方式应可实现快速安装和拆卸。控制台所使用的木质板材通过GB/T 39600-2021《人造板及其制品甲醛释放量分级》的检测，甲醛释放符合Enf级要求。控制台应获得实施规则ECC-1031EL-A/0标准的中国环境标志产品认证(俗称十环认证)。控制台应具有由中国质量认证中心出具的《中国环保认证》证书，即CQ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电源PDU</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19英寸标准机架PDU，6位3孔，可直连UPS配电柜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桌面多媒体信息插座</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多媒体插座采用简单易用的接入方式，连接视频、音频、计算机视频、网络、电话、电源等接口；锁定后的连接盒与桌面保持齐平，所有接口隐藏。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序号</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名称</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人脸识别门禁一体机</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主处理器：高性能嵌入式处理器；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显示屏：7英寸液晶屏；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屏幕类型：电容触摸屏；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摄像头：1/2.8" 2MP CMOS高清双目摄像头；</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开门模式：支持刷卡/远程/密码/人脸识别开门模式，支持下模块扩展（指纹、二维码、人证、人证+二维码、指纹+二维码）；支持组合开门模式设置；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读卡类型：IC卡</w:t>
            </w:r>
          </w:p>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color w:val="auto"/>
                <w:kern w:val="0"/>
                <w:sz w:val="21"/>
                <w:szCs w:val="21"/>
              </w:rPr>
              <w:t>须接入现有安防综合平台，进行统一管理及策略下发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单门磁力锁</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产品款式：磁力锁；</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外壳材料：铝合金；</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表面工艺：电镀拉丝；</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安全类型：断电开门；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最大拉力：280kg×1（600Lbs×1）直线拉力；</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工作环境：室内；</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安装方式：明装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免触摸门禁开关</w:t>
            </w:r>
          </w:p>
        </w:tc>
        <w:tc>
          <w:tcPr>
            <w:tcW w:w="4114"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免触摸门禁开关</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产品尺寸：L86*W86*H14(mm)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材质:ABS</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LED灯：待机蓝色，响应绿色</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感应距离：5~20cm可调节</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延时功能：0.3~30秒可调节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会见管理系统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rPr>
            </w:pPr>
            <w:r>
              <w:rPr>
                <w:rFonts w:hint="eastAsia" w:ascii="宋体" w:hAnsi="宋体" w:cs="宋体"/>
                <w:b/>
                <w:bCs/>
                <w:color w:val="000000"/>
                <w:kern w:val="0"/>
                <w:sz w:val="21"/>
                <w:szCs w:val="21"/>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软交换适配器(全内32路)</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1.高性能软交换适配器，支持SIP协议和MGCP协议，兼容IPPBX及VOIP语音平台；</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2.接口丰富，可连接普通电话机、电脑、传真机、宽带网络和电话外线，可实现PSTN、IP语音网集传统电话终端；</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3.配备双网口冗余保护，提供主备SIP服务器注册切换、负载均衡、PSTN断网和断网逃生等多种容灾机制选择；</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4.≥32分机，双网口；</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5.支持IMS/SIP/MGCP协议，支持TLS/SRTP/HTTPS/SSH/VPN协议的语音/数据加密，支持TR069/SNMP/APS协议和网管系统，支持T.30/T.38/Smart FoIP传真；</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6.内置软交换适配交互软件，支持家属和罪犯通过话机进行面对面通话。</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5.安全配置功能：可配置PING、SSH、Web访问设置、VPN等信息；支持访问白名单设置；支持信令加密、语音包加密、T.38加密、登录密码修改等功能；</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6.设备管理功能：支持系统升级、配置备份、配置还原、网络诊断等功能；</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7.SIP配置功能：可配置注册服务器、代理服务器、注册方式、容灾等信息；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8.地址配置功能：支持手动配置网络IP地址和DHCP自动获取；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应急备用系统</w:t>
            </w:r>
          </w:p>
        </w:tc>
        <w:tc>
          <w:tcPr>
            <w:tcW w:w="4114"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系统主机故障时，一键切换，实现基本通话功能，每台支持不低于16个窗口以上会见通话</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2.通道数量≥32分机，32路以上并发支持</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3.接口类型：RJ45</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4.语音压缩：G.711 (A-law and u-law) G.729a G.723.1，模拟语音接口TMF检测、FAX/Modem检测，回声抑制 G.165/G.168，采样率：8kHz</w:t>
            </w:r>
          </w:p>
          <w:p>
            <w:pPr>
              <w:keepNext w:val="0"/>
              <w:keepLines w:val="0"/>
              <w:pageBreakBefore w:val="0"/>
              <w:widowControl/>
              <w:numPr>
                <w:ilvl w:val="0"/>
                <w:numId w:val="0"/>
              </w:numPr>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5.最大传输距离：1500米</w:t>
            </w:r>
            <w:r>
              <w:rPr>
                <w:rFonts w:hint="eastAsia" w:ascii="宋体" w:hAnsi="宋体" w:eastAsia="宋体" w:cs="宋体"/>
                <w:color w:val="000000"/>
                <w:kern w:val="0"/>
                <w:sz w:val="21"/>
                <w:szCs w:val="21"/>
                <w:lang w:bidi="ar"/>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rPr>
              <w:t>6.需提供录音备用管理软件著作权登记证书。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双面台式人证比对登记终端</w:t>
            </w:r>
          </w:p>
        </w:tc>
        <w:tc>
          <w:tcPr>
            <w:tcW w:w="4114" w:type="pct"/>
            <w:shd w:val="clear" w:color="auto" w:fill="auto"/>
            <w:vAlign w:val="center"/>
          </w:tcPr>
          <w:p>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sz w:val="21"/>
                <w:szCs w:val="21"/>
              </w:rPr>
            </w:pPr>
            <w:r>
              <w:rPr>
                <w:rFonts w:hint="eastAsia" w:ascii="宋体" w:hAnsi="宋体" w:eastAsia="宋体" w:cs="宋体"/>
                <w:sz w:val="21"/>
                <w:szCs w:val="21"/>
              </w:rPr>
              <w:t>操作系统：开源系统；系统参数：处理器主频4核，2.0GHz；屏幕参数：不小于10.1寸双屏，分辨率1280*800；</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rPr>
              <w:t>系统参数：内存不低于4GB，闪存不低于16GB；支持双屏；人脸摄像头：不低于200万像素、双目宽动态；认证方式：支持1:1人证，1:N人脸、刷卡（IC卡、手机NFC、CPU卡号）；支持人脸/刷卡、人脸+刷卡等方式设置；存储容量：本地支持10万人脸库、50万张卡，50万条事件记录；通讯方式：以太网不少于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人脸识别终端闸机头</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1.设备外观：</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rPr>
              <w:t>7英寸LCD触摸显示屏，不低于200万像素双目摄像头，面部识别距离大于2m，支持照片视频防假；</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2.设备容量：支持50000张人脸白名单，1：N人脸比对时间＜0.2S/人，50000张卡片，100000条记录；</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认证方式：支持人脸、刷卡、密码（超级密码）及其组合的认证方式；可读取Mifare卡（IC卡）卡号、CPU序列号、身份证序列号；支持二维码识别（需选择2.8mm焦距镜头型号设备，与门口机可识别二维码类型保持一致）；</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4.通讯方式：上行通讯为TCP/IP，支持Ehome跨公网传输；支持外接RS485，Wiegand副读卡器（不支持外接指纹读卡器）；基线支持标准韦根34/26；</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5.视频对讲：支持与云眸、4200客户端、主副室内分机、管理机的视频对讲功能；支持远程视频预览功能，可以通过RTSP协议输出视频码流，编码格式H.264；</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6.输入接口：不少于LAN*1、RS485*1、wiegand * 1、USB*1、门磁*1、报警输入*2、防拆*1、开门按钮*1；</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7.输出接口：电锁*1个，报警输出*1个；</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8.工作电压： DC 12V/3A，不自带电源；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会见票据打印机</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1.输入方式：USB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2.剪切方式：自带锯齿形切刀</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3.输入电源：适配器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4.70mm/s快速打印，小巧不沾地，磨砂外壳防水防潮</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5.不支持无线打印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高拍仪</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1.最大幅面：A4，扫描元件：CMOS，像素：主镜头</w:t>
            </w:r>
            <w:r>
              <w:rPr>
                <w:rFonts w:hint="eastAsia" w:ascii="宋体" w:hAnsi="宋体" w:eastAsia="宋体" w:cs="宋体"/>
                <w:kern w:val="0"/>
                <w:sz w:val="21"/>
                <w:szCs w:val="21"/>
                <w:lang w:bidi="ar"/>
              </w:rPr>
              <w:t>≥</w:t>
            </w:r>
            <w:r>
              <w:rPr>
                <w:rFonts w:hint="eastAsia" w:ascii="宋体" w:hAnsi="宋体" w:eastAsia="宋体" w:cs="宋体"/>
                <w:kern w:val="0"/>
                <w:sz w:val="21"/>
                <w:szCs w:val="21"/>
              </w:rPr>
              <w:t xml:space="preserve"> 1000万像素，辅助镜头</w:t>
            </w:r>
            <w:r>
              <w:rPr>
                <w:rFonts w:hint="eastAsia" w:ascii="宋体" w:hAnsi="宋体" w:eastAsia="宋体" w:cs="宋体"/>
                <w:kern w:val="0"/>
                <w:sz w:val="21"/>
                <w:szCs w:val="21"/>
                <w:lang w:bidi="ar"/>
              </w:rPr>
              <w:t>≥</w:t>
            </w:r>
            <w:r>
              <w:rPr>
                <w:rFonts w:hint="eastAsia" w:ascii="宋体" w:hAnsi="宋体" w:eastAsia="宋体" w:cs="宋体"/>
                <w:kern w:val="0"/>
                <w:sz w:val="21"/>
                <w:szCs w:val="21"/>
              </w:rPr>
              <w:t>200万像素；</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2.高度：3800mm；</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3.接口类型：USB2.0；</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4.扫描光源：自然光+LED补光灯，手动对焦；</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5.图像色彩：24位；</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6.图片格式：JPG、TIF、PDF、BMP、TGA、PCX、PNG、RAS，支持一键生成PDF文件；</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7.视频格式：AVI、WMV；</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8.识别方式：支持身份证阅读器识别，支持条形码识别及二维码识别。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24口POE千兆交换机</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1.端口数量：不少于24个</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2.网管类型：网管型交换机</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3.支持POE供电</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4.上下行端口速率：千兆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PDU</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 xml:space="preserve">插孔数量：不少于8位/额定电压：250W/额定电流：不低于10A/额定功率：不低于4000W/输出线长度：3米/10A大插头/国标孔输出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理线架</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1.理线架：1U高度/24个端口/槽距离7.5mm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无线排队机（19寸)</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rPr>
              <w:t>19寸全视角液晶触显一体显示器，分辨率1920*1080，对比度500：1，亮度250cd/m2，响应时间16ms，3mm全钢化G+G电容触摸屏</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2.高性能工控主机，内存</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rPr>
              <w:t>4G，固态硬盘</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rPr>
              <w:t>64GB</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3.原装热敏打印机，半/全切方式，打印机寿命&gt;150km，通讯接口类型USB，电源电压AC220V±10%，最大功耗25W以下，切刀寿命150万次，打印速度150m/秒</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4.机柜预留摄像头、身份证、二维码阅读器安装孔位，独特前开门结构，凹槽式防卡纸出票口设计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单色窗口显示屏</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1.屏体显示：φ3.75 LED 8汉字点阵，单色  </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2.功率：15W 电源：AC220V 50HZ</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3.内置无线模块和天线，与发号主机无线通讯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4.空闲时间可滚动显示自定义内容，工作人员离席可显示“暂停服务”</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5.无线任意修改传送内容</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6.型号308尺寸：65*12cm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硬件呼叫器</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1.具有顺呼、逆呼、重呼、指呼、特呼、暂停、转移、插前、延后、查询、优先、弃号、登录、退出、参数设置等功能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2.内置无线模块和天线，与发号主机无线通讯，双频跳频技术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3.可与评价器无缝连接使用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4.与排队机无线连接使用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会见普通话机</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用于家属和罪犯通话，民警可通过系统对通话进行控制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专业录音模块(16路)</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1.录音交流阻抗≥8kΩ/1000V，录音直流阻抗≥1MΩ/500V；</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2.隔离耐压（DC）≥500V，防雷击等级≥4级；</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3.电话线对机箱隔离绝缘（DC）≥2MΩ/500V；</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4.压控摘挂机电压门槛值0～52V；</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5.全通道信噪比＞38dB，放音回音抑制比≥40dB，语音失真度＜3％；</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6.频率响应：300～3500HZ，采样频率HZ：≥8K；</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7.语音编码：CCITT A/μ-Law 64kbps, MA ADPCM 32kbps；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专业音频采集器</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1.专业录音采访拾音头，支持AEC消尾音技术；</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2.内置自动增益AGC 电路，自动抑制高强度声音；</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3.自动调节高强度声音和瞬间冲击音，可靠保护后端音频监控设备安全；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4.-35℃～70℃工作温度范围，电源极性反转及雷击保护；</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5.超强线路音频传输技术，信号传输距离可达3000米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机架式集中供电电源</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1U/12V30A/360W机架式监控电源/24分路输出（12V/1.25A）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会见管理系统软件部分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序号</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名称</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bidi="ar"/>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通讯服务引擎</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1.支持SIP协议，连接控制、网关管理、呼叫控制、信令、数据处理，安全性和呼叫详细记录；</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2.支持语音、视频等多种媒体接入方式整合和通信设备数据包转发，实现网络互联；</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3.功能完备，支持VOIP，软交换等更多功能；</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4.具备超强数据并发能力,支持超过3000人同时应用；</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rPr>
              <w:t>5.提供完整的兼容接口和与其它子系统集成的接口，与其它图像系统进行图像资源融合，从而为应急响应、指挥、决策等活动提供技术上的保障</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需提供软交换核心软件著作权登记证书。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基础会见管理模块</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涵盖了会见流程化控制所有内容，包括会见家属身份认证、基础信息管理、会见登记、窗口分配、信息推送、会见通知、语音播报、会见监控、会见统计、录音管理、会见黑名单、系统管理等重要功能模块:</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1.会见家属身份认证：民警通过系统人证比对核实身份，对符合条件进行通过，对违规申请的进行驳回管理，将相关信息纳入黑名单动态管理；</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基础信息管理：管理罪犯信息，进行增删改配置，信息包括：罪犯编号、罪犯姓名、分监区号、罪犯级别号、罪犯备注、入监时间等；管理罪犯家属信息，与罪犯进行身份信息相关联；管理民警信息；管理罪犯、家属和民警的卡信息，进行相关配置；</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3.会见登记：支持会见登记、会见预约登记多种方式；对会见登记信息进行审批，根据会见人员和业务的合法合规性进行黑名单管理；</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4.窗口分配：具有会见窗口分配、会见窗口设置、批次窗口调整等功能；</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5.审批登记管理：针对额外特殊会见情况，系统提供审批登记管理，经各层审批后可超次数进行会见；</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6.会见通知：系统对会见结果进行通知；</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7.语音播报：通过软硬件结合实现对会见排队信息等进行叫号通知；进行窗口分配语音播报并在家属侯见室同步显示窗口分配信息，会见家属进入会见室进行会见；</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8.会见监控：实时对会见过程进行监听监控，实现插话、修改时长、拆线等管控功能；对会见过程音视频影像进行WEB展示，管理会见过程时间，当前会见任务状态；</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9.会见统计：具有本日会见、近六月会见、会见次数统计、未复听统计、复听异常率统计、长期未会见人员分布等功能；</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10.会见黑名单：违反监狱或会见管理相关规定的罪犯或家属，狱政科或系统管理员可以将这部分人员设置到系统黑名单，该部分人员在黑名单没有撤销之前不能进行会见登记；</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11.系统管理：管理监狱各角色的用户权限，对系统操作日志进行记录管理；进行数据维护，对特殊的会见业务如特殊会见、异常挂机、会见延长等进行单独设置和流程管理。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12.会见通道管控：具有亲属人脸采集功能、亲属人脸设备管理、人脸客户端配置、客户端绑定、亲属出门、亲属进门等功能。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会见数据驾驶舱</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提供用户可视化驾驶舱，全局展示全监会见数据，以仪表盘的形式监控用户关注的各类数据，实时同步更新。</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驾驶舱展示数据信息包含：会见室区域人员情况、今日会见情况、录音复听报警情况、近期各时间段会见走势、各监区未复听数量统计、三个月以上未会见人员分布情况、各监区今日会见情况、今日会见趋势等各类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物品登记管理</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1.支持用户登记管理家属移交至监狱的相关物品，进行统一管理，做到有据可查；</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2.支持对家属在会见前对罪犯的会见打款，由民警进行审核、登记，在系统上进行归类存储后转入罪犯账户；</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3.系统对家属的提交的物品和钱款进行逐条登记、详细记录，存档留底。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提审会见管理</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针对司法机关来监提审登记功能，提审会见作为特殊会见，由系统单独进行信息登记记录存储。</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系统记录提审人员详细个人信息，不与罪犯进行身份关联；保存会见过程，实现特殊化审批处理。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宽见模块</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1.功能说明：实现宽见全流程管理，包括家属的宽见登记、宽见审批，宽见过程的录音、监听及管控等功能；</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2.宽见登记：支持家属宽见登记、与普见登记集成；对会见登记信息进行审批，根据会见人员和业务的合法合规性进行黑名单管理；</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3.窗口分配：支持系统对宽见登记信息进行自动分配；</w:t>
            </w:r>
          </w:p>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4.宽见监控：实时对宽见过程进行监听监控，实现中断、拆线等管控功能；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3" w:type="pct"/>
            <w:shd w:val="clear" w:color="auto" w:fill="auto"/>
            <w:noWrap/>
            <w:vAlign w:val="center"/>
          </w:tcPr>
          <w:p>
            <w:pPr>
              <w:keepNext w:val="0"/>
              <w:keepLines w:val="0"/>
              <w:pageBreakBefore w:val="0"/>
              <w:widowControl/>
              <w:kinsoku/>
              <w:wordWrap/>
              <w:overflowPunct/>
              <w:topLinePunct w:val="0"/>
              <w:autoSpaceDE/>
              <w:autoSpaceDN/>
              <w:bidi w:val="0"/>
              <w:adjustRightInd/>
              <w:spacing w:line="3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数据同步模块</w:t>
            </w:r>
          </w:p>
        </w:tc>
        <w:tc>
          <w:tcPr>
            <w:tcW w:w="4114" w:type="pct"/>
            <w:shd w:val="clear" w:color="auto" w:fill="auto"/>
            <w:vAlign w:val="center"/>
          </w:tcPr>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1.与智慧监狱综合管控平台进行对接，保持罪犯和家属基本信息的数据同步；</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2.支持数据的自动和定时同步，保证24小时不间断更新，实现自定义的数据同步周期；</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3.支持在数据库发生故障和其他网络等故障发生后的数据接口自动恢复同步；</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4.支持同构和异构的数据库应用管理。</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5.支持与局智能大平台无缝对接，实现数据上传，提供所投系统厂商出具的系统对接承诺函或成功案例合同证明材料。</w:t>
            </w:r>
          </w:p>
          <w:p>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▲6.支持与原会见系统无缝对接，实现数据无缝迁移，</w:t>
            </w:r>
            <w:r>
              <w:rPr>
                <w:rFonts w:hint="eastAsia" w:ascii="宋体" w:hAnsi="宋体" w:eastAsia="宋体" w:cs="宋体"/>
                <w:color w:val="000000"/>
                <w:kern w:val="0"/>
                <w:sz w:val="21"/>
                <w:szCs w:val="21"/>
                <w:lang w:eastAsia="zh-CN"/>
              </w:rPr>
              <w:t>提供</w:t>
            </w:r>
            <w:r>
              <w:rPr>
                <w:rFonts w:hint="eastAsia" w:ascii="宋体" w:hAnsi="宋体" w:eastAsia="宋体" w:cs="宋体"/>
                <w:color w:val="000000"/>
                <w:kern w:val="0"/>
                <w:sz w:val="21"/>
                <w:szCs w:val="21"/>
              </w:rPr>
              <w:t>能与原会见系统无缝对接的对接承诺函</w:t>
            </w:r>
            <w:r>
              <w:rPr>
                <w:rFonts w:hint="eastAsia" w:ascii="宋体" w:hAnsi="宋体" w:eastAsia="宋体" w:cs="宋体"/>
                <w:color w:val="000000"/>
                <w:kern w:val="0"/>
                <w:sz w:val="21"/>
                <w:szCs w:val="21"/>
                <w:lang w:eastAsia="zh-CN"/>
              </w:rPr>
              <w:t>，盖投标人公章</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成交后</w:t>
            </w:r>
            <w:r>
              <w:rPr>
                <w:rFonts w:hint="eastAsia" w:ascii="宋体" w:hAnsi="宋体" w:eastAsia="宋体" w:cs="宋体"/>
                <w:color w:val="000000"/>
                <w:kern w:val="0"/>
                <w:sz w:val="21"/>
                <w:szCs w:val="21"/>
              </w:rPr>
              <w:t>提供所投系统厂商出具的能与原会见系统无缝对接的对接承诺函。</w:t>
            </w:r>
          </w:p>
        </w:tc>
      </w:tr>
    </w:tbl>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Times New Roman"/>
          <w:b/>
          <w:sz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spacing w:val="7"/>
          <w:kern w:val="0"/>
          <w:sz w:val="24"/>
          <w:shd w:val="clear" w:color="auto" w:fill="FFFFFF"/>
        </w:rPr>
      </w:pPr>
      <w:r>
        <w:rPr>
          <w:rFonts w:hint="eastAsia" w:ascii="宋体" w:hAnsi="宋体" w:eastAsia="宋体" w:cs="Times New Roman"/>
          <w:b/>
          <w:sz w:val="24"/>
          <w:lang w:val="en-US" w:eastAsia="zh-CN"/>
        </w:rPr>
        <w:t>（</w:t>
      </w:r>
      <w:r>
        <w:rPr>
          <w:rFonts w:hint="eastAsia" w:ascii="宋体" w:hAnsi="宋体" w:cs="Times New Roman"/>
          <w:b/>
          <w:sz w:val="24"/>
          <w:lang w:val="en-US" w:eastAsia="zh-CN"/>
        </w:rPr>
        <w:t>二</w:t>
      </w:r>
      <w:r>
        <w:rPr>
          <w:rFonts w:hint="eastAsia" w:ascii="宋体" w:hAnsi="宋体" w:eastAsia="宋体" w:cs="Times New Roman"/>
          <w:b/>
          <w:sz w:val="24"/>
          <w:lang w:val="en-US" w:eastAsia="zh-CN"/>
        </w:rPr>
        <w:t>）环境装修部分</w:t>
      </w:r>
      <w:r>
        <w:rPr>
          <w:rFonts w:hint="eastAsia" w:ascii="宋体" w:hAnsi="宋体" w:cs="Times New Roman"/>
          <w:b/>
          <w:sz w:val="24"/>
          <w:lang w:val="en-US" w:eastAsia="zh-CN"/>
        </w:rPr>
        <w:t>材料品牌约定</w:t>
      </w:r>
    </w:p>
    <w:tbl>
      <w:tblPr>
        <w:tblStyle w:val="14"/>
        <w:tblW w:w="9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
        <w:gridCol w:w="3126"/>
        <w:gridCol w:w="5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墙顶面漆</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上海立邦、多乐士、三棵树或不低于此</w:t>
            </w:r>
          </w:p>
        </w:tc>
      </w:tr>
    </w:tbl>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Times New Roman"/>
          <w:b/>
          <w:sz w:val="24"/>
        </w:rPr>
      </w:pPr>
      <w:r>
        <w:rPr>
          <w:rFonts w:hint="eastAsia" w:ascii="宋体" w:hAnsi="宋体" w:cs="Times New Roman"/>
          <w:b/>
          <w:sz w:val="24"/>
          <w:lang w:eastAsia="zh-CN"/>
        </w:rPr>
        <w:t>（三）</w:t>
      </w:r>
      <w:r>
        <w:rPr>
          <w:rFonts w:hint="eastAsia" w:ascii="宋体" w:hAnsi="宋体" w:eastAsia="宋体" w:cs="Times New Roman"/>
          <w:b/>
          <w:sz w:val="24"/>
        </w:rPr>
        <w:t>重要说明</w:t>
      </w:r>
    </w:p>
    <w:p>
      <w:pPr>
        <w:keepNext w:val="0"/>
        <w:keepLines w:val="0"/>
        <w:pageBreakBefore w:val="0"/>
        <w:widowControl/>
        <w:kinsoku/>
        <w:wordWrap/>
        <w:overflowPunct/>
        <w:topLinePunct w:val="0"/>
        <w:autoSpaceDE/>
        <w:autoSpaceDN/>
        <w:bidi w:val="0"/>
        <w:adjustRightInd/>
        <w:snapToGrid/>
        <w:spacing w:line="360" w:lineRule="auto"/>
        <w:ind w:firstLine="508" w:firstLineChars="200"/>
        <w:jc w:val="left"/>
        <w:textAlignment w:val="auto"/>
        <w:rPr>
          <w:rFonts w:hint="eastAsia" w:ascii="Times New Roman" w:hAnsi="Times New Roman" w:eastAsia="宋体" w:cs="Times New Roman"/>
          <w:spacing w:val="7"/>
          <w:kern w:val="0"/>
          <w:sz w:val="24"/>
          <w:shd w:val="clear" w:color="auto" w:fill="FFFFFF"/>
        </w:rPr>
      </w:pPr>
      <w:r>
        <w:rPr>
          <w:rFonts w:hint="eastAsia" w:ascii="Times New Roman" w:hAnsi="Times New Roman" w:eastAsia="宋体" w:cs="Times New Roman"/>
          <w:spacing w:val="7"/>
          <w:kern w:val="0"/>
          <w:sz w:val="24"/>
          <w:shd w:val="clear" w:color="auto" w:fill="FFFFFF"/>
        </w:rPr>
        <w:t>1</w:t>
      </w:r>
      <w:r>
        <w:rPr>
          <w:rFonts w:hint="eastAsia" w:cs="Times New Roman"/>
          <w:spacing w:val="7"/>
          <w:kern w:val="0"/>
          <w:sz w:val="24"/>
          <w:shd w:val="clear" w:color="auto" w:fill="FFFFFF"/>
          <w:lang w:val="en-US" w:eastAsia="zh-CN"/>
        </w:rPr>
        <w:t>.</w:t>
      </w:r>
      <w:r>
        <w:rPr>
          <w:rFonts w:hint="eastAsia" w:ascii="Times New Roman" w:hAnsi="Times New Roman" w:eastAsia="宋体" w:cs="Times New Roman"/>
          <w:spacing w:val="7"/>
          <w:kern w:val="0"/>
          <w:sz w:val="24"/>
          <w:shd w:val="clear" w:color="auto" w:fill="FFFFFF"/>
        </w:rPr>
        <w:t>▲项所需提供的材料（投标时需提供相关材料电子扫描件</w:t>
      </w:r>
      <w:r>
        <w:rPr>
          <w:rFonts w:hint="eastAsia" w:ascii="Times New Roman" w:hAnsi="Times New Roman" w:eastAsia="宋体" w:cs="Times New Roman"/>
          <w:spacing w:val="7"/>
          <w:kern w:val="0"/>
          <w:sz w:val="24"/>
          <w:shd w:val="clear" w:color="auto" w:fill="FFFFFF"/>
          <w:lang w:val="en-US" w:eastAsia="zh-CN"/>
        </w:rPr>
        <w:t>加盖投标人公章</w:t>
      </w:r>
      <w:r>
        <w:rPr>
          <w:rFonts w:hint="eastAsia" w:ascii="Times New Roman" w:hAnsi="Times New Roman" w:eastAsia="宋体" w:cs="Times New Roman"/>
          <w:spacing w:val="7"/>
          <w:kern w:val="0"/>
          <w:sz w:val="24"/>
          <w:shd w:val="clear" w:color="auto" w:fill="FFFFFF"/>
        </w:rPr>
        <w:t>，并承诺</w:t>
      </w:r>
      <w:r>
        <w:rPr>
          <w:rFonts w:hint="eastAsia" w:cs="Times New Roman"/>
          <w:spacing w:val="7"/>
          <w:kern w:val="0"/>
          <w:sz w:val="24"/>
          <w:shd w:val="clear" w:color="auto" w:fill="FFFFFF"/>
          <w:lang w:eastAsia="zh-CN"/>
        </w:rPr>
        <w:t>成交后</w:t>
      </w:r>
      <w:r>
        <w:rPr>
          <w:rFonts w:hint="eastAsia" w:ascii="Times New Roman" w:hAnsi="Times New Roman" w:eastAsia="宋体" w:cs="Times New Roman"/>
          <w:spacing w:val="7"/>
          <w:kern w:val="0"/>
          <w:sz w:val="24"/>
          <w:shd w:val="clear" w:color="auto" w:fill="FFFFFF"/>
        </w:rPr>
        <w:t>提供原件），若未能及时提供，做无效投标处理。具体技术部分要求是对项目需求清单中所列项目的详细功能、性能、配置或服务的要求，分为实质性条款和非实质性条款，其中实质性条款不允许负偏离，否则作为无效投标。</w:t>
      </w:r>
    </w:p>
    <w:p>
      <w:pPr>
        <w:keepNext w:val="0"/>
        <w:keepLines w:val="0"/>
        <w:pageBreakBefore w:val="0"/>
        <w:widowControl/>
        <w:kinsoku/>
        <w:wordWrap/>
        <w:overflowPunct/>
        <w:topLinePunct w:val="0"/>
        <w:autoSpaceDE/>
        <w:autoSpaceDN/>
        <w:bidi w:val="0"/>
        <w:adjustRightInd/>
        <w:snapToGrid/>
        <w:spacing w:line="360" w:lineRule="auto"/>
        <w:ind w:firstLine="508" w:firstLineChars="200"/>
        <w:jc w:val="left"/>
        <w:textAlignment w:val="auto"/>
        <w:rPr>
          <w:rFonts w:hint="eastAsia" w:ascii="Times New Roman" w:hAnsi="Times New Roman" w:eastAsia="宋体" w:cs="Times New Roman"/>
          <w:spacing w:val="7"/>
          <w:kern w:val="0"/>
          <w:sz w:val="24"/>
          <w:shd w:val="clear" w:color="auto" w:fill="FFFFFF"/>
        </w:rPr>
      </w:pPr>
      <w:r>
        <w:rPr>
          <w:rFonts w:hint="eastAsia" w:ascii="Times New Roman" w:hAnsi="Times New Roman" w:eastAsia="宋体" w:cs="Times New Roman"/>
          <w:spacing w:val="7"/>
          <w:kern w:val="0"/>
          <w:sz w:val="24"/>
          <w:shd w:val="clear" w:color="auto" w:fill="FFFFFF"/>
        </w:rPr>
        <w:t>2</w:t>
      </w:r>
      <w:r>
        <w:rPr>
          <w:rFonts w:hint="eastAsia" w:cs="Times New Roman"/>
          <w:spacing w:val="7"/>
          <w:kern w:val="0"/>
          <w:sz w:val="24"/>
          <w:shd w:val="clear" w:color="auto" w:fill="FFFFFF"/>
          <w:lang w:val="en-US" w:eastAsia="zh-CN"/>
        </w:rPr>
        <w:t>.</w:t>
      </w:r>
      <w:r>
        <w:rPr>
          <w:rFonts w:hint="eastAsia" w:ascii="Times New Roman" w:hAnsi="Times New Roman" w:eastAsia="宋体" w:cs="Times New Roman"/>
          <w:spacing w:val="7"/>
          <w:kern w:val="0"/>
          <w:sz w:val="24"/>
          <w:shd w:val="clear" w:color="auto" w:fill="FFFFFF"/>
        </w:rPr>
        <w:t>投标人</w:t>
      </w:r>
      <w:r>
        <w:rPr>
          <w:rFonts w:hint="eastAsia" w:cs="Times New Roman"/>
          <w:spacing w:val="7"/>
          <w:kern w:val="0"/>
          <w:sz w:val="24"/>
          <w:shd w:val="clear" w:color="auto" w:fill="FFFFFF"/>
          <w:lang w:eastAsia="zh-CN"/>
        </w:rPr>
        <w:t>成交后</w:t>
      </w:r>
      <w:r>
        <w:rPr>
          <w:rFonts w:hint="eastAsia" w:ascii="Times New Roman" w:hAnsi="Times New Roman" w:eastAsia="宋体" w:cs="Times New Roman"/>
          <w:spacing w:val="7"/>
          <w:kern w:val="0"/>
          <w:sz w:val="24"/>
          <w:shd w:val="clear" w:color="auto" w:fill="FFFFFF"/>
        </w:rPr>
        <w:t>签订合同前须提供LED显示屏、浅压缩坐席输入节点、浅压缩坐席输出节点、拼接处理器、可视化集中管控平台、智能中控及会议讨论主控机、会议讨论主席/代表单元、操作员控制台及会议指挥桌、会见管理系统软件的生产厂家出具的针对本项目的参数符合承诺函及不少于三年的质保服务承诺函加盖原厂公章，不能提供或故意拖延作废标处理。</w:t>
      </w:r>
    </w:p>
    <w:p>
      <w:pPr>
        <w:keepNext w:val="0"/>
        <w:keepLines w:val="0"/>
        <w:pageBreakBefore w:val="0"/>
        <w:kinsoku/>
        <w:wordWrap/>
        <w:overflowPunct/>
        <w:topLinePunct w:val="0"/>
        <w:autoSpaceDE/>
        <w:autoSpaceDN/>
        <w:bidi w:val="0"/>
        <w:adjustRightInd/>
        <w:snapToGrid w:val="0"/>
        <w:spacing w:line="360" w:lineRule="auto"/>
        <w:ind w:firstLine="505" w:firstLineChars="199"/>
        <w:textAlignment w:val="auto"/>
        <w:outlineLvl w:val="0"/>
        <w:rPr>
          <w:rFonts w:hint="eastAsia" w:ascii="Times New Roman" w:hAnsi="Times New Roman" w:eastAsia="宋体" w:cs="Times New Roman"/>
          <w:spacing w:val="7"/>
          <w:kern w:val="0"/>
          <w:sz w:val="24"/>
          <w:shd w:val="clear" w:color="auto" w:fill="FFFFFF"/>
        </w:rPr>
      </w:pPr>
      <w:r>
        <w:rPr>
          <w:rFonts w:hint="eastAsia" w:ascii="Times New Roman" w:hAnsi="Times New Roman" w:eastAsia="宋体" w:cs="Times New Roman"/>
          <w:spacing w:val="7"/>
          <w:kern w:val="0"/>
          <w:sz w:val="24"/>
          <w:shd w:val="clear" w:color="auto" w:fill="FFFFFF"/>
        </w:rPr>
        <w:t>3</w:t>
      </w:r>
      <w:r>
        <w:rPr>
          <w:rFonts w:hint="eastAsia" w:cs="Times New Roman"/>
          <w:spacing w:val="7"/>
          <w:kern w:val="0"/>
          <w:sz w:val="24"/>
          <w:shd w:val="clear" w:color="auto" w:fill="FFFFFF"/>
          <w:lang w:val="en-US" w:eastAsia="zh-CN"/>
        </w:rPr>
        <w:t>.</w:t>
      </w:r>
      <w:r>
        <w:rPr>
          <w:rFonts w:hint="eastAsia" w:cs="Times New Roman"/>
          <w:spacing w:val="7"/>
          <w:kern w:val="0"/>
          <w:sz w:val="24"/>
          <w:shd w:val="clear" w:color="auto" w:fill="FFFFFF"/>
          <w:lang w:eastAsia="zh-CN"/>
        </w:rPr>
        <w:t>成交</w:t>
      </w:r>
      <w:r>
        <w:rPr>
          <w:rFonts w:hint="eastAsia" w:ascii="Times New Roman" w:hAnsi="Times New Roman" w:eastAsia="宋体" w:cs="Times New Roman"/>
          <w:spacing w:val="7"/>
          <w:kern w:val="0"/>
          <w:sz w:val="24"/>
          <w:shd w:val="clear" w:color="auto" w:fill="FFFFFF"/>
        </w:rPr>
        <w:t>后签订合同前，</w:t>
      </w:r>
      <w:r>
        <w:rPr>
          <w:rFonts w:hint="eastAsia" w:ascii="Times New Roman" w:hAnsi="Times New Roman" w:eastAsia="宋体" w:cs="Times New Roman"/>
          <w:spacing w:val="7"/>
          <w:kern w:val="0"/>
          <w:sz w:val="24"/>
          <w:shd w:val="clear" w:color="auto" w:fill="FFFFFF"/>
          <w:lang w:eastAsia="zh-CN"/>
        </w:rPr>
        <w:t>根据采购人需要，成交供应商</w:t>
      </w:r>
      <w:r>
        <w:rPr>
          <w:rFonts w:hint="eastAsia" w:ascii="Times New Roman" w:hAnsi="Times New Roman" w:eastAsia="宋体" w:cs="Times New Roman"/>
          <w:spacing w:val="7"/>
          <w:kern w:val="0"/>
          <w:sz w:val="24"/>
          <w:shd w:val="clear" w:color="auto" w:fill="FFFFFF"/>
        </w:rPr>
        <w:t>须</w:t>
      </w:r>
      <w:r>
        <w:rPr>
          <w:rFonts w:hint="eastAsia" w:ascii="Times New Roman" w:hAnsi="Times New Roman" w:eastAsia="宋体" w:cs="Times New Roman"/>
          <w:spacing w:val="7"/>
          <w:kern w:val="0"/>
          <w:sz w:val="24"/>
          <w:shd w:val="clear" w:color="auto" w:fill="FFFFFF"/>
          <w:lang w:eastAsia="zh-CN"/>
        </w:rPr>
        <w:t>协助采购人</w:t>
      </w:r>
      <w:r>
        <w:rPr>
          <w:rFonts w:hint="eastAsia" w:ascii="Times New Roman" w:hAnsi="Times New Roman" w:eastAsia="宋体" w:cs="Times New Roman"/>
          <w:spacing w:val="7"/>
          <w:kern w:val="0"/>
          <w:sz w:val="24"/>
          <w:shd w:val="clear" w:color="auto" w:fill="FFFFFF"/>
        </w:rPr>
        <w:t>提供LED显示屏、浅压缩坐席输入节点、浅压缩坐席输出节点、拼接处理器、可视化集中管控平台、智能中控及会议讨论主控机、会议讨论主席/代表单元、会见管理系统软件进行现场测试。测试时须针对招标文件要求进行逐条参数符合性测试及功能测试，如经测试发现与招标文件要求不一致或投标人有意拖延测试，则视为欺诈行为，招标人将不授予合同，投标人将承担一切后果与责任。</w:t>
      </w:r>
    </w:p>
    <w:p>
      <w:pPr>
        <w:keepNext w:val="0"/>
        <w:keepLines w:val="0"/>
        <w:pageBreakBefore w:val="0"/>
        <w:kinsoku/>
        <w:wordWrap/>
        <w:overflowPunct/>
        <w:topLinePunct w:val="0"/>
        <w:autoSpaceDE/>
        <w:autoSpaceDN/>
        <w:bidi w:val="0"/>
        <w:adjustRightInd/>
        <w:snapToGrid w:val="0"/>
        <w:spacing w:line="360" w:lineRule="auto"/>
        <w:ind w:firstLine="505" w:firstLineChars="199"/>
        <w:textAlignment w:val="auto"/>
        <w:outlineLvl w:val="0"/>
        <w:rPr>
          <w:rFonts w:hint="eastAsia" w:ascii="Times New Roman" w:hAnsi="Times New Roman" w:eastAsia="宋体" w:cs="Times New Roman"/>
          <w:spacing w:val="7"/>
          <w:kern w:val="0"/>
          <w:sz w:val="24"/>
          <w:shd w:val="clear" w:color="auto" w:fill="FFFFFF"/>
          <w:lang w:eastAsia="zh-CN"/>
        </w:rPr>
      </w:pPr>
      <w:r>
        <w:rPr>
          <w:rFonts w:hint="eastAsia" w:ascii="Times New Roman" w:hAnsi="Times New Roman" w:eastAsia="宋体" w:cs="Times New Roman"/>
          <w:spacing w:val="7"/>
          <w:kern w:val="0"/>
          <w:sz w:val="24"/>
          <w:shd w:val="clear" w:color="auto" w:fill="FFFFFF"/>
        </w:rPr>
        <w:t>★</w:t>
      </w:r>
      <w:r>
        <w:rPr>
          <w:rFonts w:hint="eastAsia" w:ascii="Times New Roman" w:hAnsi="Times New Roman" w:eastAsia="宋体" w:cs="Times New Roman"/>
          <w:spacing w:val="7"/>
          <w:kern w:val="0"/>
          <w:sz w:val="24"/>
          <w:shd w:val="clear" w:color="auto" w:fill="FFFFFF"/>
          <w:lang w:val="en-US" w:eastAsia="zh-CN"/>
        </w:rPr>
        <w:t>4.</w:t>
      </w:r>
      <w:r>
        <w:rPr>
          <w:rFonts w:hint="eastAsia" w:ascii="Times New Roman" w:hAnsi="Times New Roman" w:eastAsia="宋体" w:cs="Times New Roman"/>
          <w:spacing w:val="7"/>
          <w:kern w:val="0"/>
          <w:sz w:val="24"/>
          <w:shd w:val="clear" w:color="auto" w:fill="FFFFFF"/>
        </w:rPr>
        <w:t>响应文件中必须注明所投产品品牌，否则按无效响应处理。</w:t>
      </w:r>
      <w:r>
        <w:rPr>
          <w:rFonts w:hint="eastAsia" w:ascii="Times New Roman" w:hAnsi="Times New Roman" w:eastAsia="宋体" w:cs="Times New Roman"/>
          <w:spacing w:val="7"/>
          <w:kern w:val="0"/>
          <w:sz w:val="24"/>
          <w:shd w:val="clear" w:color="auto" w:fill="FFFFFF"/>
          <w:lang w:eastAsia="zh-CN"/>
        </w:rPr>
        <w:t>【技术标里要放有所有投标子项目产品的品牌规格型号一览表（不含报价）】</w:t>
      </w:r>
    </w:p>
    <w:p>
      <w:pPr>
        <w:keepNext w:val="0"/>
        <w:keepLines w:val="0"/>
        <w:pageBreakBefore w:val="0"/>
        <w:kinsoku/>
        <w:wordWrap/>
        <w:overflowPunct/>
        <w:topLinePunct w:val="0"/>
        <w:autoSpaceDE/>
        <w:autoSpaceDN/>
        <w:bidi w:val="0"/>
        <w:adjustRightInd/>
        <w:snapToGrid w:val="0"/>
        <w:spacing w:line="360" w:lineRule="auto"/>
        <w:ind w:firstLine="505" w:firstLineChars="199"/>
        <w:textAlignment w:val="auto"/>
        <w:outlineLvl w:val="0"/>
        <w:rPr>
          <w:rFonts w:hint="eastAsia" w:ascii="Times New Roman" w:hAnsi="Times New Roman" w:eastAsia="宋体" w:cs="Times New Roman"/>
          <w:spacing w:val="7"/>
          <w:kern w:val="0"/>
          <w:sz w:val="24"/>
          <w:shd w:val="clear" w:color="auto" w:fill="FFFFFF"/>
          <w:lang w:val="en-US" w:eastAsia="zh-CN"/>
        </w:rPr>
      </w:pPr>
      <w:r>
        <w:rPr>
          <w:rFonts w:hint="eastAsia" w:ascii="Times New Roman" w:hAnsi="Times New Roman" w:eastAsia="宋体" w:cs="Times New Roman"/>
          <w:spacing w:val="7"/>
          <w:kern w:val="0"/>
          <w:sz w:val="24"/>
          <w:shd w:val="clear" w:color="auto" w:fill="FFFFFF"/>
          <w:lang w:val="en-US" w:eastAsia="zh-CN"/>
        </w:rPr>
        <w:t>5.合同签订后，按照采购人要求提供设备采购清单，报采购人同意后采购，设备技术参数应满足采购文件要求。</w:t>
      </w:r>
    </w:p>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Times New Roman"/>
          <w:b/>
          <w:sz w:val="24"/>
        </w:rPr>
      </w:pPr>
      <w:r>
        <w:rPr>
          <w:rFonts w:hint="eastAsia" w:ascii="宋体" w:hAnsi="宋体" w:cs="Times New Roman"/>
          <w:b/>
          <w:sz w:val="24"/>
          <w:lang w:val="en-US" w:eastAsia="zh-CN"/>
        </w:rPr>
        <w:t>六</w:t>
      </w:r>
      <w:r>
        <w:rPr>
          <w:rFonts w:hint="eastAsia" w:ascii="宋体" w:hAnsi="宋体" w:eastAsia="宋体" w:cs="Times New Roman"/>
          <w:b/>
          <w:sz w:val="24"/>
          <w:lang w:eastAsia="zh-CN"/>
        </w:rPr>
        <w:t>、</w:t>
      </w:r>
      <w:r>
        <w:rPr>
          <w:rFonts w:hint="eastAsia" w:ascii="宋体" w:hAnsi="宋体" w:eastAsia="宋体" w:cs="Times New Roman"/>
          <w:b/>
          <w:sz w:val="24"/>
        </w:rPr>
        <w:t>商务要求</w:t>
      </w:r>
    </w:p>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Times New Roman"/>
          <w:b/>
          <w:sz w:val="24"/>
        </w:rPr>
      </w:pPr>
      <w:bookmarkStart w:id="2" w:name="_Toc176517170"/>
      <w:r>
        <w:rPr>
          <w:rFonts w:hint="eastAsia" w:ascii="宋体" w:hAnsi="宋体" w:cs="Times New Roman"/>
          <w:b/>
          <w:sz w:val="24"/>
          <w:lang w:val="en-US" w:eastAsia="zh-CN"/>
        </w:rPr>
        <w:t>（一）</w:t>
      </w:r>
      <w:r>
        <w:rPr>
          <w:rFonts w:hint="eastAsia" w:ascii="宋体" w:hAnsi="宋体" w:eastAsia="宋体" w:cs="Times New Roman"/>
          <w:b/>
          <w:sz w:val="24"/>
        </w:rPr>
        <w:t>售后服务</w:t>
      </w:r>
      <w:bookmarkEnd w:id="2"/>
    </w:p>
    <w:p>
      <w:pPr>
        <w:keepNext w:val="0"/>
        <w:keepLines w:val="0"/>
        <w:pageBreakBefore w:val="0"/>
        <w:kinsoku/>
        <w:wordWrap/>
        <w:overflowPunct/>
        <w:topLinePunct w:val="0"/>
        <w:autoSpaceDE/>
        <w:autoSpaceDN/>
        <w:bidi w:val="0"/>
        <w:adjustRightInd/>
        <w:snapToGrid w:val="0"/>
        <w:spacing w:line="360" w:lineRule="auto"/>
        <w:ind w:firstLine="505" w:firstLineChars="199"/>
        <w:textAlignment w:val="auto"/>
        <w:outlineLvl w:val="0"/>
        <w:rPr>
          <w:rFonts w:hint="eastAsia" w:ascii="Times New Roman" w:hAnsi="Times New Roman" w:eastAsia="宋体" w:cs="Times New Roman"/>
          <w:spacing w:val="7"/>
          <w:kern w:val="0"/>
          <w:sz w:val="24"/>
          <w:shd w:val="clear" w:color="auto" w:fill="FFFFFF"/>
          <w:lang w:eastAsia="zh-CN"/>
        </w:rPr>
      </w:pPr>
      <w:bookmarkStart w:id="3" w:name="_Hlk143074892"/>
      <w:r>
        <w:rPr>
          <w:rFonts w:hint="eastAsia" w:ascii="Times New Roman" w:hAnsi="Times New Roman" w:eastAsia="宋体" w:cs="Times New Roman"/>
          <w:spacing w:val="7"/>
          <w:kern w:val="0"/>
          <w:sz w:val="24"/>
          <w:shd w:val="clear" w:color="auto" w:fill="FFFFFF"/>
          <w:lang w:val="en-US" w:eastAsia="zh-CN"/>
        </w:rPr>
        <w:t>1.</w:t>
      </w:r>
      <w:r>
        <w:rPr>
          <w:rFonts w:hint="eastAsia" w:ascii="Times New Roman" w:hAnsi="Times New Roman" w:eastAsia="宋体" w:cs="Times New Roman"/>
          <w:spacing w:val="7"/>
          <w:kern w:val="0"/>
          <w:sz w:val="24"/>
          <w:shd w:val="clear" w:color="auto" w:fill="FFFFFF"/>
          <w:lang w:eastAsia="zh-CN"/>
        </w:rPr>
        <w:t>提供三年原厂免费软硬件质保服务，提供承诺书，盖投标人公章。成交后提供相关原厂免费软硬件质保服务原件。</w:t>
      </w:r>
    </w:p>
    <w:p>
      <w:pPr>
        <w:keepNext w:val="0"/>
        <w:keepLines w:val="0"/>
        <w:pageBreakBefore w:val="0"/>
        <w:widowControl/>
        <w:kinsoku/>
        <w:wordWrap/>
        <w:overflowPunct/>
        <w:topLinePunct w:val="0"/>
        <w:autoSpaceDE/>
        <w:autoSpaceDN/>
        <w:bidi w:val="0"/>
        <w:adjustRightInd/>
        <w:snapToGrid/>
        <w:spacing w:line="360" w:lineRule="auto"/>
        <w:ind w:firstLine="508" w:firstLineChars="200"/>
        <w:jc w:val="left"/>
        <w:textAlignment w:val="auto"/>
        <w:rPr>
          <w:rFonts w:ascii="宋体" w:hAnsi="宋体" w:cs="仿宋"/>
          <w:color w:val="000000"/>
          <w:sz w:val="24"/>
          <w:shd w:val="clear" w:color="auto" w:fill="FFFFFF"/>
        </w:rPr>
      </w:pPr>
      <w:r>
        <w:rPr>
          <w:rFonts w:hint="eastAsia" w:cs="Times New Roman"/>
          <w:spacing w:val="7"/>
          <w:kern w:val="0"/>
          <w:sz w:val="24"/>
          <w:shd w:val="clear" w:color="auto" w:fill="FFFFFF"/>
          <w:lang w:val="en-US" w:eastAsia="zh-CN"/>
        </w:rPr>
        <w:t>2.</w:t>
      </w:r>
      <w:r>
        <w:rPr>
          <w:rFonts w:hint="eastAsia" w:ascii="Times New Roman" w:hAnsi="Times New Roman" w:eastAsia="宋体" w:cs="Times New Roman"/>
          <w:spacing w:val="7"/>
          <w:kern w:val="0"/>
          <w:sz w:val="24"/>
          <w:shd w:val="clear" w:color="auto" w:fill="FFFFFF"/>
        </w:rPr>
        <w:t>质保期内7*24小时标准技术维护服务服务、随时响应。流程如图</w:t>
      </w:r>
      <w:r>
        <w:rPr>
          <w:rFonts w:hint="eastAsia" w:ascii="Times New Roman" w:hAnsi="Times New Roman" w:eastAsia="宋体" w:cs="Times New Roman"/>
          <w:spacing w:val="7"/>
          <w:kern w:val="0"/>
          <w:sz w:val="24"/>
          <w:shd w:val="clear" w:color="auto" w:fill="FFFFFF"/>
          <w:lang w:val="en-US" w:eastAsia="zh-CN"/>
        </w:rPr>
        <w:t>1.2</w:t>
      </w:r>
      <w:r>
        <w:rPr>
          <w:rFonts w:hint="eastAsia" w:ascii="Times New Roman" w:hAnsi="Times New Roman" w:eastAsia="宋体" w:cs="Times New Roman"/>
          <w:spacing w:val="7"/>
          <w:kern w:val="0"/>
          <w:sz w:val="24"/>
          <w:shd w:val="clear" w:color="auto" w:fill="FFFFFF"/>
        </w:rPr>
        <w:t>-1，服务响应时间为接到采购人故障电话后半小时内到达现场，一般故障到达现场后2小时解决；如8小时内仍无法解决的，必须在24小时内提供备机或备件，以保证采购人系统的正常运行。备品备件均是满足服务期限的备品备件，且是来自于设备原厂商的全新产品。并提供详细的售后技术支持人员姓名、联系方式、常驻办公地点等信息。</w:t>
      </w:r>
    </w:p>
    <w:p>
      <w:pPr>
        <w:keepNext w:val="0"/>
        <w:keepLines w:val="0"/>
        <w:pageBreakBefore w:val="0"/>
        <w:kinsoku/>
        <w:wordWrap/>
        <w:overflowPunct/>
        <w:topLinePunct w:val="0"/>
        <w:autoSpaceDE/>
        <w:autoSpaceDN/>
        <w:bidi w:val="0"/>
        <w:adjustRightInd/>
        <w:spacing w:before="156" w:beforeLines="50" w:after="156" w:afterLines="50" w:line="360" w:lineRule="auto"/>
        <w:jc w:val="center"/>
        <w:textAlignment w:val="auto"/>
        <w:rPr>
          <w:rFonts w:hint="eastAsia" w:ascii="宋体" w:hAnsi="宋体" w:cs="仿宋"/>
          <w:color w:val="000000"/>
          <w:sz w:val="24"/>
          <w:shd w:val="clear" w:color="auto" w:fill="FFFFFF"/>
          <w:lang w:val="en-US" w:eastAsia="zh-CN"/>
        </w:rPr>
      </w:pPr>
      <w:r>
        <w:rPr>
          <w:rFonts w:ascii="宋体" w:hAnsi="宋体"/>
          <w:szCs w:val="21"/>
        </w:rPr>
        <w:drawing>
          <wp:anchor distT="0" distB="0" distL="114300" distR="114300" simplePos="0" relativeHeight="251659264" behindDoc="0" locked="0" layoutInCell="1" allowOverlap="1">
            <wp:simplePos x="0" y="0"/>
            <wp:positionH relativeFrom="column">
              <wp:posOffset>62865</wp:posOffset>
            </wp:positionH>
            <wp:positionV relativeFrom="paragraph">
              <wp:posOffset>77470</wp:posOffset>
            </wp:positionV>
            <wp:extent cx="5642610" cy="2059305"/>
            <wp:effectExtent l="0" t="0" r="11430" b="133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42610" cy="2059305"/>
                    </a:xfrm>
                    <a:prstGeom prst="rect">
                      <a:avLst/>
                    </a:prstGeom>
                    <a:noFill/>
                    <a:ln>
                      <a:noFill/>
                    </a:ln>
                  </pic:spPr>
                </pic:pic>
              </a:graphicData>
            </a:graphic>
          </wp:anchor>
        </w:drawing>
      </w:r>
      <w:r>
        <w:rPr>
          <w:rFonts w:hint="eastAsia" w:ascii="宋体" w:hAnsi="宋体" w:cs="仿宋"/>
          <w:color w:val="000000"/>
          <w:sz w:val="24"/>
          <w:shd w:val="clear" w:color="auto" w:fill="FFFFFF"/>
        </w:rPr>
        <w:t>服务流程 图</w:t>
      </w:r>
      <w:r>
        <w:rPr>
          <w:rFonts w:hint="eastAsia" w:ascii="宋体" w:hAnsi="宋体" w:cs="仿宋"/>
          <w:color w:val="000000"/>
          <w:sz w:val="24"/>
          <w:shd w:val="clear" w:color="auto" w:fill="FFFFFF"/>
          <w:lang w:val="en-US" w:eastAsia="zh-CN"/>
        </w:rPr>
        <w:t>1.2</w:t>
      </w:r>
      <w:r>
        <w:rPr>
          <w:rFonts w:hint="eastAsia" w:ascii="宋体" w:hAnsi="宋体" w:cs="仿宋"/>
          <w:color w:val="000000"/>
          <w:sz w:val="24"/>
          <w:shd w:val="clear" w:color="auto" w:fill="FFFFFF"/>
        </w:rPr>
        <w:t>-1</w:t>
      </w:r>
    </w:p>
    <w:p>
      <w:pPr>
        <w:keepNext w:val="0"/>
        <w:keepLines w:val="0"/>
        <w:pageBreakBefore w:val="0"/>
        <w:kinsoku/>
        <w:wordWrap/>
        <w:overflowPunct/>
        <w:topLinePunct w:val="0"/>
        <w:autoSpaceDE/>
        <w:autoSpaceDN/>
        <w:bidi w:val="0"/>
        <w:adjustRightInd/>
        <w:spacing w:before="156" w:beforeLines="50" w:after="156" w:afterLines="50" w:line="360" w:lineRule="auto"/>
        <w:ind w:firstLine="480" w:firstLineChars="200"/>
        <w:textAlignment w:val="auto"/>
        <w:rPr>
          <w:rFonts w:ascii="宋体" w:hAnsi="宋体" w:cs="仿宋"/>
          <w:color w:val="000000"/>
          <w:sz w:val="24"/>
          <w:shd w:val="clear" w:color="auto" w:fill="FFFFFF"/>
        </w:rPr>
      </w:pPr>
      <w:r>
        <w:rPr>
          <w:rFonts w:hint="eastAsia" w:ascii="宋体" w:hAnsi="宋体" w:cs="仿宋"/>
          <w:color w:val="000000"/>
          <w:sz w:val="24"/>
          <w:shd w:val="clear" w:color="auto" w:fill="FFFFFF"/>
          <w:lang w:val="en-US" w:eastAsia="zh-CN"/>
        </w:rPr>
        <w:t>3.</w:t>
      </w:r>
      <w:r>
        <w:rPr>
          <w:rFonts w:hint="eastAsia" w:ascii="宋体" w:hAnsi="宋体" w:cs="仿宋"/>
          <w:color w:val="000000"/>
          <w:sz w:val="24"/>
          <w:shd w:val="clear" w:color="auto" w:fill="FFFFFF"/>
        </w:rPr>
        <w:t>服务地点：江苏省南通女子监狱</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4.</w:t>
      </w:r>
      <w:r>
        <w:rPr>
          <w:rFonts w:hint="eastAsia" w:ascii="宋体" w:hAnsi="宋体" w:cs="仿宋"/>
          <w:color w:val="000000"/>
          <w:sz w:val="24"/>
          <w:shd w:val="clear" w:color="auto" w:fill="FFFFFF"/>
        </w:rPr>
        <w:t>其他服务：重大系统变更现场值守服务,服务期内，移机、机房调整等重大</w:t>
      </w:r>
      <w:r>
        <w:rPr>
          <w:rFonts w:hint="eastAsia" w:ascii="宋体" w:hAnsi="宋体" w:eastAsia="宋体" w:cs="仿宋"/>
          <w:color w:val="000000"/>
          <w:sz w:val="24"/>
          <w:shd w:val="clear" w:color="auto" w:fill="FFFFFF"/>
        </w:rPr>
        <w:t>系统变更事件时，维保公司须对参保设备提供设备移动、安装调试、配置调整、辅助工具软件安装等现场服务。对于不属于维保公司维护设备范围内设备，应现场配合用户及其他厂商，并提供必要的辅助服务。</w:t>
      </w:r>
      <w:bookmarkEnd w:id="3"/>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Times New Roman" w:hAnsi="Times New Roman" w:eastAsia="宋体" w:cs="宋体"/>
          <w:b/>
          <w:bCs/>
          <w:kern w:val="2"/>
          <w:sz w:val="24"/>
          <w:szCs w:val="24"/>
        </w:rPr>
      </w:pPr>
      <w:bookmarkStart w:id="4" w:name="_Toc176517171"/>
      <w:r>
        <w:rPr>
          <w:rFonts w:hint="eastAsia" w:ascii="Times New Roman" w:hAnsi="Times New Roman" w:eastAsia="宋体" w:cs="宋体"/>
          <w:b/>
          <w:bCs/>
          <w:kern w:val="2"/>
          <w:sz w:val="24"/>
          <w:szCs w:val="24"/>
          <w:lang w:val="en-US" w:eastAsia="zh-CN"/>
        </w:rPr>
        <w:t>（二）</w:t>
      </w:r>
      <w:r>
        <w:rPr>
          <w:rFonts w:hint="eastAsia" w:ascii="Times New Roman" w:hAnsi="Times New Roman" w:eastAsia="宋体" w:cs="宋体"/>
          <w:b/>
          <w:bCs/>
          <w:kern w:val="2"/>
          <w:sz w:val="24"/>
          <w:szCs w:val="24"/>
        </w:rPr>
        <w:t>项目验收要求</w:t>
      </w:r>
      <w:bookmarkEnd w:id="4"/>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lang w:eastAsia="zh-CN"/>
        </w:rPr>
      </w:pPr>
      <w:r>
        <w:rPr>
          <w:rFonts w:hint="eastAsia" w:ascii="宋体" w:hAnsi="宋体" w:eastAsia="宋体" w:cs="仿宋"/>
          <w:color w:val="000000"/>
          <w:sz w:val="24"/>
          <w:shd w:val="clear" w:color="auto" w:fill="FFFFFF"/>
          <w:lang w:eastAsia="zh-CN"/>
        </w:rPr>
        <w:t>验收分为三阶段，第一阶段装修验收，第二阶段到货验收，第三阶段项目验收：</w:t>
      </w:r>
    </w:p>
    <w:p>
      <w:pPr>
        <w:keepNext w:val="0"/>
        <w:keepLines w:val="0"/>
        <w:pageBreakBefore w:val="0"/>
        <w:numPr>
          <w:ilvl w:val="0"/>
          <w:numId w:val="0"/>
        </w:numPr>
        <w:shd w:val="clear"/>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宋体" w:hAnsi="宋体" w:eastAsia="宋体" w:cs="仿宋"/>
          <w:b/>
          <w:bCs/>
          <w:color w:val="000000"/>
          <w:sz w:val="24"/>
          <w:shd w:val="clear" w:color="auto" w:fill="FFFFFF"/>
        </w:rPr>
      </w:pPr>
      <w:r>
        <w:rPr>
          <w:rFonts w:hint="eastAsia" w:ascii="宋体" w:hAnsi="宋体" w:eastAsia="宋体" w:cs="仿宋"/>
          <w:b/>
          <w:bCs/>
          <w:color w:val="000000"/>
          <w:sz w:val="24"/>
          <w:shd w:val="clear" w:color="auto" w:fill="FFFFFF"/>
          <w:lang w:val="en-US" w:eastAsia="zh-CN"/>
        </w:rPr>
        <w:t>1.</w:t>
      </w:r>
      <w:r>
        <w:rPr>
          <w:rFonts w:hint="eastAsia" w:ascii="宋体" w:hAnsi="宋体" w:eastAsia="宋体" w:cs="仿宋"/>
          <w:b/>
          <w:bCs/>
          <w:color w:val="000000"/>
          <w:sz w:val="24"/>
          <w:shd w:val="clear" w:color="auto" w:fill="FFFFFF"/>
        </w:rPr>
        <w:t>第一阶段：</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仿宋"/>
          <w:color w:val="000000"/>
          <w:sz w:val="24"/>
          <w:shd w:val="clear" w:color="auto" w:fill="FFFFFF"/>
          <w:lang w:val="en-US" w:eastAsia="zh-CN"/>
        </w:rPr>
      </w:pPr>
      <w:r>
        <w:rPr>
          <w:rFonts w:hint="eastAsia" w:ascii="宋体" w:hAnsi="宋体" w:eastAsia="宋体" w:cs="仿宋"/>
          <w:color w:val="000000"/>
          <w:sz w:val="24"/>
          <w:shd w:val="clear" w:color="auto" w:fill="FFFFFF"/>
          <w:lang w:val="en-US" w:eastAsia="zh-CN"/>
        </w:rPr>
        <w:t>1.1按照现行的相关施工规范和验收规范进行验收。</w:t>
      </w:r>
    </w:p>
    <w:p>
      <w:pPr>
        <w:keepNext w:val="0"/>
        <w:keepLines w:val="0"/>
        <w:pageBreakBefore w:val="0"/>
        <w:numPr>
          <w:ilvl w:val="0"/>
          <w:numId w:val="0"/>
        </w:numPr>
        <w:shd w:val="clear"/>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宋体" w:hAnsi="宋体" w:eastAsia="宋体" w:cs="仿宋"/>
          <w:b/>
          <w:bCs/>
          <w:color w:val="000000"/>
          <w:sz w:val="24"/>
          <w:shd w:val="clear" w:color="auto" w:fill="FFFFFF"/>
        </w:rPr>
      </w:pPr>
      <w:r>
        <w:rPr>
          <w:rFonts w:hint="eastAsia" w:ascii="宋体" w:hAnsi="宋体" w:eastAsia="宋体" w:cs="仿宋"/>
          <w:b/>
          <w:bCs/>
          <w:color w:val="000000"/>
          <w:kern w:val="2"/>
          <w:sz w:val="24"/>
          <w:szCs w:val="24"/>
          <w:shd w:val="clear" w:fill="FFFFFF"/>
          <w:lang w:val="en-US" w:eastAsia="zh-CN" w:bidi="ar-SA"/>
        </w:rPr>
        <w:t>2.</w:t>
      </w:r>
      <w:r>
        <w:rPr>
          <w:rFonts w:hint="eastAsia" w:ascii="宋体" w:hAnsi="宋体" w:eastAsia="宋体" w:cs="仿宋"/>
          <w:b/>
          <w:bCs/>
          <w:color w:val="000000"/>
          <w:sz w:val="24"/>
          <w:shd w:val="clear" w:color="auto" w:fill="FFFFFF"/>
        </w:rPr>
        <w:t>第</w:t>
      </w:r>
      <w:r>
        <w:rPr>
          <w:rFonts w:hint="eastAsia" w:ascii="宋体" w:hAnsi="宋体" w:cs="仿宋"/>
          <w:b/>
          <w:bCs/>
          <w:color w:val="000000"/>
          <w:sz w:val="24"/>
          <w:shd w:val="clear" w:color="auto" w:fill="FFFFFF"/>
          <w:lang w:eastAsia="zh-CN"/>
        </w:rPr>
        <w:t>二</w:t>
      </w:r>
      <w:r>
        <w:rPr>
          <w:rFonts w:hint="eastAsia" w:ascii="宋体" w:hAnsi="宋体" w:eastAsia="宋体" w:cs="仿宋"/>
          <w:b/>
          <w:bCs/>
          <w:color w:val="000000"/>
          <w:sz w:val="24"/>
          <w:shd w:val="clear" w:color="auto" w:fill="FFFFFF"/>
        </w:rPr>
        <w:t>阶段：到货验收</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 xml:space="preserve">.1 出厂检验：货物在出厂前都必须作出厂前测试。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.2 验收时间：货物到达后，由采购人初步验收合格后</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 xml:space="preserve">才可进行安装，货物的参数应符合投标文件技术参数响应要求。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 xml:space="preserve">.3验收标准：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 xml:space="preserve">.4 交付验收标准依次序对照适用标准为：①符合中华人民共和国国家安全质量标准、环保标准或行业标准；②符合招标文件和响应承诺中采购人认可的合理最佳配置、参数及各项要求。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 xml:space="preserve">.5货物为原厂商未启封全新包装，具出厂合格证，序列号、包装箱号与出厂批号一致，并可追索查阅。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.6</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 xml:space="preserve">应将关键设备的用户手册、保修手册、有关单证资料等交付给采购人，使用操作及安全须知等重要资料应附有中文说明。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宋体" w:hAnsi="宋体" w:eastAsia="宋体" w:cs="仿宋"/>
          <w:color w:val="000000"/>
          <w:sz w:val="24"/>
          <w:shd w:val="clear" w:color="auto" w:fill="FFFFFF"/>
        </w:rPr>
      </w:pPr>
      <w:r>
        <w:rPr>
          <w:rFonts w:hint="eastAsia" w:ascii="宋体" w:hAnsi="宋体" w:cs="仿宋"/>
          <w:b/>
          <w:bCs/>
          <w:color w:val="000000"/>
          <w:sz w:val="24"/>
          <w:shd w:val="clear" w:color="auto" w:fill="FFFFFF"/>
          <w:lang w:val="en-US" w:eastAsia="zh-CN"/>
        </w:rPr>
        <w:t>3</w:t>
      </w:r>
      <w:r>
        <w:rPr>
          <w:rFonts w:hint="eastAsia" w:ascii="宋体" w:hAnsi="宋体" w:eastAsia="宋体" w:cs="仿宋"/>
          <w:b/>
          <w:bCs/>
          <w:color w:val="000000"/>
          <w:sz w:val="24"/>
          <w:shd w:val="clear" w:color="auto" w:fill="FFFFFF"/>
        </w:rPr>
        <w:t>.第</w:t>
      </w:r>
      <w:r>
        <w:rPr>
          <w:rFonts w:hint="eastAsia" w:ascii="宋体" w:hAnsi="宋体" w:cs="仿宋"/>
          <w:b/>
          <w:bCs/>
          <w:color w:val="000000"/>
          <w:sz w:val="24"/>
          <w:shd w:val="clear" w:color="auto" w:fill="FFFFFF"/>
          <w:lang w:eastAsia="zh-CN"/>
        </w:rPr>
        <w:t>三</w:t>
      </w:r>
      <w:r>
        <w:rPr>
          <w:rFonts w:hint="eastAsia" w:ascii="宋体" w:hAnsi="宋体" w:eastAsia="宋体" w:cs="仿宋"/>
          <w:b/>
          <w:bCs/>
          <w:color w:val="000000"/>
          <w:sz w:val="24"/>
          <w:shd w:val="clear" w:color="auto" w:fill="FFFFFF"/>
        </w:rPr>
        <w:t>阶段：项目验收</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3</w:t>
      </w:r>
      <w:r>
        <w:rPr>
          <w:rFonts w:hint="eastAsia" w:ascii="宋体" w:hAnsi="宋体" w:eastAsia="宋体" w:cs="仿宋"/>
          <w:color w:val="000000"/>
          <w:sz w:val="24"/>
          <w:shd w:val="clear" w:color="auto" w:fill="FFFFFF"/>
        </w:rPr>
        <w:t>.1项目质量控制标准：本项目要求严格按照国家有关设备安装及验收规范、技术标准进行安装施工，符合国家颁发的有关质量验评标准，质量等级为合格。</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在安装施工中如果质量不符合设计要求和有关规定，采购人要求停工和返工时，</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 xml:space="preserve">必须立即执行，并承担由此产生的各种费用，交货期不予顺延。安全文明施工要求按有关规定执行。 </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color w:val="000000"/>
          <w:sz w:val="24"/>
          <w:shd w:val="clear" w:color="auto" w:fill="FFFFFF"/>
          <w:lang w:val="en-US" w:eastAsia="zh-CN"/>
        </w:rPr>
        <w:t>3</w:t>
      </w:r>
      <w:r>
        <w:rPr>
          <w:rFonts w:hint="eastAsia" w:ascii="宋体" w:hAnsi="宋体" w:eastAsia="宋体" w:cs="仿宋"/>
          <w:color w:val="000000"/>
          <w:sz w:val="24"/>
          <w:shd w:val="clear" w:color="auto" w:fill="FFFFFF"/>
        </w:rPr>
        <w:t>.2按照国家有关施工及验收规范的约定标准、规范进行质量验收。若</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有违反操作规程和标准规范或施工质量不符合规定的，采购人有权令其停止（或暂停）项目，由此造成的损失均由</w:t>
      </w:r>
      <w:r>
        <w:rPr>
          <w:rFonts w:hint="eastAsia" w:ascii="宋体" w:hAnsi="宋体" w:eastAsia="宋体" w:cs="仿宋"/>
          <w:color w:val="000000"/>
          <w:sz w:val="24"/>
          <w:shd w:val="clear" w:color="auto" w:fill="FFFFFF"/>
          <w:lang w:eastAsia="zh-CN"/>
        </w:rPr>
        <w:t>成交供应商</w:t>
      </w:r>
      <w:r>
        <w:rPr>
          <w:rFonts w:hint="eastAsia" w:ascii="宋体" w:hAnsi="宋体" w:eastAsia="宋体" w:cs="仿宋"/>
          <w:color w:val="000000"/>
          <w:sz w:val="24"/>
          <w:shd w:val="clear" w:color="auto" w:fill="FFFFFF"/>
        </w:rPr>
        <w:t>负责。</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宋体" w:hAnsi="宋体" w:eastAsia="宋体" w:cs="仿宋"/>
          <w:b/>
          <w:bCs/>
          <w:color w:val="000000"/>
          <w:sz w:val="24"/>
          <w:shd w:val="clear" w:color="auto" w:fill="FFFFFF"/>
        </w:rPr>
      </w:pPr>
      <w:r>
        <w:rPr>
          <w:rFonts w:hint="eastAsia" w:ascii="宋体" w:hAnsi="宋体" w:cs="仿宋"/>
          <w:b/>
          <w:bCs/>
          <w:color w:val="000000"/>
          <w:sz w:val="24"/>
          <w:shd w:val="clear" w:color="auto" w:fill="FFFFFF"/>
          <w:lang w:val="en-US" w:eastAsia="zh-CN"/>
        </w:rPr>
        <w:t>（三）</w:t>
      </w:r>
      <w:r>
        <w:rPr>
          <w:rFonts w:hint="eastAsia" w:ascii="Times New Roman" w:hAnsi="Times New Roman" w:cs="宋体"/>
          <w:b/>
          <w:bCs/>
          <w:kern w:val="2"/>
          <w:sz w:val="24"/>
          <w:szCs w:val="24"/>
        </w:rPr>
        <w:t>采购标的付款方式</w:t>
      </w:r>
    </w:p>
    <w:p>
      <w:pPr>
        <w:keepNext w:val="0"/>
        <w:keepLines w:val="0"/>
        <w:pageBreakBefore w:val="0"/>
        <w:shd w:val="clea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eastAsia="宋体" w:cs="仿宋"/>
          <w:color w:val="000000"/>
          <w:sz w:val="24"/>
          <w:shd w:val="clear" w:color="auto" w:fill="FFFFFF"/>
        </w:rPr>
        <w:t>▲签订合同</w:t>
      </w:r>
      <w:r>
        <w:rPr>
          <w:rFonts w:hint="eastAsia" w:ascii="宋体" w:hAnsi="宋体" w:eastAsia="宋体" w:cs="仿宋"/>
          <w:color w:val="000000"/>
          <w:sz w:val="24"/>
          <w:shd w:val="clear" w:color="auto" w:fill="FFFFFF"/>
          <w:lang w:eastAsia="zh-CN"/>
        </w:rPr>
        <w:t>、提交履约保证金、进场后</w:t>
      </w:r>
      <w:r>
        <w:rPr>
          <w:rFonts w:hint="eastAsia" w:ascii="宋体" w:hAnsi="宋体" w:eastAsia="宋体" w:cs="仿宋"/>
          <w:color w:val="000000"/>
          <w:sz w:val="24"/>
          <w:shd w:val="clear" w:color="auto" w:fill="FFFFFF"/>
        </w:rPr>
        <w:t>14天内支付合同价款的</w:t>
      </w:r>
      <w:r>
        <w:rPr>
          <w:rFonts w:hint="eastAsia" w:ascii="宋体" w:hAnsi="宋体" w:eastAsia="宋体" w:cs="仿宋"/>
          <w:color w:val="000000"/>
          <w:sz w:val="24"/>
          <w:shd w:val="clear" w:color="auto" w:fill="FFFFFF"/>
          <w:lang w:val="en-US" w:eastAsia="zh-CN"/>
        </w:rPr>
        <w:t>2</w:t>
      </w:r>
      <w:r>
        <w:rPr>
          <w:rFonts w:hint="eastAsia" w:ascii="宋体" w:hAnsi="宋体" w:eastAsia="宋体" w:cs="仿宋"/>
          <w:color w:val="000000"/>
          <w:sz w:val="24"/>
          <w:shd w:val="clear" w:color="auto" w:fill="FFFFFF"/>
        </w:rPr>
        <w:t>0%；</w:t>
      </w:r>
      <w:r>
        <w:rPr>
          <w:rFonts w:hint="eastAsia" w:ascii="宋体" w:hAnsi="宋体" w:eastAsia="宋体" w:cs="仿宋"/>
          <w:color w:val="000000"/>
          <w:sz w:val="24"/>
          <w:shd w:val="clear" w:color="auto" w:fill="FFFFFF"/>
          <w:lang w:eastAsia="zh-CN"/>
        </w:rPr>
        <w:t>装修部分验收合格、</w:t>
      </w:r>
      <w:r>
        <w:rPr>
          <w:rFonts w:hint="eastAsia" w:ascii="宋体" w:hAnsi="宋体" w:eastAsia="宋体" w:cs="仿宋"/>
          <w:color w:val="000000"/>
          <w:sz w:val="24"/>
          <w:shd w:val="clear" w:color="auto" w:fill="FFFFFF"/>
        </w:rPr>
        <w:t>主要设备进场经验收合格后14天内支付合同价款的</w:t>
      </w:r>
      <w:r>
        <w:rPr>
          <w:rFonts w:hint="eastAsia" w:ascii="宋体" w:hAnsi="宋体" w:eastAsia="宋体" w:cs="仿宋"/>
          <w:color w:val="000000"/>
          <w:sz w:val="24"/>
          <w:shd w:val="clear" w:color="auto" w:fill="FFFFFF"/>
          <w:lang w:val="en-US" w:eastAsia="zh-CN"/>
        </w:rPr>
        <w:t>6</w:t>
      </w:r>
      <w:r>
        <w:rPr>
          <w:rFonts w:hint="eastAsia" w:ascii="宋体" w:hAnsi="宋体" w:eastAsia="宋体" w:cs="仿宋"/>
          <w:color w:val="000000"/>
          <w:sz w:val="24"/>
          <w:shd w:val="clear" w:color="auto" w:fill="FFFFFF"/>
        </w:rPr>
        <w:t>0%；安装调试完毕验收合格付至审计价款的</w:t>
      </w:r>
      <w:r>
        <w:rPr>
          <w:rFonts w:hint="eastAsia" w:ascii="宋体" w:hAnsi="宋体" w:eastAsia="宋体" w:cs="仿宋"/>
          <w:color w:val="000000"/>
          <w:sz w:val="24"/>
          <w:shd w:val="clear" w:color="auto" w:fill="FFFFFF"/>
          <w:lang w:val="en-US" w:eastAsia="zh-CN"/>
        </w:rPr>
        <w:t>100</w:t>
      </w:r>
      <w:r>
        <w:rPr>
          <w:rFonts w:hint="eastAsia" w:ascii="宋体" w:hAnsi="宋体" w:eastAsia="宋体" w:cs="仿宋"/>
          <w:color w:val="000000"/>
          <w:sz w:val="24"/>
          <w:shd w:val="clear" w:color="auto" w:fill="FFFFFF"/>
        </w:rPr>
        <w:t>%，</w:t>
      </w:r>
      <w:r>
        <w:rPr>
          <w:rFonts w:hint="eastAsia" w:ascii="宋体" w:hAnsi="宋体" w:eastAsia="宋体" w:cs="仿宋"/>
          <w:color w:val="000000"/>
          <w:sz w:val="24"/>
          <w:shd w:val="clear" w:color="auto" w:fill="FFFFFF"/>
          <w:lang w:eastAsia="zh-CN"/>
        </w:rPr>
        <w:t>同时提交审计价款的</w:t>
      </w:r>
      <w:r>
        <w:rPr>
          <w:rFonts w:hint="eastAsia" w:ascii="宋体" w:hAnsi="宋体" w:eastAsia="宋体" w:cs="仿宋"/>
          <w:color w:val="000000"/>
          <w:sz w:val="24"/>
          <w:shd w:val="clear" w:color="auto" w:fill="FFFFFF"/>
          <w:lang w:val="en-US" w:eastAsia="zh-CN"/>
        </w:rPr>
        <w:t>3%作为质保金，</w:t>
      </w:r>
      <w:r>
        <w:rPr>
          <w:rFonts w:hint="eastAsia" w:ascii="宋体" w:hAnsi="宋体" w:eastAsia="宋体" w:cs="仿宋"/>
          <w:color w:val="000000"/>
          <w:sz w:val="24"/>
          <w:shd w:val="clear" w:color="auto" w:fill="FFFFFF"/>
        </w:rPr>
        <w:t>自验收合格之日起</w:t>
      </w:r>
      <w:r>
        <w:rPr>
          <w:rFonts w:hint="eastAsia" w:ascii="宋体" w:hAnsi="宋体" w:eastAsia="宋体" w:cs="仿宋"/>
          <w:color w:val="000000"/>
          <w:sz w:val="24"/>
          <w:shd w:val="clear" w:color="auto" w:fill="FFFFFF"/>
          <w:lang w:eastAsia="zh-CN"/>
        </w:rPr>
        <w:t>三</w:t>
      </w:r>
      <w:r>
        <w:rPr>
          <w:rFonts w:hint="eastAsia" w:ascii="宋体" w:hAnsi="宋体" w:eastAsia="宋体" w:cs="仿宋"/>
          <w:color w:val="000000"/>
          <w:sz w:val="24"/>
          <w:shd w:val="clear" w:color="auto" w:fill="FFFFFF"/>
        </w:rPr>
        <w:t>年内服务无质量问题，</w:t>
      </w:r>
      <w:r>
        <w:rPr>
          <w:rFonts w:hint="eastAsia" w:ascii="宋体" w:hAnsi="宋体" w:eastAsia="宋体" w:cs="仿宋"/>
          <w:color w:val="000000"/>
          <w:sz w:val="24"/>
          <w:shd w:val="clear" w:color="auto" w:fill="FFFFFF"/>
          <w:lang w:eastAsia="zh-CN"/>
        </w:rPr>
        <w:t>退还质保金（无息）</w:t>
      </w:r>
      <w:r>
        <w:rPr>
          <w:rFonts w:hint="eastAsia" w:ascii="宋体" w:hAnsi="宋体" w:eastAsia="宋体" w:cs="仿宋"/>
          <w:color w:val="000000"/>
          <w:sz w:val="24"/>
          <w:shd w:val="clear" w:color="auto" w:fill="FFFFFF"/>
        </w:rPr>
        <w:t>。如在保修期内有质量问题经维修后保修期顺延。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仿宋"/>
          <w:b/>
          <w:bCs w:val="0"/>
          <w:color w:val="000000"/>
          <w:sz w:val="24"/>
          <w:shd w:val="clear" w:color="auto" w:fill="FFFFFF"/>
        </w:rPr>
      </w:pPr>
      <w:r>
        <w:rPr>
          <w:rFonts w:hint="eastAsia" w:ascii="宋体" w:hAnsi="宋体" w:cs="仿宋"/>
          <w:b/>
          <w:bCs w:val="0"/>
          <w:color w:val="000000"/>
          <w:kern w:val="2"/>
          <w:sz w:val="24"/>
          <w:szCs w:val="24"/>
          <w:shd w:val="clear" w:fill="FFFFFF"/>
          <w:lang w:val="en-US" w:eastAsia="zh-CN" w:bidi="ar-SA"/>
        </w:rPr>
        <w:t>（四）</w:t>
      </w:r>
      <w:r>
        <w:rPr>
          <w:rFonts w:hint="eastAsia" w:ascii="宋体" w:hAnsi="宋体" w:cs="仿宋"/>
          <w:b/>
          <w:bCs w:val="0"/>
          <w:color w:val="000000"/>
          <w:sz w:val="24"/>
          <w:shd w:val="clear" w:color="auto" w:fill="FFFFFF"/>
        </w:rPr>
        <w:t>工期</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rPr>
      </w:pPr>
      <w:r>
        <w:rPr>
          <w:rFonts w:hint="eastAsia" w:ascii="宋体" w:hAnsi="宋体" w:cs="仿宋"/>
          <w:bCs/>
          <w:color w:val="000000"/>
          <w:sz w:val="24"/>
          <w:shd w:val="clear" w:color="auto" w:fill="FFFFFF"/>
        </w:rPr>
        <w:t>工期</w:t>
      </w:r>
      <w:r>
        <w:rPr>
          <w:rFonts w:hint="eastAsia" w:ascii="宋体" w:hAnsi="宋体" w:cs="仿宋"/>
          <w:bCs/>
          <w:color w:val="000000"/>
          <w:sz w:val="24"/>
          <w:shd w:val="clear" w:color="auto" w:fill="FFFFFF"/>
          <w:lang w:eastAsia="zh-CN"/>
        </w:rPr>
        <w:t>：</w:t>
      </w:r>
      <w:r>
        <w:rPr>
          <w:rFonts w:hint="eastAsia" w:ascii="宋体" w:hAnsi="宋体" w:eastAsia="宋体" w:cs="仿宋"/>
          <w:color w:val="000000"/>
          <w:sz w:val="24"/>
          <w:shd w:val="clear" w:color="auto" w:fill="FFFFFF"/>
        </w:rPr>
        <w:t>合同签订后两个月内完成。</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2" w:firstLineChars="200"/>
        <w:textAlignment w:val="auto"/>
        <w:rPr>
          <w:rFonts w:hint="eastAsia" w:ascii="Times New Roman" w:hAnsi="Times New Roman" w:eastAsia="宋体" w:cs="宋体"/>
          <w:b/>
          <w:bCs/>
          <w:kern w:val="2"/>
          <w:sz w:val="24"/>
          <w:szCs w:val="24"/>
          <w:lang w:val="en-US" w:eastAsia="zh-CN"/>
        </w:rPr>
      </w:pPr>
      <w:r>
        <w:rPr>
          <w:rFonts w:hint="eastAsia" w:cs="宋体"/>
          <w:b/>
          <w:bCs/>
          <w:kern w:val="2"/>
          <w:sz w:val="24"/>
          <w:szCs w:val="24"/>
          <w:lang w:val="en-US" w:eastAsia="zh-CN"/>
        </w:rPr>
        <w:t>（五）</w:t>
      </w:r>
      <w:r>
        <w:rPr>
          <w:rFonts w:hint="eastAsia" w:ascii="Times New Roman" w:hAnsi="Times New Roman" w:eastAsia="宋体" w:cs="宋体"/>
          <w:b/>
          <w:bCs/>
          <w:kern w:val="2"/>
          <w:sz w:val="24"/>
          <w:szCs w:val="24"/>
          <w:lang w:val="en-US" w:eastAsia="zh-CN"/>
        </w:rPr>
        <w:t>履约保证金</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仿宋"/>
          <w:color w:val="000000"/>
          <w:sz w:val="24"/>
          <w:u w:val="single"/>
          <w:shd w:val="clear" w:color="auto" w:fill="FFFFFF"/>
          <w:lang w:val="en-US" w:eastAsia="zh-CN"/>
        </w:rPr>
      </w:pPr>
      <w:r>
        <w:rPr>
          <w:rFonts w:hint="eastAsia" w:ascii="宋体" w:hAnsi="宋体" w:cs="仿宋"/>
          <w:color w:val="000000"/>
          <w:sz w:val="24"/>
          <w:shd w:val="clear" w:color="auto" w:fill="FFFFFF"/>
          <w:lang w:val="en-US" w:eastAsia="zh-CN"/>
        </w:rPr>
        <w:t>1.</w:t>
      </w:r>
      <w:r>
        <w:rPr>
          <w:rFonts w:hint="eastAsia" w:ascii="宋体" w:hAnsi="宋体" w:eastAsia="宋体" w:cs="仿宋"/>
          <w:color w:val="000000"/>
          <w:sz w:val="24"/>
          <w:shd w:val="clear" w:color="auto" w:fill="FFFFFF"/>
          <w:lang w:val="en-US" w:eastAsia="zh-CN"/>
        </w:rPr>
        <w:t>履约保证金是否收取：</w:t>
      </w:r>
      <w:r>
        <w:rPr>
          <w:rFonts w:hint="eastAsia" w:ascii="宋体" w:hAnsi="宋体" w:eastAsia="宋体" w:cs="仿宋"/>
          <w:color w:val="000000"/>
          <w:sz w:val="24"/>
          <w:u w:val="single"/>
          <w:shd w:val="clear" w:color="auto" w:fill="FFFFFF"/>
          <w:lang w:val="en-US" w:eastAsia="zh-CN"/>
        </w:rPr>
        <w:t xml:space="preserve"> 是</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仿宋"/>
          <w:color w:val="000000"/>
          <w:sz w:val="24"/>
          <w:shd w:val="clear" w:color="auto" w:fill="FFFFFF"/>
          <w:lang w:val="en-US" w:eastAsia="zh-CN"/>
        </w:rPr>
      </w:pPr>
      <w:r>
        <w:rPr>
          <w:rFonts w:hint="eastAsia" w:ascii="宋体" w:hAnsi="宋体" w:cs="仿宋"/>
          <w:color w:val="000000"/>
          <w:sz w:val="24"/>
          <w:shd w:val="clear" w:color="auto" w:fill="FFFFFF"/>
          <w:lang w:val="en-US" w:eastAsia="zh-CN"/>
        </w:rPr>
        <w:t>2.</w:t>
      </w:r>
      <w:r>
        <w:rPr>
          <w:rFonts w:hint="eastAsia" w:ascii="宋体" w:hAnsi="宋体" w:eastAsia="宋体" w:cs="仿宋"/>
          <w:color w:val="000000"/>
          <w:sz w:val="24"/>
          <w:shd w:val="clear" w:color="auto" w:fill="FFFFFF"/>
          <w:lang w:val="en-US" w:eastAsia="zh-CN"/>
        </w:rPr>
        <w:t>履约保证金的数额：本项目成交后的履约保证金为项目成交价的</w:t>
      </w:r>
      <w:r>
        <w:rPr>
          <w:rFonts w:hint="eastAsia" w:ascii="宋体" w:hAnsi="宋体" w:eastAsia="宋体" w:cs="仿宋"/>
          <w:color w:val="000000"/>
          <w:sz w:val="24"/>
          <w:u w:val="single"/>
          <w:shd w:val="clear" w:color="auto" w:fill="FFFFFF"/>
          <w:lang w:val="en-US" w:eastAsia="zh-CN"/>
        </w:rPr>
        <w:t>10%，其中质量5%、工期3%、安全2%</w:t>
      </w:r>
      <w:r>
        <w:rPr>
          <w:rFonts w:hint="eastAsia" w:ascii="宋体" w:hAnsi="宋体" w:eastAsia="宋体" w:cs="仿宋"/>
          <w:color w:val="000000"/>
          <w:sz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lang w:val="en-US" w:eastAsia="zh-CN"/>
        </w:rPr>
      </w:pPr>
      <w:r>
        <w:rPr>
          <w:rFonts w:hint="eastAsia" w:ascii="宋体" w:hAnsi="宋体" w:cs="仿宋"/>
          <w:color w:val="000000"/>
          <w:sz w:val="24"/>
          <w:shd w:val="clear" w:color="auto" w:fill="FFFFFF"/>
          <w:lang w:val="en-US" w:eastAsia="zh-CN"/>
        </w:rPr>
        <w:t>3.</w:t>
      </w:r>
      <w:r>
        <w:rPr>
          <w:rFonts w:hint="eastAsia" w:ascii="宋体" w:hAnsi="宋体" w:eastAsia="宋体" w:cs="仿宋"/>
          <w:color w:val="000000"/>
          <w:sz w:val="24"/>
          <w:shd w:val="clear" w:color="auto" w:fill="FFFFFF"/>
          <w:lang w:val="en-US" w:eastAsia="zh-CN"/>
        </w:rPr>
        <w:t>缴纳履约保证金时间：成交供应商在成交通知书发出之日起</w:t>
      </w:r>
      <w:r>
        <w:rPr>
          <w:rFonts w:hint="eastAsia" w:ascii="宋体" w:hAnsi="宋体" w:eastAsia="宋体" w:cs="仿宋"/>
          <w:color w:val="000000"/>
          <w:sz w:val="24"/>
          <w:u w:val="single"/>
          <w:shd w:val="clear" w:color="auto" w:fill="FFFFFF"/>
          <w:lang w:val="en-US" w:eastAsia="zh-CN"/>
        </w:rPr>
        <w:t>7日</w:t>
      </w:r>
      <w:r>
        <w:rPr>
          <w:rFonts w:hint="eastAsia" w:ascii="宋体" w:hAnsi="宋体" w:eastAsia="宋体" w:cs="仿宋"/>
          <w:color w:val="000000"/>
          <w:sz w:val="24"/>
          <w:shd w:val="clear" w:color="auto" w:fill="FFFFFF"/>
          <w:lang w:val="en-US" w:eastAsia="zh-CN"/>
        </w:rPr>
        <w:t>内。</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lang w:val="en-US" w:eastAsia="zh-CN"/>
        </w:rPr>
      </w:pPr>
      <w:r>
        <w:rPr>
          <w:rFonts w:hint="eastAsia" w:ascii="宋体" w:hAnsi="宋体" w:cs="仿宋"/>
          <w:color w:val="000000"/>
          <w:sz w:val="24"/>
          <w:shd w:val="clear" w:color="auto" w:fill="FFFFFF"/>
          <w:lang w:val="en-US" w:eastAsia="zh-CN"/>
        </w:rPr>
        <w:t>4.</w:t>
      </w:r>
      <w:r>
        <w:rPr>
          <w:rFonts w:hint="eastAsia" w:ascii="宋体" w:hAnsi="宋体" w:eastAsia="宋体" w:cs="仿宋"/>
          <w:color w:val="000000"/>
          <w:sz w:val="24"/>
          <w:shd w:val="clear" w:color="auto" w:fill="FFFFFF"/>
          <w:lang w:val="en-US" w:eastAsia="zh-CN"/>
        </w:rPr>
        <w:t>缴纳履约保证金形式：</w:t>
      </w:r>
      <w:r>
        <w:rPr>
          <w:rFonts w:hint="eastAsia" w:ascii="宋体" w:hAnsi="宋体" w:eastAsia="宋体" w:cs="仿宋"/>
          <w:color w:val="000000"/>
          <w:sz w:val="24"/>
          <w:u w:val="single"/>
          <w:shd w:val="clear" w:color="auto" w:fill="FFFFFF"/>
          <w:lang w:val="en-US" w:eastAsia="zh-CN"/>
        </w:rPr>
        <w:t>支票、汇票、本票或者金融机构、担保机构出具的保函、履约保证金保险  等非现金形式。</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lang w:val="en-US" w:eastAsia="zh-CN"/>
        </w:rPr>
      </w:pPr>
      <w:r>
        <w:rPr>
          <w:rFonts w:hint="eastAsia" w:ascii="宋体" w:hAnsi="宋体" w:eastAsia="宋体" w:cs="仿宋"/>
          <w:color w:val="000000"/>
          <w:sz w:val="24"/>
          <w:shd w:val="clear" w:color="auto" w:fill="FFFFFF"/>
          <w:lang w:val="en-US" w:eastAsia="zh-CN"/>
        </w:rPr>
        <w:t>5.履约保证金用以约束成交供应商在合同履行中的行为，弥补合同执行中由于自身行为可能给采购人带来的各种损失。如果成交供应商不能够按照规定去做，采购人有权取消本次采购决定。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仿宋"/>
          <w:color w:val="000000"/>
          <w:sz w:val="24"/>
          <w:shd w:val="clear" w:color="auto" w:fill="FFFFFF"/>
          <w:lang w:val="en-US" w:eastAsia="zh-CN"/>
        </w:rPr>
      </w:pPr>
      <w:r>
        <w:rPr>
          <w:rFonts w:hint="eastAsia" w:ascii="宋体" w:hAnsi="宋体" w:eastAsia="宋体" w:cs="仿宋"/>
          <w:color w:val="000000"/>
          <w:sz w:val="24"/>
          <w:shd w:val="clear" w:color="auto" w:fill="FFFFFF"/>
          <w:lang w:val="en-US" w:eastAsia="zh-CN"/>
        </w:rPr>
        <w:t>6.履约保证金的退还：合同履行结束，验收合格，成交供应商提出申请，办理保证金退还手续（无息）。成交供应商在履约过程中质量、工期、安全任何方面出现不符合合同约定的情况的，采购人有权扣除相应的履约保证金。</w:t>
      </w:r>
    </w:p>
    <w:p>
      <w:pPr>
        <w:pStyle w:val="22"/>
        <w:keepNext w:val="0"/>
        <w:keepLines w:val="0"/>
        <w:pageBreakBefore w:val="0"/>
        <w:spacing w:line="360" w:lineRule="auto"/>
        <w:rPr>
          <w:rFonts w:hint="eastAsia" w:ascii="宋体" w:hAnsi="宋体" w:eastAsia="宋体" w:cs="宋体"/>
          <w:b/>
          <w:bCs/>
          <w:color w:val="auto"/>
          <w:spacing w:val="0"/>
          <w:sz w:val="24"/>
          <w:szCs w:val="24"/>
          <w:highlight w:val="none"/>
        </w:rPr>
      </w:pPr>
      <w:r>
        <w:rPr>
          <w:rFonts w:hint="eastAsia" w:ascii="宋体" w:hAnsi="宋体" w:cs="宋体"/>
          <w:b/>
          <w:bCs/>
          <w:color w:val="auto"/>
          <w:spacing w:val="0"/>
          <w:sz w:val="24"/>
          <w:szCs w:val="24"/>
          <w:highlight w:val="none"/>
          <w:lang w:val="en-US" w:eastAsia="zh-CN"/>
        </w:rPr>
        <w:t>（六）</w:t>
      </w:r>
      <w:r>
        <w:rPr>
          <w:rFonts w:hint="eastAsia" w:ascii="宋体" w:hAnsi="宋体" w:eastAsia="宋体" w:cs="宋体"/>
          <w:b/>
          <w:bCs/>
          <w:color w:val="auto"/>
          <w:spacing w:val="0"/>
          <w:sz w:val="24"/>
          <w:szCs w:val="24"/>
          <w:highlight w:val="none"/>
        </w:rPr>
        <w:t>其他要求</w:t>
      </w:r>
    </w:p>
    <w:p>
      <w:pPr>
        <w:pStyle w:val="22"/>
        <w:keepNext w:val="0"/>
        <w:keepLines w:val="0"/>
        <w:pageBreakBefore w:val="0"/>
        <w:spacing w:line="360" w:lineRule="auto"/>
        <w:ind w:firstLine="420"/>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en-US" w:eastAsia="zh-CN"/>
        </w:rPr>
        <w:t>1.本项目其他要求见“第五部分  合同签订与验收付款</w:t>
      </w:r>
      <w:r>
        <w:rPr>
          <w:rFonts w:hint="eastAsia" w:ascii="宋体" w:hAnsi="宋体" w:eastAsia="宋体" w:cs="宋体"/>
          <w:color w:val="auto"/>
          <w:spacing w:val="0"/>
          <w:sz w:val="24"/>
          <w:szCs w:val="24"/>
          <w:highlight w:val="none"/>
          <w:lang w:val="zh-CN" w:eastAsia="zh-CN"/>
        </w:rPr>
        <w:t>”</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eastAsia="zh-CN"/>
        </w:rPr>
        <w:t>招标文件中相应部分条款描述。</w:t>
      </w:r>
    </w:p>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2.智能化部分材料品牌约定及技术参数要求中带星号（“</w:t>
      </w:r>
      <w:r>
        <w:rPr>
          <w:rFonts w:hint="eastAsia" w:ascii="宋体" w:hAnsi="宋体" w:eastAsia="宋体" w:cs="宋体"/>
          <w:b/>
          <w:bCs/>
          <w:color w:val="auto"/>
          <w:spacing w:val="0"/>
          <w:sz w:val="24"/>
          <w:szCs w:val="24"/>
          <w:highlight w:val="yellow"/>
          <w:lang w:val="en-US" w:eastAsia="zh-CN"/>
        </w:rPr>
        <w:t>★”</w:t>
      </w:r>
      <w:r>
        <w:rPr>
          <w:rFonts w:hint="eastAsia" w:ascii="宋体" w:hAnsi="宋体" w:eastAsia="宋体" w:cs="宋体"/>
          <w:b/>
          <w:bCs/>
          <w:color w:val="auto"/>
          <w:spacing w:val="0"/>
          <w:sz w:val="24"/>
          <w:szCs w:val="24"/>
          <w:highlight w:val="none"/>
          <w:lang w:val="en-US" w:eastAsia="zh-CN"/>
        </w:rPr>
        <w:t>）请提供相应证明材料，如不提供，可能会导致符合性审查不通过。</w:t>
      </w:r>
    </w:p>
    <w:p>
      <w:pPr>
        <w:keepNext w:val="0"/>
        <w:keepLines w:val="0"/>
        <w:pageBreakBefore w:val="0"/>
        <w:kinsoku/>
        <w:wordWrap/>
        <w:overflowPunct/>
        <w:topLinePunct w:val="0"/>
        <w:autoSpaceDE/>
        <w:autoSpaceDN/>
        <w:bidi w:val="0"/>
        <w:adjustRightInd/>
        <w:snapToGrid w:val="0"/>
        <w:spacing w:line="360" w:lineRule="auto"/>
        <w:ind w:firstLine="479" w:firstLineChars="199"/>
        <w:textAlignment w:val="auto"/>
        <w:outlineLvl w:val="0"/>
        <w:rPr>
          <w:rFonts w:hint="eastAsia" w:ascii="宋体" w:hAnsi="宋体" w:eastAsia="宋体" w:cs="宋体"/>
          <w:b/>
          <w:bCs/>
          <w:color w:val="auto"/>
          <w:spacing w:val="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719" w:firstLineChars="199"/>
        <w:jc w:val="center"/>
        <w:textAlignment w:val="auto"/>
        <w:outlineLvl w:val="0"/>
        <w:rPr>
          <w:rFonts w:hint="eastAsia" w:ascii="仿宋_GB2312" w:hAnsi="宋体" w:eastAsia="仿宋_GB2312" w:cs="Times New Roman"/>
          <w:b/>
          <w:sz w:val="36"/>
          <w:szCs w:val="36"/>
          <w:lang w:val="zh-CN"/>
        </w:rPr>
      </w:pPr>
      <w:r>
        <w:rPr>
          <w:rFonts w:ascii="仿宋_GB2312" w:eastAsia="仿宋_GB2312"/>
          <w:b/>
          <w:bCs/>
          <w:sz w:val="36"/>
          <w:szCs w:val="36"/>
          <w:lang w:val="zh-CN"/>
        </w:rPr>
        <w:br w:type="page"/>
      </w:r>
      <w:r>
        <w:rPr>
          <w:rFonts w:hint="eastAsia" w:ascii="仿宋_GB2312" w:hAnsi="宋体" w:eastAsia="仿宋_GB2312" w:cs="Times New Roman"/>
          <w:b/>
          <w:sz w:val="36"/>
          <w:szCs w:val="36"/>
          <w:lang w:val="zh-CN"/>
        </w:rPr>
        <w:t>第四部分  评审程序和内容</w:t>
      </w:r>
    </w:p>
    <w:p>
      <w:pPr>
        <w:keepNext w:val="0"/>
        <w:keepLines w:val="0"/>
        <w:pageBreakBefore w:val="0"/>
        <w:widowControl w:val="0"/>
        <w:tabs>
          <w:tab w:val="left" w:pos="3585"/>
        </w:tabs>
        <w:kinsoku/>
        <w:wordWrap/>
        <w:overflowPunct/>
        <w:topLinePunct w:val="0"/>
        <w:bidi w:val="0"/>
        <w:snapToGrid w:val="0"/>
        <w:spacing w:line="360" w:lineRule="auto"/>
        <w:ind w:firstLine="482" w:firstLineChars="200"/>
        <w:rPr>
          <w:rFonts w:hint="eastAsia"/>
          <w:b/>
          <w:bCs/>
          <w:sz w:val="24"/>
        </w:rPr>
      </w:pPr>
    </w:p>
    <w:p>
      <w:pPr>
        <w:keepNext w:val="0"/>
        <w:keepLines w:val="0"/>
        <w:pageBreakBefore w:val="0"/>
        <w:widowControl w:val="0"/>
        <w:tabs>
          <w:tab w:val="left" w:pos="3585"/>
        </w:tabs>
        <w:kinsoku/>
        <w:wordWrap/>
        <w:overflowPunct/>
        <w:topLinePunct w:val="0"/>
        <w:bidi w:val="0"/>
        <w:snapToGrid w:val="0"/>
        <w:spacing w:line="360" w:lineRule="auto"/>
        <w:ind w:firstLine="482" w:firstLineChars="200"/>
        <w:rPr>
          <w:rFonts w:hint="eastAsia"/>
          <w:b/>
          <w:sz w:val="24"/>
        </w:rPr>
      </w:pPr>
      <w:r>
        <w:rPr>
          <w:rFonts w:hint="eastAsia"/>
          <w:b/>
          <w:bCs/>
          <w:sz w:val="24"/>
        </w:rPr>
        <w:t>一、</w:t>
      </w:r>
      <w:r>
        <w:rPr>
          <w:rFonts w:hint="eastAsia"/>
          <w:b/>
          <w:sz w:val="24"/>
        </w:rPr>
        <w:t>采购人委托代理机构组织磋商</w:t>
      </w:r>
    </w:p>
    <w:p>
      <w:pPr>
        <w:keepNext w:val="0"/>
        <w:keepLines w:val="0"/>
        <w:pageBreakBefore w:val="0"/>
        <w:widowControl w:val="0"/>
        <w:tabs>
          <w:tab w:val="left" w:pos="3585"/>
        </w:tabs>
        <w:kinsoku/>
        <w:wordWrap/>
        <w:overflowPunct/>
        <w:topLinePunct w:val="0"/>
        <w:bidi w:val="0"/>
        <w:snapToGrid w:val="0"/>
        <w:spacing w:line="360" w:lineRule="auto"/>
        <w:ind w:firstLine="480" w:firstLineChars="200"/>
        <w:rPr>
          <w:rFonts w:hint="eastAsia" w:cs="宋体"/>
          <w:kern w:val="0"/>
          <w:sz w:val="24"/>
        </w:rPr>
      </w:pPr>
      <w:r>
        <w:rPr>
          <w:kern w:val="0"/>
          <w:sz w:val="24"/>
          <w:lang w:val="zh-CN"/>
        </w:rPr>
        <w:t>响应供应商</w:t>
      </w:r>
      <w:r>
        <w:rPr>
          <w:rFonts w:hint="eastAsia" w:cs="宋体"/>
          <w:kern w:val="0"/>
          <w:sz w:val="24"/>
          <w:lang w:val="zh-CN"/>
        </w:rPr>
        <w:t>须持有效身份</w:t>
      </w:r>
      <w:r>
        <w:rPr>
          <w:rFonts w:hint="eastAsia" w:cs="宋体"/>
          <w:kern w:val="0"/>
          <w:sz w:val="24"/>
        </w:rPr>
        <w:t>证明</w:t>
      </w:r>
      <w:r>
        <w:rPr>
          <w:kern w:val="0"/>
          <w:sz w:val="24"/>
          <w:lang w:val="zh-CN"/>
        </w:rPr>
        <w:t>参加磋商会</w:t>
      </w:r>
      <w:r>
        <w:rPr>
          <w:rFonts w:hint="eastAsia" w:cs="宋体"/>
          <w:kern w:val="0"/>
          <w:sz w:val="24"/>
          <w:lang w:val="zh-CN"/>
        </w:rPr>
        <w:t>。</w:t>
      </w:r>
    </w:p>
    <w:p>
      <w:pPr>
        <w:keepNext w:val="0"/>
        <w:keepLines w:val="0"/>
        <w:pageBreakBefore w:val="0"/>
        <w:widowControl w:val="0"/>
        <w:kinsoku/>
        <w:wordWrap/>
        <w:overflowPunct/>
        <w:topLinePunct w:val="0"/>
        <w:bidi w:val="0"/>
        <w:snapToGrid w:val="0"/>
        <w:spacing w:line="360" w:lineRule="auto"/>
        <w:ind w:firstLine="482" w:firstLineChars="200"/>
        <w:rPr>
          <w:rFonts w:hint="eastAsia"/>
          <w:b/>
          <w:bCs/>
          <w:sz w:val="24"/>
        </w:rPr>
      </w:pPr>
      <w:r>
        <w:rPr>
          <w:rFonts w:hint="eastAsia"/>
          <w:b/>
          <w:kern w:val="0"/>
          <w:sz w:val="24"/>
          <w:lang w:val="zh-CN"/>
        </w:rPr>
        <w:t>二、</w:t>
      </w:r>
      <w:r>
        <w:rPr>
          <w:b/>
          <w:kern w:val="0"/>
          <w:sz w:val="24"/>
          <w:lang w:val="zh-CN"/>
        </w:rPr>
        <w:t>竞争性磋商小组</w:t>
      </w:r>
      <w:r>
        <w:rPr>
          <w:rFonts w:hint="eastAsia"/>
          <w:b/>
          <w:bCs/>
          <w:sz w:val="24"/>
        </w:rPr>
        <w:t>由有关专家和</w:t>
      </w:r>
      <w:r>
        <w:rPr>
          <w:rFonts w:hint="eastAsia"/>
          <w:b/>
          <w:sz w:val="24"/>
        </w:rPr>
        <w:t>采购人代表</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pPr>
        <w:keepNext w:val="0"/>
        <w:keepLines w:val="0"/>
        <w:pageBreakBefore w:val="0"/>
        <w:widowControl w:val="0"/>
        <w:kinsoku/>
        <w:wordWrap/>
        <w:overflowPunct/>
        <w:topLinePunct w:val="0"/>
        <w:bidi w:val="0"/>
        <w:snapToGrid w:val="0"/>
        <w:spacing w:line="360" w:lineRule="auto"/>
        <w:ind w:firstLine="480" w:firstLineChars="200"/>
        <w:jc w:val="left"/>
        <w:rPr>
          <w:rFonts w:ascii="Times New Roman" w:hAnsi="Times New Roman" w:eastAsia="宋体" w:cs="Times New Roman"/>
          <w:bCs/>
          <w:sz w:val="24"/>
        </w:rPr>
      </w:pPr>
      <w:r>
        <w:rPr>
          <w:rFonts w:hint="eastAsia" w:ascii="Times New Roman" w:hAnsi="Times New Roman" w:eastAsia="宋体" w:cs="Times New Roman"/>
          <w:bCs/>
          <w:sz w:val="24"/>
        </w:rPr>
        <w:t>磋商小组</w:t>
      </w:r>
      <w:r>
        <w:rPr>
          <w:rFonts w:ascii="Times New Roman" w:hAnsi="Times New Roman" w:eastAsia="宋体" w:cs="Times New Roman"/>
          <w:bCs/>
          <w:sz w:val="24"/>
        </w:rPr>
        <w:t>由采购人代表和评审专家共计</w:t>
      </w:r>
      <w:r>
        <w:rPr>
          <w:rFonts w:hint="eastAsia" w:ascii="Times New Roman" w:hAnsi="Times New Roman" w:eastAsia="宋体" w:cs="Times New Roman"/>
          <w:bCs/>
          <w:sz w:val="24"/>
          <w:lang w:val="en-US" w:eastAsia="zh-CN"/>
        </w:rPr>
        <w:t>3</w:t>
      </w:r>
      <w:r>
        <w:rPr>
          <w:rFonts w:ascii="Times New Roman" w:hAnsi="Times New Roman" w:eastAsia="宋体" w:cs="Times New Roman"/>
          <w:bCs/>
          <w:sz w:val="24"/>
        </w:rPr>
        <w:t>人组成，其中评审专家</w:t>
      </w:r>
      <w:r>
        <w:rPr>
          <w:rFonts w:hint="eastAsia" w:ascii="Times New Roman" w:hAnsi="Times New Roman" w:eastAsia="宋体" w:cs="Times New Roman"/>
          <w:bCs/>
          <w:sz w:val="24"/>
          <w:lang w:val="en-US" w:eastAsia="zh-CN"/>
        </w:rPr>
        <w:t>3</w:t>
      </w:r>
      <w:r>
        <w:rPr>
          <w:rFonts w:ascii="Times New Roman" w:hAnsi="Times New Roman" w:eastAsia="宋体" w:cs="Times New Roman"/>
          <w:bCs/>
          <w:sz w:val="24"/>
        </w:rPr>
        <w:t>人。评审专家在专家库中随机抽取。</w:t>
      </w:r>
    </w:p>
    <w:p>
      <w:pPr>
        <w:keepNext w:val="0"/>
        <w:keepLines w:val="0"/>
        <w:pageBreakBefore w:val="0"/>
        <w:widowControl w:val="0"/>
        <w:kinsoku/>
        <w:wordWrap/>
        <w:overflowPunct/>
        <w:topLinePunct w:val="0"/>
        <w:bidi w:val="0"/>
        <w:snapToGrid w:val="0"/>
        <w:spacing w:line="360" w:lineRule="auto"/>
        <w:ind w:firstLine="482" w:firstLineChars="200"/>
        <w:rPr>
          <w:rFonts w:hint="eastAsia"/>
          <w:b/>
          <w:bCs/>
          <w:sz w:val="24"/>
        </w:rPr>
      </w:pPr>
      <w:r>
        <w:rPr>
          <w:rFonts w:hint="eastAsia"/>
          <w:b/>
          <w:bCs/>
          <w:sz w:val="24"/>
        </w:rPr>
        <w:t>（一）评审内容</w:t>
      </w:r>
    </w:p>
    <w:p>
      <w:pPr>
        <w:keepNext w:val="0"/>
        <w:keepLines w:val="0"/>
        <w:pageBreakBefore w:val="0"/>
        <w:widowControl w:val="0"/>
        <w:kinsoku/>
        <w:wordWrap/>
        <w:overflowPunct/>
        <w:topLinePunct w:val="0"/>
        <w:bidi w:val="0"/>
        <w:snapToGrid w:val="0"/>
        <w:spacing w:line="360" w:lineRule="auto"/>
        <w:ind w:firstLine="480" w:firstLineChars="200"/>
        <w:jc w:val="left"/>
        <w:rPr>
          <w:bCs/>
          <w:sz w:val="24"/>
        </w:rPr>
      </w:pPr>
      <w:r>
        <w:rPr>
          <w:bCs/>
          <w:sz w:val="24"/>
        </w:rPr>
        <w:t>1</w:t>
      </w:r>
      <w:r>
        <w:rPr>
          <w:rFonts w:hint="eastAsia"/>
          <w:bCs/>
          <w:sz w:val="24"/>
          <w:lang w:val="en-US" w:eastAsia="zh-CN"/>
        </w:rPr>
        <w:t>.</w:t>
      </w:r>
      <w:r>
        <w:rPr>
          <w:bCs/>
          <w:sz w:val="24"/>
        </w:rPr>
        <w:t>是否递交</w:t>
      </w:r>
      <w:r>
        <w:rPr>
          <w:rFonts w:hint="eastAsia"/>
          <w:bCs/>
          <w:sz w:val="24"/>
        </w:rPr>
        <w:t>响应文件</w:t>
      </w:r>
      <w:r>
        <w:rPr>
          <w:bCs/>
          <w:sz w:val="24"/>
        </w:rPr>
        <w:t>；</w:t>
      </w:r>
    </w:p>
    <w:p>
      <w:pPr>
        <w:keepNext w:val="0"/>
        <w:keepLines w:val="0"/>
        <w:pageBreakBefore w:val="0"/>
        <w:widowControl w:val="0"/>
        <w:kinsoku/>
        <w:wordWrap/>
        <w:overflowPunct/>
        <w:topLinePunct w:val="0"/>
        <w:bidi w:val="0"/>
        <w:snapToGrid w:val="0"/>
        <w:spacing w:line="360" w:lineRule="auto"/>
        <w:ind w:firstLine="480" w:firstLineChars="200"/>
        <w:jc w:val="left"/>
        <w:rPr>
          <w:rFonts w:hint="eastAsia"/>
          <w:bCs/>
          <w:sz w:val="24"/>
        </w:rPr>
      </w:pPr>
      <w:r>
        <w:rPr>
          <w:bCs/>
          <w:sz w:val="24"/>
        </w:rPr>
        <w:t>2</w:t>
      </w:r>
      <w:r>
        <w:rPr>
          <w:rFonts w:hint="eastAsia"/>
          <w:bCs/>
          <w:sz w:val="24"/>
          <w:lang w:val="en-US" w:eastAsia="zh-CN"/>
        </w:rPr>
        <w:t>.</w:t>
      </w:r>
      <w:r>
        <w:rPr>
          <w:rFonts w:hint="eastAsia"/>
          <w:bCs/>
          <w:sz w:val="24"/>
        </w:rPr>
        <w:t>供应商</w:t>
      </w:r>
      <w:r>
        <w:rPr>
          <w:bCs/>
          <w:sz w:val="24"/>
        </w:rPr>
        <w:t>资格是否符合</w:t>
      </w:r>
      <w:r>
        <w:rPr>
          <w:rFonts w:hint="eastAsia"/>
          <w:bCs/>
          <w:sz w:val="24"/>
        </w:rPr>
        <w:t>；</w:t>
      </w:r>
    </w:p>
    <w:p>
      <w:pPr>
        <w:keepNext w:val="0"/>
        <w:keepLines w:val="0"/>
        <w:pageBreakBefore w:val="0"/>
        <w:widowControl w:val="0"/>
        <w:kinsoku/>
        <w:wordWrap/>
        <w:overflowPunct/>
        <w:topLinePunct w:val="0"/>
        <w:bidi w:val="0"/>
        <w:snapToGrid w:val="0"/>
        <w:spacing w:line="360" w:lineRule="auto"/>
        <w:ind w:firstLine="480" w:firstLineChars="200"/>
        <w:jc w:val="left"/>
        <w:rPr>
          <w:sz w:val="24"/>
        </w:rPr>
      </w:pPr>
      <w:r>
        <w:rPr>
          <w:sz w:val="24"/>
        </w:rPr>
        <w:t>3</w:t>
      </w:r>
      <w:r>
        <w:rPr>
          <w:rFonts w:hint="eastAsia"/>
          <w:sz w:val="24"/>
          <w:lang w:val="en-US" w:eastAsia="zh-CN"/>
        </w:rPr>
        <w:t>.</w:t>
      </w:r>
      <w:r>
        <w:rPr>
          <w:rFonts w:hint="eastAsia"/>
          <w:sz w:val="24"/>
        </w:rPr>
        <w:t>响应文件</w:t>
      </w:r>
      <w:r>
        <w:rPr>
          <w:sz w:val="24"/>
        </w:rPr>
        <w:t>是否完整；</w:t>
      </w:r>
    </w:p>
    <w:p>
      <w:pPr>
        <w:keepNext w:val="0"/>
        <w:keepLines w:val="0"/>
        <w:pageBreakBefore w:val="0"/>
        <w:widowControl w:val="0"/>
        <w:kinsoku/>
        <w:wordWrap/>
        <w:overflowPunct/>
        <w:topLinePunct w:val="0"/>
        <w:bidi w:val="0"/>
        <w:snapToGrid w:val="0"/>
        <w:spacing w:line="360" w:lineRule="auto"/>
        <w:ind w:firstLine="480" w:firstLineChars="200"/>
        <w:jc w:val="left"/>
        <w:rPr>
          <w:sz w:val="24"/>
        </w:rPr>
      </w:pPr>
      <w:r>
        <w:rPr>
          <w:sz w:val="24"/>
        </w:rPr>
        <w:t>4</w:t>
      </w:r>
      <w:r>
        <w:rPr>
          <w:rFonts w:hint="eastAsia"/>
          <w:sz w:val="24"/>
          <w:lang w:val="en-US" w:eastAsia="zh-CN"/>
        </w:rPr>
        <w:t>.</w:t>
      </w:r>
      <w:r>
        <w:rPr>
          <w:rFonts w:hint="eastAsia"/>
          <w:sz w:val="24"/>
        </w:rPr>
        <w:t>响应文件</w:t>
      </w:r>
      <w:r>
        <w:rPr>
          <w:sz w:val="24"/>
        </w:rPr>
        <w:t>是否恰当地签署；</w:t>
      </w:r>
    </w:p>
    <w:p>
      <w:pPr>
        <w:keepNext w:val="0"/>
        <w:keepLines w:val="0"/>
        <w:pageBreakBefore w:val="0"/>
        <w:widowControl w:val="0"/>
        <w:kinsoku/>
        <w:wordWrap/>
        <w:overflowPunct/>
        <w:topLinePunct w:val="0"/>
        <w:bidi w:val="0"/>
        <w:snapToGrid w:val="0"/>
        <w:spacing w:line="360" w:lineRule="auto"/>
        <w:ind w:firstLine="480" w:firstLineChars="200"/>
        <w:jc w:val="left"/>
        <w:rPr>
          <w:sz w:val="24"/>
        </w:rPr>
      </w:pPr>
      <w:r>
        <w:rPr>
          <w:sz w:val="24"/>
        </w:rPr>
        <w:t>5</w:t>
      </w:r>
      <w:r>
        <w:rPr>
          <w:rFonts w:hint="eastAsia"/>
          <w:sz w:val="24"/>
          <w:lang w:val="en-US" w:eastAsia="zh-CN"/>
        </w:rPr>
        <w:t>.</w:t>
      </w:r>
      <w:r>
        <w:rPr>
          <w:sz w:val="24"/>
        </w:rPr>
        <w:t>是否作出实质性响应（是否有实质性响应，只根据</w:t>
      </w:r>
      <w:r>
        <w:rPr>
          <w:rFonts w:hint="eastAsia"/>
          <w:sz w:val="24"/>
        </w:rPr>
        <w:t>响应文件</w:t>
      </w:r>
      <w:r>
        <w:rPr>
          <w:sz w:val="24"/>
        </w:rPr>
        <w:t>本身，而不寻求外部证据）；</w:t>
      </w:r>
    </w:p>
    <w:p>
      <w:pPr>
        <w:keepNext w:val="0"/>
        <w:keepLines w:val="0"/>
        <w:pageBreakBefore w:val="0"/>
        <w:widowControl w:val="0"/>
        <w:kinsoku/>
        <w:wordWrap/>
        <w:overflowPunct/>
        <w:topLinePunct w:val="0"/>
        <w:bidi w:val="0"/>
        <w:snapToGrid w:val="0"/>
        <w:spacing w:line="360" w:lineRule="auto"/>
        <w:ind w:firstLine="480" w:firstLineChars="200"/>
        <w:jc w:val="left"/>
        <w:rPr>
          <w:sz w:val="24"/>
        </w:rPr>
      </w:pPr>
      <w:r>
        <w:rPr>
          <w:sz w:val="24"/>
        </w:rPr>
        <w:t>6</w:t>
      </w:r>
      <w:r>
        <w:rPr>
          <w:rFonts w:hint="eastAsia"/>
          <w:sz w:val="24"/>
          <w:lang w:val="en-US" w:eastAsia="zh-CN"/>
        </w:rPr>
        <w:t>.</w:t>
      </w:r>
      <w:r>
        <w:rPr>
          <w:sz w:val="24"/>
        </w:rPr>
        <w:t>是否有计算错误。</w:t>
      </w:r>
    </w:p>
    <w:p>
      <w:pPr>
        <w:keepNext w:val="0"/>
        <w:keepLines w:val="0"/>
        <w:pageBreakBefore w:val="0"/>
        <w:widowControl w:val="0"/>
        <w:kinsoku/>
        <w:wordWrap/>
        <w:overflowPunct/>
        <w:topLinePunct w:val="0"/>
        <w:bidi w:val="0"/>
        <w:snapToGrid w:val="0"/>
        <w:spacing w:line="360" w:lineRule="auto"/>
        <w:ind w:firstLine="482" w:firstLineChars="200"/>
        <w:rPr>
          <w:rFonts w:hint="eastAsia"/>
          <w:b/>
          <w:bCs/>
          <w:sz w:val="24"/>
        </w:rPr>
      </w:pPr>
      <w:r>
        <w:rPr>
          <w:rFonts w:hint="eastAsia"/>
          <w:b/>
          <w:bCs/>
          <w:sz w:val="24"/>
        </w:rPr>
        <w:t>（二）相应的规定</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1</w:t>
      </w:r>
      <w:r>
        <w:rPr>
          <w:rFonts w:hint="eastAsia"/>
          <w:sz w:val="24"/>
          <w:lang w:val="en-US" w:eastAsia="zh-CN"/>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2</w:t>
      </w:r>
      <w:r>
        <w:rPr>
          <w:rFonts w:hint="eastAsia"/>
          <w:sz w:val="24"/>
          <w:lang w:val="en-US" w:eastAsia="zh-CN"/>
        </w:rPr>
        <w:t>.</w:t>
      </w:r>
      <w:r>
        <w:rPr>
          <w:sz w:val="24"/>
        </w:rPr>
        <w:t>大写金额和小写金额不一致的，以大写金额为准；</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3</w:t>
      </w:r>
      <w:r>
        <w:rPr>
          <w:rFonts w:hint="eastAsia"/>
          <w:sz w:val="24"/>
          <w:lang w:val="en-US" w:eastAsia="zh-CN"/>
        </w:rPr>
        <w:t>.</w:t>
      </w:r>
      <w:r>
        <w:rPr>
          <w:sz w:val="24"/>
        </w:rPr>
        <w:t>单价金额小数点或者百分比有明显错位的，以</w:t>
      </w:r>
      <w:r>
        <w:rPr>
          <w:rFonts w:hint="eastAsia"/>
          <w:sz w:val="24"/>
        </w:rPr>
        <w:t>报价总表</w:t>
      </w:r>
      <w:r>
        <w:rPr>
          <w:sz w:val="24"/>
        </w:rPr>
        <w:t>的总价为准，并修改单价；</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4</w:t>
      </w:r>
      <w:r>
        <w:rPr>
          <w:rFonts w:hint="eastAsia"/>
          <w:sz w:val="24"/>
          <w:lang w:val="en-US" w:eastAsia="zh-CN"/>
        </w:rPr>
        <w:t>.</w:t>
      </w:r>
      <w:r>
        <w:rPr>
          <w:sz w:val="24"/>
        </w:rPr>
        <w:t>总价金额与按单价汇总金额不一致的，以单价金额计算结果为准。</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同时出现两种以上不一致的，按照前款规定的顺序修正。修正后的报价按照财政部第87号令第五十一条第二款的规定经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pPr>
        <w:keepNext w:val="0"/>
        <w:keepLines w:val="0"/>
        <w:pageBreakBefore w:val="0"/>
        <w:widowControl w:val="0"/>
        <w:tabs>
          <w:tab w:val="left" w:pos="3585"/>
        </w:tabs>
        <w:kinsoku/>
        <w:wordWrap/>
        <w:overflowPunct/>
        <w:topLinePunct w:val="0"/>
        <w:bidi w:val="0"/>
        <w:snapToGrid w:val="0"/>
        <w:spacing w:line="360" w:lineRule="auto"/>
        <w:ind w:firstLine="482" w:firstLineChars="200"/>
        <w:rPr>
          <w:rFonts w:hint="eastAsia"/>
          <w:b/>
          <w:bCs/>
          <w:sz w:val="24"/>
        </w:rPr>
      </w:pPr>
      <w:r>
        <w:rPr>
          <w:rFonts w:hint="eastAsia"/>
          <w:b/>
          <w:bCs/>
          <w:sz w:val="24"/>
        </w:rPr>
        <w:t>三、</w:t>
      </w:r>
      <w:r>
        <w:rPr>
          <w:rFonts w:hint="eastAsia"/>
          <w:b/>
          <w:sz w:val="24"/>
        </w:rPr>
        <w:t>陈述、演示、</w:t>
      </w:r>
      <w:r>
        <w:rPr>
          <w:rFonts w:hint="eastAsia"/>
          <w:b/>
          <w:bCs/>
          <w:sz w:val="24"/>
        </w:rPr>
        <w:t>答疑、澄清</w:t>
      </w:r>
    </w:p>
    <w:p>
      <w:pPr>
        <w:keepNext w:val="0"/>
        <w:keepLines w:val="0"/>
        <w:pageBreakBefore w:val="0"/>
        <w:widowControl w:val="0"/>
        <w:kinsoku/>
        <w:wordWrap/>
        <w:overflowPunct/>
        <w:topLinePunct w:val="0"/>
        <w:bidi w:val="0"/>
        <w:snapToGrid w:val="0"/>
        <w:spacing w:line="360" w:lineRule="auto"/>
        <w:ind w:firstLine="480" w:firstLineChars="200"/>
        <w:rPr>
          <w:rFonts w:hint="eastAsia"/>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rFonts w:hint="eastAsia"/>
          <w:sz w:val="24"/>
        </w:rPr>
        <w:t>重要澄清答复应是书面的，但不得对响应内容进行实质性修改。</w:t>
      </w:r>
    </w:p>
    <w:p>
      <w:pPr>
        <w:keepNext w:val="0"/>
        <w:keepLines w:val="0"/>
        <w:pageBreakBefore w:val="0"/>
        <w:widowControl w:val="0"/>
        <w:kinsoku/>
        <w:wordWrap/>
        <w:overflowPunct/>
        <w:topLinePunct w:val="0"/>
        <w:bidi w:val="0"/>
        <w:snapToGrid w:val="0"/>
        <w:spacing w:line="360" w:lineRule="auto"/>
        <w:ind w:firstLine="482" w:firstLineChars="200"/>
        <w:rPr>
          <w:rFonts w:hint="eastAsia"/>
          <w:b/>
          <w:sz w:val="24"/>
        </w:rPr>
      </w:pPr>
      <w:r>
        <w:rPr>
          <w:rFonts w:hint="eastAsia"/>
          <w:b/>
          <w:sz w:val="24"/>
        </w:rPr>
        <w:t>四、出现下列情形之一的，作无效响应处理</w:t>
      </w:r>
    </w:p>
    <w:p>
      <w:pPr>
        <w:keepNext w:val="0"/>
        <w:keepLines w:val="0"/>
        <w:pageBreakBefore w:val="0"/>
        <w:widowControl w:val="0"/>
        <w:spacing w:line="360" w:lineRule="auto"/>
        <w:ind w:firstLine="480"/>
        <w:rPr>
          <w:rFonts w:hint="eastAsia"/>
          <w:sz w:val="24"/>
        </w:rPr>
      </w:pPr>
      <w:r>
        <w:rPr>
          <w:rFonts w:hint="eastAsia"/>
          <w:sz w:val="24"/>
        </w:rPr>
        <w:t>1</w:t>
      </w:r>
      <w:r>
        <w:rPr>
          <w:rFonts w:hint="eastAsia"/>
          <w:sz w:val="24"/>
          <w:lang w:val="en-US" w:eastAsia="zh-CN"/>
        </w:rPr>
        <w:t>.</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w:t>
      </w:r>
    </w:p>
    <w:p>
      <w:pPr>
        <w:keepNext w:val="0"/>
        <w:keepLines w:val="0"/>
        <w:pageBreakBefore w:val="0"/>
        <w:widowControl w:val="0"/>
        <w:spacing w:line="360" w:lineRule="auto"/>
        <w:ind w:firstLine="480"/>
        <w:rPr>
          <w:rFonts w:hint="eastAsia"/>
          <w:sz w:val="24"/>
        </w:rPr>
      </w:pPr>
      <w:r>
        <w:rPr>
          <w:rFonts w:hint="eastAsia"/>
          <w:sz w:val="24"/>
          <w:lang w:val="en-US" w:eastAsia="zh-CN"/>
        </w:rPr>
        <w:t>2.</w:t>
      </w:r>
      <w:r>
        <w:rPr>
          <w:rFonts w:hint="eastAsia"/>
          <w:sz w:val="24"/>
        </w:rPr>
        <w:t>响应文件的资料有虚报或者谎报的</w:t>
      </w:r>
      <w:r>
        <w:rPr>
          <w:rFonts w:hint="eastAsia"/>
          <w:sz w:val="24"/>
          <w:lang w:eastAsia="zh-CN"/>
        </w:rPr>
        <w:t>；</w:t>
      </w:r>
    </w:p>
    <w:p>
      <w:pPr>
        <w:keepNext w:val="0"/>
        <w:keepLines w:val="0"/>
        <w:pageBreakBefore w:val="0"/>
        <w:widowControl w:val="0"/>
        <w:spacing w:line="360" w:lineRule="auto"/>
        <w:ind w:firstLine="480"/>
        <w:rPr>
          <w:rFonts w:hint="eastAsia"/>
          <w:sz w:val="24"/>
        </w:rPr>
      </w:pPr>
      <w:r>
        <w:rPr>
          <w:rFonts w:hint="eastAsia"/>
          <w:sz w:val="24"/>
          <w:lang w:val="en-US" w:eastAsia="zh-CN"/>
        </w:rPr>
        <w:t>3.</w:t>
      </w:r>
      <w:r>
        <w:rPr>
          <w:sz w:val="24"/>
        </w:rPr>
        <w:t>不具备</w:t>
      </w:r>
      <w:r>
        <w:rPr>
          <w:rFonts w:hint="eastAsia"/>
          <w:sz w:val="24"/>
        </w:rPr>
        <w:t>采购文件</w:t>
      </w:r>
      <w:r>
        <w:rPr>
          <w:sz w:val="24"/>
        </w:rPr>
        <w:t>中规定的资格要求的</w:t>
      </w:r>
      <w:r>
        <w:rPr>
          <w:rFonts w:hint="eastAsia"/>
          <w:sz w:val="24"/>
        </w:rPr>
        <w:t>；</w:t>
      </w:r>
    </w:p>
    <w:p>
      <w:pPr>
        <w:keepNext w:val="0"/>
        <w:keepLines w:val="0"/>
        <w:pageBreakBefore w:val="0"/>
        <w:widowControl w:val="0"/>
        <w:spacing w:line="360" w:lineRule="auto"/>
        <w:ind w:firstLine="480"/>
        <w:rPr>
          <w:sz w:val="24"/>
        </w:rPr>
      </w:pPr>
      <w:r>
        <w:rPr>
          <w:rFonts w:hint="eastAsia"/>
          <w:sz w:val="24"/>
          <w:lang w:val="en-US" w:eastAsia="zh-CN"/>
        </w:rPr>
        <w:t>4.</w:t>
      </w:r>
      <w:r>
        <w:rPr>
          <w:sz w:val="24"/>
        </w:rPr>
        <w:t>未通过符合性检查的；</w:t>
      </w:r>
    </w:p>
    <w:p>
      <w:pPr>
        <w:keepNext w:val="0"/>
        <w:keepLines w:val="0"/>
        <w:pageBreakBefore w:val="0"/>
        <w:widowControl w:val="0"/>
        <w:spacing w:line="360" w:lineRule="auto"/>
        <w:ind w:firstLine="480"/>
        <w:rPr>
          <w:sz w:val="24"/>
        </w:rPr>
      </w:pPr>
      <w:r>
        <w:rPr>
          <w:rFonts w:hint="eastAsia"/>
          <w:sz w:val="24"/>
          <w:lang w:val="en-US" w:eastAsia="zh-CN"/>
        </w:rPr>
        <w:t>5.</w:t>
      </w:r>
      <w:r>
        <w:rPr>
          <w:sz w:val="24"/>
        </w:rPr>
        <w:t>报价超过</w:t>
      </w:r>
      <w:r>
        <w:rPr>
          <w:rFonts w:hint="eastAsia"/>
          <w:sz w:val="24"/>
        </w:rPr>
        <w:t>采购文件</w:t>
      </w:r>
      <w:r>
        <w:rPr>
          <w:sz w:val="24"/>
        </w:rPr>
        <w:t>中规定的预算金额或者最高限价的；</w:t>
      </w:r>
    </w:p>
    <w:p>
      <w:pPr>
        <w:keepNext w:val="0"/>
        <w:keepLines w:val="0"/>
        <w:pageBreakBefore w:val="0"/>
        <w:widowControl w:val="0"/>
        <w:spacing w:line="360" w:lineRule="auto"/>
        <w:ind w:firstLine="480"/>
        <w:rPr>
          <w:sz w:val="24"/>
        </w:rPr>
      </w:pPr>
      <w:r>
        <w:rPr>
          <w:rFonts w:hint="eastAsia"/>
          <w:sz w:val="24"/>
          <w:lang w:val="en-US" w:eastAsia="zh-CN"/>
        </w:rPr>
        <w:t>6.</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pPr>
        <w:keepNext w:val="0"/>
        <w:keepLines w:val="0"/>
        <w:pageBreakBefore w:val="0"/>
        <w:widowControl w:val="0"/>
        <w:spacing w:line="360" w:lineRule="auto"/>
        <w:ind w:firstLine="480"/>
        <w:rPr>
          <w:rFonts w:hint="eastAsia"/>
          <w:sz w:val="24"/>
          <w:lang w:val="en-US" w:eastAsia="zh-CN"/>
        </w:rPr>
      </w:pPr>
      <w:r>
        <w:rPr>
          <w:rFonts w:hint="eastAsia"/>
          <w:sz w:val="24"/>
          <w:lang w:val="en-US" w:eastAsia="zh-CN"/>
        </w:rPr>
        <w:t>7.投标文件中已标价工程量清单与采购文件规定的暂估价、暂列金额及甲供材料价格不一致的；</w:t>
      </w:r>
    </w:p>
    <w:p>
      <w:pPr>
        <w:keepNext w:val="0"/>
        <w:keepLines w:val="0"/>
        <w:pageBreakBefore w:val="0"/>
        <w:widowControl w:val="0"/>
        <w:spacing w:line="360" w:lineRule="auto"/>
        <w:ind w:firstLine="480"/>
        <w:rPr>
          <w:rFonts w:hint="eastAsia"/>
          <w:sz w:val="24"/>
          <w:lang w:val="en-US" w:eastAsia="zh-CN"/>
        </w:rPr>
      </w:pPr>
      <w:r>
        <w:rPr>
          <w:rFonts w:hint="eastAsia"/>
          <w:sz w:val="24"/>
          <w:lang w:val="en-US" w:eastAsia="zh-CN"/>
        </w:rPr>
        <w:t>8.投标文件中已标价工程量清单与采购文件明确列出的不可竞争费用项目或费率或计算基础不一致的；</w:t>
      </w:r>
    </w:p>
    <w:p>
      <w:pPr>
        <w:keepNext w:val="0"/>
        <w:keepLines w:val="0"/>
        <w:pageBreakBefore w:val="0"/>
        <w:widowControl w:val="0"/>
        <w:spacing w:line="360" w:lineRule="auto"/>
        <w:ind w:firstLine="480"/>
        <w:rPr>
          <w:rFonts w:hint="eastAsia"/>
          <w:sz w:val="24"/>
          <w:lang w:val="en-US" w:eastAsia="zh-CN"/>
        </w:rPr>
      </w:pPr>
      <w:r>
        <w:rPr>
          <w:rFonts w:hint="eastAsia"/>
          <w:sz w:val="24"/>
          <w:lang w:val="en-US" w:eastAsia="zh-CN"/>
        </w:rPr>
        <w:t>9.投标文件中已标价工程量清单与采购文件提供的工程量清单中的项目编码、项目名称、项目特征、计量单位、工程量不一致的（措施项目增项除外）；</w:t>
      </w:r>
    </w:p>
    <w:p>
      <w:pPr>
        <w:keepNext w:val="0"/>
        <w:keepLines w:val="0"/>
        <w:pageBreakBefore w:val="0"/>
        <w:widowControl w:val="0"/>
        <w:spacing w:line="360" w:lineRule="auto"/>
        <w:ind w:firstLine="480"/>
        <w:rPr>
          <w:rFonts w:hint="eastAsia"/>
          <w:sz w:val="24"/>
        </w:rPr>
      </w:pPr>
      <w:r>
        <w:rPr>
          <w:rFonts w:hint="eastAsia"/>
          <w:sz w:val="24"/>
          <w:lang w:val="en-US" w:eastAsia="zh-CN"/>
        </w:rPr>
        <w:t>10.不符合招标文件中规定的其他实质性要求和条件的。</w:t>
      </w:r>
      <w:r>
        <w:rPr>
          <w:rFonts w:hint="eastAsia"/>
          <w:b/>
          <w:bCs/>
          <w:sz w:val="24"/>
          <w:lang w:val="en-US" w:eastAsia="zh-CN"/>
        </w:rPr>
        <w:t>(实质性要求是指本采购文件中用带星号（“</w:t>
      </w:r>
      <w:r>
        <w:rPr>
          <w:rFonts w:hint="eastAsia"/>
          <w:b/>
          <w:bCs/>
          <w:sz w:val="24"/>
          <w:highlight w:val="yellow"/>
          <w:lang w:val="en-US" w:eastAsia="zh-CN"/>
        </w:rPr>
        <w:t>★</w:t>
      </w:r>
      <w:r>
        <w:rPr>
          <w:rFonts w:hint="eastAsia"/>
          <w:b/>
          <w:bCs/>
          <w:sz w:val="24"/>
          <w:lang w:val="en-US" w:eastAsia="zh-CN"/>
        </w:rPr>
        <w:t>”）、“须（必须）”或“应（应当）”等其他文字说明的商务和技术要求。)</w:t>
      </w:r>
      <w:r>
        <w:rPr>
          <w:rFonts w:hint="eastAsia"/>
          <w:sz w:val="24"/>
        </w:rPr>
        <w:t>；</w:t>
      </w:r>
    </w:p>
    <w:p>
      <w:pPr>
        <w:keepNext w:val="0"/>
        <w:keepLines w:val="0"/>
        <w:pageBreakBefore w:val="0"/>
        <w:widowControl w:val="0"/>
        <w:spacing w:line="360" w:lineRule="auto"/>
        <w:ind w:firstLine="480"/>
        <w:rPr>
          <w:rFonts w:hint="eastAsia"/>
          <w:sz w:val="24"/>
        </w:rPr>
      </w:pPr>
      <w:r>
        <w:rPr>
          <w:rFonts w:hint="eastAsia"/>
          <w:sz w:val="24"/>
          <w:lang w:val="en-US" w:eastAsia="zh-CN"/>
        </w:rPr>
        <w:t>11.</w:t>
      </w:r>
      <w:r>
        <w:rPr>
          <w:rFonts w:hint="eastAsia"/>
          <w:sz w:val="24"/>
        </w:rPr>
        <w:t>报价文件出现在其他响应文件中的；</w:t>
      </w:r>
    </w:p>
    <w:p>
      <w:pPr>
        <w:keepNext w:val="0"/>
        <w:keepLines w:val="0"/>
        <w:pageBreakBefore w:val="0"/>
        <w:widowControl w:val="0"/>
        <w:spacing w:line="360" w:lineRule="auto"/>
        <w:ind w:firstLine="480"/>
        <w:rPr>
          <w:sz w:val="24"/>
        </w:rPr>
      </w:pPr>
      <w:r>
        <w:rPr>
          <w:rFonts w:hint="eastAsia"/>
          <w:sz w:val="24"/>
          <w:lang w:val="en-US" w:eastAsia="zh-CN"/>
        </w:rPr>
        <w:t>12.</w:t>
      </w:r>
      <w:r>
        <w:rPr>
          <w:rFonts w:hint="eastAsia"/>
          <w:sz w:val="24"/>
        </w:rPr>
        <w:t>响应文件</w:t>
      </w:r>
      <w:r>
        <w:rPr>
          <w:sz w:val="24"/>
        </w:rPr>
        <w:t>含有采购人不能接受的附加条件的；</w:t>
      </w:r>
    </w:p>
    <w:p>
      <w:pPr>
        <w:keepNext w:val="0"/>
        <w:keepLines w:val="0"/>
        <w:pageBreakBefore w:val="0"/>
        <w:widowControl w:val="0"/>
        <w:spacing w:line="360" w:lineRule="auto"/>
        <w:ind w:firstLine="480"/>
        <w:rPr>
          <w:sz w:val="24"/>
        </w:rPr>
      </w:pPr>
      <w:r>
        <w:rPr>
          <w:rFonts w:hint="eastAsia"/>
          <w:sz w:val="24"/>
        </w:rPr>
        <w:t>1</w:t>
      </w:r>
      <w:r>
        <w:rPr>
          <w:rFonts w:hint="eastAsia"/>
          <w:sz w:val="24"/>
          <w:lang w:val="en-US" w:eastAsia="zh-CN"/>
        </w:rPr>
        <w:t>3.</w:t>
      </w:r>
      <w:r>
        <w:rPr>
          <w:rFonts w:hint="eastAsia"/>
          <w:sz w:val="24"/>
        </w:rPr>
        <w:t>供应商的商务技术部分得分相差悬殊，磋商小组认为得分畸低者没有实质性响应的；</w:t>
      </w:r>
    </w:p>
    <w:p>
      <w:pPr>
        <w:keepNext w:val="0"/>
        <w:keepLines w:val="0"/>
        <w:pageBreakBefore w:val="0"/>
        <w:widowControl w:val="0"/>
        <w:spacing w:line="360" w:lineRule="auto"/>
        <w:ind w:firstLine="480"/>
        <w:rPr>
          <w:rFonts w:hint="eastAsia"/>
          <w:sz w:val="24"/>
        </w:rPr>
      </w:pPr>
      <w:r>
        <w:rPr>
          <w:rFonts w:hint="eastAsia"/>
          <w:sz w:val="24"/>
        </w:rPr>
        <w:t>1</w:t>
      </w:r>
      <w:r>
        <w:rPr>
          <w:rFonts w:hint="eastAsia"/>
          <w:sz w:val="24"/>
          <w:lang w:val="en-US" w:eastAsia="zh-CN"/>
        </w:rPr>
        <w:t>4.</w:t>
      </w:r>
      <w:r>
        <w:rPr>
          <w:rFonts w:hint="eastAsia"/>
          <w:sz w:val="24"/>
        </w:rPr>
        <w:t>响应供应商未在规定时间内提交最后报价的；</w:t>
      </w:r>
    </w:p>
    <w:p>
      <w:pPr>
        <w:keepNext w:val="0"/>
        <w:keepLines w:val="0"/>
        <w:pageBreakBefore w:val="0"/>
        <w:widowControl w:val="0"/>
        <w:spacing w:line="360" w:lineRule="auto"/>
        <w:ind w:firstLine="480"/>
        <w:rPr>
          <w:rFonts w:hint="eastAsia"/>
          <w:sz w:val="24"/>
        </w:rPr>
      </w:pPr>
      <w:r>
        <w:rPr>
          <w:rFonts w:hint="eastAsia"/>
          <w:sz w:val="24"/>
        </w:rPr>
        <w:t>1</w:t>
      </w:r>
      <w:r>
        <w:rPr>
          <w:rFonts w:hint="eastAsia"/>
          <w:sz w:val="24"/>
          <w:lang w:val="en-US" w:eastAsia="zh-CN"/>
        </w:rPr>
        <w:t>5.</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pPr>
        <w:keepNext w:val="0"/>
        <w:keepLines w:val="0"/>
        <w:pageBreakBefore w:val="0"/>
        <w:widowControl w:val="0"/>
        <w:spacing w:line="360" w:lineRule="auto"/>
        <w:ind w:firstLine="480"/>
        <w:rPr>
          <w:rFonts w:hint="eastAsia"/>
          <w:sz w:val="24"/>
        </w:rPr>
      </w:pPr>
      <w:r>
        <w:rPr>
          <w:rFonts w:hint="eastAsia"/>
          <w:sz w:val="24"/>
        </w:rPr>
        <w:t>1</w:t>
      </w:r>
      <w:r>
        <w:rPr>
          <w:rFonts w:hint="eastAsia"/>
          <w:sz w:val="24"/>
          <w:lang w:val="en-US" w:eastAsia="zh-CN"/>
        </w:rPr>
        <w:t>6.</w:t>
      </w:r>
      <w:r>
        <w:rPr>
          <w:rFonts w:hint="eastAsia"/>
          <w:sz w:val="24"/>
        </w:rPr>
        <w:t>供应商</w:t>
      </w:r>
      <w:r>
        <w:rPr>
          <w:sz w:val="24"/>
        </w:rPr>
        <w:t>被 “信用中国”网站（www.creditchina.gov.cn）</w:t>
      </w:r>
      <w:r>
        <w:rPr>
          <w:rFonts w:hint="eastAsia"/>
          <w:sz w:val="24"/>
        </w:rPr>
        <w:t>、“中国政府采购网”（www.ccgp.gov.cn）</w:t>
      </w:r>
      <w:r>
        <w:rPr>
          <w:sz w:val="24"/>
        </w:rPr>
        <w:t>列入失信被执行人或重大税收违法案件当事人名单或政府采购严重失信行为记录名单。或查询“信用中国”</w:t>
      </w:r>
      <w:r>
        <w:rPr>
          <w:rFonts w:hint="eastAsia"/>
          <w:sz w:val="24"/>
        </w:rPr>
        <w:t>、“中国政府采购网”等</w:t>
      </w:r>
      <w:r>
        <w:rPr>
          <w:sz w:val="24"/>
        </w:rPr>
        <w:t>网站后发现</w:t>
      </w:r>
      <w:r>
        <w:rPr>
          <w:rFonts w:hint="eastAsia"/>
          <w:sz w:val="24"/>
        </w:rPr>
        <w:t>供应商</w:t>
      </w:r>
      <w:r>
        <w:rPr>
          <w:sz w:val="24"/>
        </w:rPr>
        <w:t>存在其他不符合《中华人民共和国政府采购法》第二十二条规定条件的信用记录</w:t>
      </w:r>
      <w:r>
        <w:rPr>
          <w:rFonts w:hint="eastAsia"/>
          <w:sz w:val="24"/>
        </w:rPr>
        <w:t>；</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rFonts w:hint="eastAsia"/>
          <w:sz w:val="24"/>
        </w:rPr>
        <w:t>17</w:t>
      </w:r>
      <w:r>
        <w:rPr>
          <w:rFonts w:hint="eastAsia"/>
          <w:sz w:val="24"/>
          <w:lang w:val="en-US" w:eastAsia="zh-CN"/>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r>
        <w:rPr>
          <w:rFonts w:hint="eastAsia"/>
          <w:sz w:val="24"/>
        </w:rPr>
        <w:t xml:space="preserve">      </w:t>
      </w:r>
    </w:p>
    <w:p>
      <w:pPr>
        <w:keepNext w:val="0"/>
        <w:keepLines w:val="0"/>
        <w:pageBreakBefore w:val="0"/>
        <w:widowControl w:val="0"/>
        <w:kinsoku/>
        <w:wordWrap/>
        <w:overflowPunct/>
        <w:topLinePunct w:val="0"/>
        <w:bidi w:val="0"/>
        <w:snapToGrid w:val="0"/>
        <w:spacing w:line="360" w:lineRule="auto"/>
        <w:ind w:firstLine="482" w:firstLineChars="200"/>
        <w:rPr>
          <w:rFonts w:hint="eastAsia"/>
          <w:b/>
          <w:sz w:val="24"/>
        </w:rPr>
      </w:pPr>
      <w:r>
        <w:rPr>
          <w:rFonts w:hint="eastAsia"/>
          <w:b/>
          <w:sz w:val="24"/>
        </w:rPr>
        <w:t>五、出现下列情形之一的，作废标处理</w:t>
      </w:r>
    </w:p>
    <w:p>
      <w:pPr>
        <w:keepNext w:val="0"/>
        <w:keepLines w:val="0"/>
        <w:pageBreakBefore w:val="0"/>
        <w:widowControl w:val="0"/>
        <w:kinsoku/>
        <w:wordWrap/>
        <w:overflowPunct/>
        <w:topLinePunct w:val="0"/>
        <w:bidi w:val="0"/>
        <w:snapToGrid w:val="0"/>
        <w:spacing w:line="360" w:lineRule="auto"/>
        <w:ind w:firstLine="480" w:firstLineChars="200"/>
        <w:rPr>
          <w:rFonts w:ascii="Times New Roman" w:hAnsi="Times New Roman" w:eastAsia="宋体" w:cs="Times New Roman"/>
          <w:sz w:val="24"/>
        </w:rPr>
      </w:pPr>
      <w:r>
        <w:rPr>
          <w:sz w:val="24"/>
        </w:rPr>
        <w:t>1</w:t>
      </w:r>
      <w:r>
        <w:rPr>
          <w:rFonts w:hint="eastAsia"/>
          <w:sz w:val="24"/>
          <w:lang w:val="en-US" w:eastAsia="zh-CN"/>
        </w:rPr>
        <w:t>.</w:t>
      </w:r>
      <w:r>
        <w:rPr>
          <w:sz w:val="24"/>
        </w:rPr>
        <w:t>符合专业条件的</w:t>
      </w:r>
      <w:r>
        <w:rPr>
          <w:rFonts w:hint="eastAsia"/>
          <w:sz w:val="24"/>
        </w:rPr>
        <w:t>供应商</w:t>
      </w:r>
      <w:r>
        <w:rPr>
          <w:sz w:val="24"/>
        </w:rPr>
        <w:t>或者对</w:t>
      </w:r>
      <w:r>
        <w:rPr>
          <w:rFonts w:hint="eastAsia"/>
          <w:sz w:val="24"/>
        </w:rPr>
        <w:t>采购文件</w:t>
      </w:r>
      <w:r>
        <w:rPr>
          <w:sz w:val="24"/>
        </w:rPr>
        <w:t>作</w:t>
      </w:r>
      <w:r>
        <w:rPr>
          <w:rFonts w:ascii="Times New Roman" w:hAnsi="Times New Roman" w:eastAsia="宋体" w:cs="Times New Roman"/>
          <w:sz w:val="24"/>
        </w:rPr>
        <w:t>实质响应的</w:t>
      </w:r>
      <w:r>
        <w:rPr>
          <w:rFonts w:hint="eastAsia" w:ascii="Times New Roman" w:hAnsi="Times New Roman" w:eastAsia="宋体" w:cs="Times New Roman"/>
          <w:sz w:val="24"/>
        </w:rPr>
        <w:t>供应商</w:t>
      </w:r>
      <w:r>
        <w:rPr>
          <w:rFonts w:ascii="Times New Roman" w:hAnsi="Times New Roman" w:eastAsia="宋体" w:cs="Times New Roman"/>
          <w:sz w:val="24"/>
        </w:rPr>
        <w:t>不足</w:t>
      </w:r>
      <w:r>
        <w:rPr>
          <w:rFonts w:hint="eastAsia" w:ascii="Times New Roman" w:hAnsi="Times New Roman" w:eastAsia="宋体" w:cs="Times New Roman"/>
          <w:sz w:val="24"/>
          <w:lang w:eastAsia="zh-CN"/>
        </w:rPr>
        <w:t>三</w:t>
      </w:r>
      <w:r>
        <w:rPr>
          <w:rFonts w:ascii="Times New Roman" w:hAnsi="Times New Roman" w:eastAsia="宋体" w:cs="Times New Roman"/>
          <w:sz w:val="24"/>
        </w:rPr>
        <w:t>家的；</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rFonts w:hint="eastAsia"/>
          <w:sz w:val="24"/>
        </w:rPr>
        <w:t>2</w:t>
      </w:r>
      <w:r>
        <w:rPr>
          <w:rFonts w:hint="eastAsia"/>
          <w:sz w:val="24"/>
          <w:lang w:val="en-US" w:eastAsia="zh-CN"/>
        </w:rPr>
        <w:t>.</w:t>
      </w:r>
      <w:r>
        <w:rPr>
          <w:sz w:val="24"/>
        </w:rPr>
        <w:t>出现影响采购公正的违法违规行为的；</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3</w:t>
      </w:r>
      <w:r>
        <w:rPr>
          <w:rFonts w:hint="eastAsia"/>
          <w:sz w:val="24"/>
          <w:lang w:val="en-US" w:eastAsia="zh-CN"/>
        </w:rPr>
        <w:t>.</w:t>
      </w:r>
      <w:r>
        <w:rPr>
          <w:rFonts w:hint="eastAsia"/>
          <w:sz w:val="24"/>
        </w:rPr>
        <w:t>供应商</w:t>
      </w:r>
      <w:r>
        <w:rPr>
          <w:sz w:val="24"/>
        </w:rPr>
        <w:t>的报价均超过了采购预算，采购人不能支付的；</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sz w:val="24"/>
        </w:rPr>
        <w:t>4</w:t>
      </w:r>
      <w:r>
        <w:rPr>
          <w:rFonts w:hint="eastAsia"/>
          <w:sz w:val="24"/>
          <w:lang w:val="en-US" w:eastAsia="zh-CN"/>
        </w:rPr>
        <w:t>.</w:t>
      </w:r>
      <w:r>
        <w:rPr>
          <w:sz w:val="24"/>
        </w:rPr>
        <w:t>因重大变故，采购任务取消的</w:t>
      </w:r>
      <w:r>
        <w:rPr>
          <w:rFonts w:hint="eastAsia"/>
          <w:sz w:val="24"/>
        </w:rPr>
        <w:t>；</w:t>
      </w:r>
    </w:p>
    <w:p>
      <w:pPr>
        <w:keepNext w:val="0"/>
        <w:keepLines w:val="0"/>
        <w:pageBreakBefore w:val="0"/>
        <w:widowControl w:val="0"/>
        <w:kinsoku/>
        <w:wordWrap/>
        <w:overflowPunct/>
        <w:topLinePunct w:val="0"/>
        <w:bidi w:val="0"/>
        <w:snapToGrid w:val="0"/>
        <w:spacing w:line="360" w:lineRule="auto"/>
        <w:ind w:firstLine="480" w:firstLineChars="200"/>
        <w:rPr>
          <w:rFonts w:hint="eastAsia" w:eastAsia="宋体"/>
          <w:kern w:val="0"/>
          <w:sz w:val="24"/>
          <w:szCs w:val="20"/>
          <w:lang w:eastAsia="zh-CN"/>
        </w:rPr>
      </w:pPr>
      <w:r>
        <w:rPr>
          <w:rFonts w:hint="eastAsia"/>
          <w:kern w:val="0"/>
          <w:sz w:val="24"/>
          <w:szCs w:val="20"/>
        </w:rPr>
        <w:t>5磋商小组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lang w:eastAsia="zh-CN"/>
        </w:rPr>
        <w:t>。</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rFonts w:hint="eastAsia"/>
          <w:sz w:val="24"/>
        </w:rPr>
        <w:t>上述均保留磋商小组认定可以确定为无效响应或废标的其他情况。</w:t>
      </w:r>
    </w:p>
    <w:p>
      <w:pPr>
        <w:keepNext w:val="0"/>
        <w:keepLines w:val="0"/>
        <w:pageBreakBefore w:val="0"/>
        <w:widowControl w:val="0"/>
        <w:kinsoku/>
        <w:wordWrap/>
        <w:overflowPunct/>
        <w:topLinePunct w:val="0"/>
        <w:bidi w:val="0"/>
        <w:snapToGrid w:val="0"/>
        <w:spacing w:line="360" w:lineRule="auto"/>
        <w:ind w:firstLine="482" w:firstLineChars="200"/>
        <w:rPr>
          <w:rFonts w:hint="eastAsia"/>
          <w:b/>
          <w:sz w:val="24"/>
        </w:rPr>
      </w:pPr>
      <w:r>
        <w:rPr>
          <w:rFonts w:hint="eastAsia"/>
          <w:b/>
          <w:sz w:val="24"/>
        </w:rPr>
        <w:t>六</w:t>
      </w:r>
      <w:r>
        <w:rPr>
          <w:rFonts w:hint="eastAsia"/>
          <w:sz w:val="24"/>
        </w:rPr>
        <w:t>、</w:t>
      </w:r>
      <w:r>
        <w:rPr>
          <w:rFonts w:hint="eastAsia"/>
          <w:b/>
          <w:sz w:val="24"/>
        </w:rPr>
        <w:t>变更为其他方式采购的情形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sz w:val="24"/>
          <w:lang w:val="zh-CN"/>
        </w:rPr>
      </w:pPr>
      <w:r>
        <w:rPr>
          <w:rFonts w:hint="eastAsia"/>
          <w:sz w:val="24"/>
        </w:rPr>
        <w:t>响应</w:t>
      </w:r>
      <w:r>
        <w:rPr>
          <w:sz w:val="24"/>
        </w:rPr>
        <w:t>截止时间出现：</w:t>
      </w:r>
      <w:r>
        <w:rPr>
          <w:rFonts w:hint="eastAsia"/>
          <w:sz w:val="24"/>
        </w:rPr>
        <w:t>响应</w:t>
      </w:r>
      <w:r>
        <w:rPr>
          <w:sz w:val="24"/>
        </w:rPr>
        <w:t>的供</w:t>
      </w:r>
      <w:r>
        <w:rPr>
          <w:rFonts w:ascii="Times New Roman" w:hAnsi="Times New Roman" w:eastAsia="宋体" w:cs="Times New Roman"/>
          <w:sz w:val="24"/>
        </w:rPr>
        <w:t>应商不足</w:t>
      </w:r>
      <w:r>
        <w:rPr>
          <w:rFonts w:hint="eastAsia" w:ascii="Times New Roman" w:hAnsi="Times New Roman" w:eastAsia="宋体" w:cs="Times New Roman"/>
          <w:sz w:val="24"/>
          <w:lang w:eastAsia="zh-CN"/>
        </w:rPr>
        <w:t>三</w:t>
      </w:r>
      <w:r>
        <w:rPr>
          <w:rFonts w:ascii="Times New Roman" w:hAnsi="Times New Roman" w:eastAsia="宋体" w:cs="Times New Roman"/>
          <w:sz w:val="24"/>
        </w:rPr>
        <w:t>家的，及评</w:t>
      </w:r>
      <w:r>
        <w:rPr>
          <w:rFonts w:hint="eastAsia" w:ascii="Times New Roman" w:hAnsi="Times New Roman" w:eastAsia="宋体" w:cs="Times New Roman"/>
          <w:sz w:val="24"/>
        </w:rPr>
        <w:t>审</w:t>
      </w:r>
      <w:r>
        <w:rPr>
          <w:rFonts w:ascii="Times New Roman" w:hAnsi="Times New Roman" w:eastAsia="宋体" w:cs="Times New Roman"/>
          <w:sz w:val="24"/>
        </w:rPr>
        <w:t>中出现符合专业条件的供应商或对</w:t>
      </w:r>
      <w:r>
        <w:rPr>
          <w:rFonts w:hint="eastAsia" w:ascii="Times New Roman" w:hAnsi="Times New Roman" w:eastAsia="宋体" w:cs="Times New Roman"/>
          <w:sz w:val="24"/>
        </w:rPr>
        <w:t>采购文件</w:t>
      </w:r>
      <w:r>
        <w:rPr>
          <w:rFonts w:ascii="Times New Roman" w:hAnsi="Times New Roman" w:eastAsia="宋体" w:cs="Times New Roman"/>
          <w:sz w:val="24"/>
        </w:rPr>
        <w:t>作实质响应的</w:t>
      </w:r>
      <w:r>
        <w:rPr>
          <w:rFonts w:hint="eastAsia" w:ascii="Times New Roman" w:hAnsi="Times New Roman" w:eastAsia="宋体" w:cs="Times New Roman"/>
          <w:sz w:val="24"/>
        </w:rPr>
        <w:t>供应商</w:t>
      </w:r>
      <w:r>
        <w:rPr>
          <w:rFonts w:ascii="Times New Roman" w:hAnsi="Times New Roman" w:eastAsia="宋体" w:cs="Times New Roman"/>
          <w:sz w:val="24"/>
        </w:rPr>
        <w:t>不足</w:t>
      </w:r>
      <w:r>
        <w:rPr>
          <w:rFonts w:hint="eastAsia" w:ascii="Times New Roman" w:hAnsi="Times New Roman" w:eastAsia="宋体" w:cs="Times New Roman"/>
          <w:sz w:val="24"/>
          <w:lang w:eastAsia="zh-CN"/>
        </w:rPr>
        <w:t>三</w:t>
      </w:r>
      <w:r>
        <w:rPr>
          <w:rFonts w:ascii="Times New Roman" w:hAnsi="Times New Roman" w:eastAsia="宋体" w:cs="Times New Roman"/>
          <w:sz w:val="24"/>
        </w:rPr>
        <w:t>家如下情形时，除采购任务取消外，采购人报告财政局，视情采取其他方式采购。</w:t>
      </w:r>
      <w:r>
        <w:rPr>
          <w:rFonts w:ascii="Times New Roman" w:hAnsi="Times New Roman" w:eastAsia="宋体" w:cs="Times New Roman"/>
          <w:sz w:val="24"/>
          <w:lang w:val="zh-CN"/>
        </w:rPr>
        <w:t>本次</w:t>
      </w:r>
      <w:r>
        <w:rPr>
          <w:rFonts w:hint="eastAsia" w:ascii="Times New Roman" w:hAnsi="Times New Roman" w:eastAsia="宋体" w:cs="Times New Roman"/>
          <w:sz w:val="24"/>
          <w:lang w:val="zh-CN"/>
        </w:rPr>
        <w:t>采购文件</w:t>
      </w:r>
      <w:r>
        <w:rPr>
          <w:rFonts w:ascii="Times New Roman" w:hAnsi="Times New Roman" w:eastAsia="宋体" w:cs="Times New Roman"/>
          <w:sz w:val="24"/>
          <w:lang w:val="zh-CN"/>
        </w:rPr>
        <w:t>中对供应商资质</w:t>
      </w:r>
      <w:r>
        <w:rPr>
          <w:sz w:val="24"/>
          <w:lang w:val="zh-CN"/>
        </w:rPr>
        <w:t>、技术等要求，将作为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pPr>
        <w:pStyle w:val="17"/>
        <w:keepNext w:val="0"/>
        <w:keepLines w:val="0"/>
        <w:pageBreakBefore w:val="0"/>
        <w:widowControl w:val="0"/>
        <w:kinsoku/>
        <w:wordWrap/>
        <w:overflowPunct/>
        <w:topLinePunct w:val="0"/>
        <w:bidi w:val="0"/>
        <w:snapToGrid w:val="0"/>
        <w:spacing w:before="0" w:after="0" w:line="360" w:lineRule="auto"/>
        <w:ind w:left="0" w:right="0" w:firstLine="482" w:firstLineChars="200"/>
        <w:jc w:val="left"/>
        <w:rPr>
          <w:rFonts w:hint="eastAsia" w:ascii="Times New Roman" w:hAnsi="Times New Roman"/>
          <w:b/>
          <w:lang w:val="en-US" w:eastAsia="zh-CN"/>
        </w:rPr>
      </w:pPr>
      <w:r>
        <w:rPr>
          <w:rFonts w:hint="eastAsia" w:ascii="Times New Roman" w:hAnsi="Times New Roman"/>
          <w:b/>
          <w:lang w:val="en-US" w:eastAsia="zh-CN"/>
        </w:rPr>
        <w:t>七、磋商程序及评审方法和标准</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供应商商务、技术部分和价格部分的合计分值，为该供应商的评审总得分。</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评委在认真审阅响应文件的基础上，根据各响应文件的响应程度独立评判，不得统一打分。</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（一）磋商小组对供应商资格进行审查</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供应商资格不合格的，其响应文件判定为无效响应文件。</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（二）磋商小组对符合资格供应商的响应文件进行符合性审查</w:t>
      </w:r>
    </w:p>
    <w:p>
      <w:pPr>
        <w:keepNext w:val="0"/>
        <w:keepLines w:val="0"/>
        <w:pageBreakBefore w:val="0"/>
        <w:widowControl w:val="0"/>
        <w:kinsoku/>
        <w:wordWrap/>
        <w:overflowPunct/>
        <w:topLinePunct w:val="0"/>
        <w:bidi w:val="0"/>
        <w:snapToGrid w:val="0"/>
        <w:spacing w:line="360" w:lineRule="auto"/>
        <w:ind w:firstLine="480" w:firstLineChars="200"/>
        <w:rPr>
          <w:rFonts w:hint="eastAsia" w:cs="宋体"/>
          <w:sz w:val="24"/>
        </w:rPr>
      </w:pPr>
      <w:r>
        <w:rPr>
          <w:rFonts w:hint="eastAsia" w:cs="宋体"/>
          <w:sz w:val="24"/>
        </w:rPr>
        <w:t xml:space="preserve">未通过符合性审查的响应文件，将被判为不满足磋商文件实质性要求。 </w:t>
      </w:r>
    </w:p>
    <w:p>
      <w:pPr>
        <w:keepNext w:val="0"/>
        <w:keepLines w:val="0"/>
        <w:pageBreakBefore w:val="0"/>
        <w:widowControl w:val="0"/>
        <w:kinsoku/>
        <w:wordWrap/>
        <w:overflowPunct/>
        <w:topLinePunct w:val="0"/>
        <w:bidi w:val="0"/>
        <w:snapToGrid w:val="0"/>
        <w:spacing w:line="360" w:lineRule="auto"/>
        <w:ind w:firstLine="482" w:firstLineChars="200"/>
        <w:rPr>
          <w:rFonts w:hint="default" w:ascii="Times New Roman" w:hAnsi="Times New Roman" w:eastAsia="宋体" w:cs="Times New Roman"/>
          <w:b/>
          <w:kern w:val="0"/>
          <w:sz w:val="24"/>
          <w:highlight w:val="none"/>
          <w:lang w:val="en-US" w:eastAsia="zh-CN"/>
        </w:rPr>
      </w:pPr>
      <w:r>
        <w:rPr>
          <w:rFonts w:hint="eastAsia" w:ascii="Times New Roman" w:hAnsi="Times New Roman" w:eastAsia="宋体" w:cs="Times New Roman"/>
          <w:b/>
          <w:kern w:val="0"/>
          <w:sz w:val="24"/>
          <w:highlight w:val="none"/>
        </w:rPr>
        <w:t>（</w:t>
      </w:r>
      <w:r>
        <w:rPr>
          <w:rFonts w:hint="eastAsia" w:ascii="Times New Roman" w:hAnsi="Times New Roman" w:eastAsia="宋体" w:cs="Times New Roman"/>
          <w:b/>
          <w:kern w:val="0"/>
          <w:sz w:val="24"/>
          <w:highlight w:val="none"/>
          <w:lang w:val="zh-CN"/>
        </w:rPr>
        <w:t>三</w:t>
      </w:r>
      <w:r>
        <w:rPr>
          <w:rFonts w:hint="eastAsia" w:ascii="Times New Roman" w:hAnsi="Times New Roman" w:eastAsia="宋体" w:cs="Times New Roman"/>
          <w:b/>
          <w:kern w:val="0"/>
          <w:sz w:val="24"/>
          <w:highlight w:val="none"/>
        </w:rPr>
        <w:t>）</w:t>
      </w:r>
      <w:r>
        <w:rPr>
          <w:rFonts w:hint="eastAsia" w:ascii="Times New Roman" w:hAnsi="Times New Roman" w:eastAsia="宋体" w:cs="Times New Roman"/>
          <w:b/>
          <w:kern w:val="0"/>
          <w:sz w:val="24"/>
          <w:highlight w:val="none"/>
          <w:lang w:val="zh-CN"/>
        </w:rPr>
        <w:t>商务技术分：</w:t>
      </w:r>
      <w:r>
        <w:rPr>
          <w:rFonts w:hint="eastAsia" w:ascii="Times New Roman" w:hAnsi="Times New Roman" w:eastAsia="宋体" w:cs="Times New Roman"/>
          <w:b/>
          <w:kern w:val="0"/>
          <w:sz w:val="24"/>
          <w:highlight w:val="none"/>
          <w:lang w:val="en-US" w:eastAsia="zh-CN"/>
        </w:rPr>
        <w:t>70</w:t>
      </w:r>
      <w:r>
        <w:rPr>
          <w:rFonts w:hint="eastAsia" w:ascii="Times New Roman" w:hAnsi="Times New Roman" w:eastAsia="宋体" w:cs="Times New Roman"/>
          <w:b/>
          <w:kern w:val="0"/>
          <w:sz w:val="24"/>
          <w:highlight w:val="none"/>
          <w:lang w:val="zh-CN"/>
        </w:rPr>
        <w:t>分</w:t>
      </w:r>
      <w:r>
        <w:rPr>
          <w:rFonts w:hint="eastAsia" w:cs="Times New Roman"/>
          <w:b/>
          <w:kern w:val="0"/>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rPr>
          <w:rFonts w:hint="eastAsia" w:ascii="宋体" w:hAnsi="宋体"/>
          <w:sz w:val="24"/>
          <w:highlight w:val="none"/>
        </w:rPr>
      </w:pPr>
      <w:r>
        <w:rPr>
          <w:rFonts w:hint="eastAsia" w:ascii="宋体" w:hAnsi="宋体"/>
          <w:sz w:val="24"/>
          <w:highlight w:val="none"/>
        </w:rPr>
        <w:t>供应商得分为磋商小组成员评分的算术平均分,分值保留小数点后两位。</w:t>
      </w:r>
    </w:p>
    <w:tbl>
      <w:tblPr>
        <w:tblStyle w:val="14"/>
        <w:tblpPr w:leftFromText="180" w:rightFromText="180" w:vertAnchor="text" w:horzAnchor="page" w:tblpXSpec="center" w:tblpY="357"/>
        <w:tblW w:w="9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482"/>
        <w:gridCol w:w="1020"/>
        <w:gridCol w:w="7440"/>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53" w:hRule="atLeast"/>
          <w:tblHeader/>
          <w:jc w:val="center"/>
        </w:trPr>
        <w:tc>
          <w:tcPr>
            <w:tcW w:w="482" w:type="dxa"/>
            <w:shd w:val="clear" w:color="auto" w:fill="auto"/>
            <w:noWrap/>
            <w:vAlign w:val="center"/>
          </w:tcPr>
          <w:p>
            <w:pPr>
              <w:spacing w:line="276" w:lineRule="auto"/>
              <w:jc w:val="center"/>
              <w:rPr>
                <w:rFonts w:hint="eastAsia" w:ascii="宋体" w:hAnsi="宋体" w:eastAsia="宋体" w:cs="宋体"/>
                <w:b/>
                <w:bCs/>
                <w:spacing w:val="1"/>
                <w:sz w:val="21"/>
                <w:szCs w:val="21"/>
              </w:rPr>
            </w:pPr>
            <w:r>
              <w:rPr>
                <w:rFonts w:hint="eastAsia" w:ascii="宋体" w:hAnsi="宋体" w:eastAsia="宋体" w:cs="宋体"/>
                <w:b/>
                <w:bCs/>
                <w:spacing w:val="1"/>
                <w:sz w:val="21"/>
                <w:szCs w:val="21"/>
              </w:rPr>
              <w:t>序号</w:t>
            </w:r>
          </w:p>
        </w:tc>
        <w:tc>
          <w:tcPr>
            <w:tcW w:w="1020" w:type="dxa"/>
            <w:shd w:val="clear" w:color="auto" w:fill="auto"/>
            <w:noWrap/>
            <w:vAlign w:val="center"/>
          </w:tcPr>
          <w:p>
            <w:pPr>
              <w:spacing w:line="276" w:lineRule="auto"/>
              <w:jc w:val="center"/>
              <w:rPr>
                <w:rFonts w:hint="eastAsia" w:ascii="宋体" w:hAnsi="宋体" w:eastAsia="宋体" w:cs="宋体"/>
                <w:b/>
                <w:bCs/>
                <w:spacing w:val="1"/>
                <w:sz w:val="21"/>
                <w:szCs w:val="21"/>
              </w:rPr>
            </w:pPr>
            <w:r>
              <w:rPr>
                <w:rFonts w:hint="eastAsia" w:ascii="宋体" w:hAnsi="宋体" w:eastAsia="宋体" w:cs="宋体"/>
                <w:b/>
                <w:bCs/>
                <w:spacing w:val="1"/>
                <w:sz w:val="21"/>
                <w:szCs w:val="21"/>
              </w:rPr>
              <w:t>评审因素</w:t>
            </w:r>
          </w:p>
        </w:tc>
        <w:tc>
          <w:tcPr>
            <w:tcW w:w="7440" w:type="dxa"/>
            <w:shd w:val="clear" w:color="auto" w:fill="auto"/>
            <w:noWrap/>
            <w:vAlign w:val="center"/>
          </w:tcPr>
          <w:p>
            <w:pPr>
              <w:spacing w:line="276" w:lineRule="auto"/>
              <w:jc w:val="center"/>
              <w:rPr>
                <w:rFonts w:hint="eastAsia" w:ascii="宋体" w:hAnsi="宋体" w:eastAsia="宋体" w:cs="宋体"/>
                <w:b/>
                <w:bCs/>
                <w:spacing w:val="1"/>
                <w:sz w:val="21"/>
                <w:szCs w:val="21"/>
              </w:rPr>
            </w:pPr>
            <w:r>
              <w:rPr>
                <w:rFonts w:hint="eastAsia" w:ascii="宋体" w:hAnsi="宋体" w:eastAsia="宋体" w:cs="宋体"/>
                <w:b/>
                <w:bCs/>
                <w:spacing w:val="1"/>
                <w:sz w:val="21"/>
                <w:szCs w:val="21"/>
              </w:rPr>
              <w:t>评审细则</w:t>
            </w:r>
          </w:p>
        </w:tc>
        <w:tc>
          <w:tcPr>
            <w:tcW w:w="848" w:type="dxa"/>
            <w:shd w:val="clear" w:color="auto" w:fill="auto"/>
            <w:noWrap/>
            <w:vAlign w:val="center"/>
          </w:tcPr>
          <w:p>
            <w:pPr>
              <w:spacing w:line="276" w:lineRule="auto"/>
              <w:jc w:val="center"/>
              <w:rPr>
                <w:rFonts w:hint="eastAsia" w:ascii="宋体" w:hAnsi="宋体" w:eastAsia="宋体" w:cs="宋体"/>
                <w:b/>
                <w:bCs/>
                <w:spacing w:val="1"/>
                <w:sz w:val="21"/>
                <w:szCs w:val="21"/>
              </w:rPr>
            </w:pPr>
            <w:r>
              <w:rPr>
                <w:rFonts w:hint="eastAsia" w:ascii="宋体" w:hAnsi="宋体" w:eastAsia="宋体" w:cs="宋体"/>
                <w:b/>
                <w:bCs/>
                <w:spacing w:val="1"/>
                <w:sz w:val="21"/>
                <w:szCs w:val="21"/>
              </w:rPr>
              <w:t>分值</w:t>
            </w:r>
          </w:p>
          <w:p>
            <w:pPr>
              <w:spacing w:line="276" w:lineRule="auto"/>
              <w:jc w:val="center"/>
              <w:rPr>
                <w:rFonts w:hint="eastAsia" w:ascii="宋体" w:hAnsi="宋体" w:eastAsia="宋体" w:cs="宋体"/>
                <w:b/>
                <w:bCs/>
                <w:spacing w:val="1"/>
                <w:sz w:val="21"/>
                <w:szCs w:val="21"/>
                <w:lang w:eastAsia="zh-CN"/>
              </w:rPr>
            </w:pPr>
            <w:r>
              <w:rPr>
                <w:rFonts w:hint="eastAsia" w:ascii="宋体" w:hAnsi="宋体" w:cs="宋体"/>
                <w:b/>
                <w:bCs/>
                <w:spacing w:val="1"/>
                <w:sz w:val="21"/>
                <w:szCs w:val="21"/>
                <w:lang w:eastAsia="zh-CN"/>
              </w:rPr>
              <w:t>（</w:t>
            </w:r>
            <w:r>
              <w:rPr>
                <w:rFonts w:hint="eastAsia" w:ascii="宋体" w:hAnsi="宋体" w:cs="宋体"/>
                <w:b/>
                <w:bCs/>
                <w:spacing w:val="1"/>
                <w:sz w:val="21"/>
                <w:szCs w:val="21"/>
                <w:lang w:val="en-US" w:eastAsia="zh-CN"/>
              </w:rPr>
              <w:t>70分</w:t>
            </w:r>
            <w:r>
              <w:rPr>
                <w:rFonts w:hint="eastAsia" w:ascii="宋体" w:hAnsi="宋体" w:cs="宋体"/>
                <w:b/>
                <w:bCs/>
                <w:spacing w:val="1"/>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82" w:type="dxa"/>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1</w:t>
            </w:r>
          </w:p>
        </w:tc>
        <w:tc>
          <w:tcPr>
            <w:tcW w:w="1020" w:type="dxa"/>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技术参数及要求</w:t>
            </w:r>
          </w:p>
        </w:tc>
        <w:tc>
          <w:tcPr>
            <w:tcW w:w="7440" w:type="dxa"/>
            <w:shd w:val="clear" w:color="auto" w:fill="auto"/>
            <w:noWrap/>
          </w:tcPr>
          <w:p>
            <w:pPr>
              <w:spacing w:line="276"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投标人所投产品完全满足技术参数要求中所有参数要求的，得30分；主要参数(标注▲的参数)每有一项不符合则扣2分，扣完为止。</w:t>
            </w:r>
          </w:p>
          <w:p>
            <w:pPr>
              <w:spacing w:line="276" w:lineRule="auto"/>
              <w:rPr>
                <w:rFonts w:hint="eastAsia" w:ascii="宋体" w:hAnsi="宋体" w:eastAsia="宋体" w:cs="宋体"/>
                <w:spacing w:val="1"/>
                <w:sz w:val="21"/>
                <w:szCs w:val="21"/>
              </w:rPr>
            </w:pPr>
            <w:r>
              <w:rPr>
                <w:rFonts w:hint="eastAsia" w:ascii="宋体" w:hAnsi="宋体" w:eastAsia="宋体" w:cs="宋体"/>
                <w:b/>
                <w:bCs/>
                <w:spacing w:val="1"/>
                <w:sz w:val="21"/>
                <w:szCs w:val="21"/>
              </w:rPr>
              <w:t>注:</w:t>
            </w:r>
            <w:r>
              <w:rPr>
                <w:rFonts w:hint="eastAsia" w:ascii="宋体" w:hAnsi="宋体" w:cs="宋体"/>
                <w:b/>
                <w:bCs/>
                <w:spacing w:val="1"/>
                <w:sz w:val="21"/>
                <w:szCs w:val="21"/>
                <w:lang w:val="en-US" w:eastAsia="zh-CN"/>
              </w:rPr>
              <w:t>所有</w:t>
            </w:r>
            <w:r>
              <w:rPr>
                <w:rFonts w:hint="eastAsia" w:ascii="宋体" w:hAnsi="宋体" w:eastAsia="宋体" w:cs="宋体"/>
                <w:b/>
                <w:bCs/>
                <w:sz w:val="21"/>
                <w:szCs w:val="21"/>
              </w:rPr>
              <w:t>带“▲”项需提供</w:t>
            </w:r>
            <w:r>
              <w:rPr>
                <w:rFonts w:hint="eastAsia" w:ascii="宋体" w:hAnsi="宋体" w:cs="宋体"/>
                <w:b/>
                <w:bCs/>
                <w:sz w:val="21"/>
                <w:szCs w:val="21"/>
                <w:lang w:val="en-US" w:eastAsia="zh-CN"/>
              </w:rPr>
              <w:t>相关佐证材料并</w:t>
            </w:r>
            <w:r>
              <w:rPr>
                <w:rFonts w:hint="eastAsia" w:ascii="宋体" w:hAnsi="宋体" w:eastAsia="宋体" w:cs="宋体"/>
                <w:b/>
                <w:bCs/>
                <w:sz w:val="21"/>
                <w:szCs w:val="21"/>
                <w:lang w:val="en-US" w:eastAsia="zh-CN"/>
              </w:rPr>
              <w:t>加盖</w:t>
            </w:r>
            <w:r>
              <w:rPr>
                <w:rFonts w:hint="eastAsia" w:ascii="宋体" w:hAnsi="宋体" w:eastAsia="宋体" w:cs="宋体"/>
                <w:b/>
                <w:bCs/>
                <w:sz w:val="21"/>
                <w:szCs w:val="21"/>
              </w:rPr>
              <w:t>投标人公章，未按要求提供</w:t>
            </w:r>
            <w:r>
              <w:rPr>
                <w:rFonts w:hint="eastAsia" w:ascii="宋体" w:hAnsi="宋体" w:cs="宋体"/>
                <w:b/>
                <w:bCs/>
                <w:sz w:val="21"/>
                <w:szCs w:val="21"/>
                <w:lang w:val="en-US" w:eastAsia="zh-CN"/>
              </w:rPr>
              <w:t>相关佐证材料</w:t>
            </w:r>
            <w:r>
              <w:rPr>
                <w:rFonts w:hint="eastAsia" w:ascii="宋体" w:hAnsi="宋体" w:eastAsia="宋体" w:cs="宋体"/>
                <w:b/>
                <w:bCs/>
                <w:sz w:val="21"/>
                <w:szCs w:val="21"/>
              </w:rPr>
              <w:t>的视为</w:t>
            </w:r>
            <w:r>
              <w:rPr>
                <w:rFonts w:hint="eastAsia" w:ascii="宋体" w:hAnsi="宋体" w:cs="宋体"/>
                <w:b/>
                <w:bCs/>
                <w:sz w:val="21"/>
                <w:szCs w:val="21"/>
                <w:lang w:val="en-US" w:eastAsia="zh-CN"/>
              </w:rPr>
              <w:t>不满足</w:t>
            </w:r>
            <w:r>
              <w:rPr>
                <w:rFonts w:hint="eastAsia" w:ascii="宋体" w:hAnsi="宋体" w:eastAsia="宋体" w:cs="宋体"/>
                <w:b/>
                <w:bCs/>
                <w:sz w:val="21"/>
                <w:szCs w:val="21"/>
              </w:rPr>
              <w:t>。</w:t>
            </w:r>
          </w:p>
        </w:tc>
        <w:tc>
          <w:tcPr>
            <w:tcW w:w="848" w:type="dxa"/>
            <w:shd w:val="clear" w:color="auto" w:fill="auto"/>
            <w:noWrap/>
            <w:vAlign w:val="center"/>
          </w:tcPr>
          <w:p>
            <w:pPr>
              <w:spacing w:line="276"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30</w:t>
            </w:r>
            <w:r>
              <w:rPr>
                <w:rFonts w:hint="eastAsia" w:ascii="宋体" w:hAnsi="宋体" w:cs="宋体"/>
                <w:spacing w:val="1"/>
                <w:sz w:val="21"/>
                <w:szCs w:val="21"/>
                <w:lang w:val="en-US" w:eastAsia="zh-CN"/>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82" w:type="dxa"/>
            <w:shd w:val="clear" w:color="auto" w:fill="auto"/>
            <w:noWrap/>
            <w:vAlign w:val="center"/>
          </w:tcPr>
          <w:p>
            <w:pPr>
              <w:spacing w:line="276"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w:t>
            </w:r>
          </w:p>
        </w:tc>
        <w:tc>
          <w:tcPr>
            <w:tcW w:w="1020" w:type="dxa"/>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eastAsia="zh-CN"/>
              </w:rPr>
              <w:t>类似</w:t>
            </w:r>
            <w:r>
              <w:rPr>
                <w:rFonts w:hint="eastAsia" w:ascii="宋体" w:hAnsi="宋体" w:eastAsia="宋体" w:cs="宋体"/>
                <w:spacing w:val="1"/>
                <w:sz w:val="21"/>
                <w:szCs w:val="21"/>
                <w:lang w:eastAsia="zh-CN"/>
              </w:rPr>
              <w:t>业绩</w:t>
            </w:r>
          </w:p>
        </w:tc>
        <w:tc>
          <w:tcPr>
            <w:tcW w:w="7440" w:type="dxa"/>
            <w:shd w:val="clear" w:color="auto" w:fill="auto"/>
            <w:noWrap/>
          </w:tcPr>
          <w:p>
            <w:pPr>
              <w:spacing w:line="276"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投标人承担过类似工程，每提供一个2021年9月以来的有效业绩得1分，该项最多得2分。</w:t>
            </w:r>
          </w:p>
          <w:p>
            <w:pPr>
              <w:spacing w:line="276" w:lineRule="auto"/>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（相关业绩要求提供施工合同和竣工验收报告复印件并加盖投标人公章。时间、金额均以施工合同中为准。以上材料缺一不可。）</w:t>
            </w:r>
          </w:p>
        </w:tc>
        <w:tc>
          <w:tcPr>
            <w:tcW w:w="848" w:type="dxa"/>
            <w:shd w:val="clear" w:color="auto" w:fill="auto"/>
            <w:noWrap/>
            <w:vAlign w:val="center"/>
          </w:tcPr>
          <w:p>
            <w:pPr>
              <w:spacing w:line="276"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82" w:type="dxa"/>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3</w:t>
            </w:r>
          </w:p>
        </w:tc>
        <w:tc>
          <w:tcPr>
            <w:tcW w:w="1020" w:type="dxa"/>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深化设计方案</w:t>
            </w:r>
          </w:p>
        </w:tc>
        <w:tc>
          <w:tcPr>
            <w:tcW w:w="7440" w:type="dxa"/>
            <w:shd w:val="clear" w:color="auto" w:fill="auto"/>
            <w:noWrap/>
          </w:tcPr>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评委根据投标人提供的深化设计方案(包括不限于：监狱的效果图，系统拓扑图，钢结构施工图纸，分布式系统与显示屏以及监控平台对接的技术方案)综合评分：</w:t>
            </w:r>
          </w:p>
          <w:p>
            <w:pPr>
              <w:spacing w:line="276" w:lineRule="auto"/>
              <w:rPr>
                <w:rFonts w:hint="eastAsia" w:ascii="宋体" w:hAnsi="宋体" w:eastAsia="宋体" w:cs="宋体"/>
                <w:spacing w:val="1"/>
                <w:sz w:val="21"/>
                <w:szCs w:val="21"/>
              </w:rPr>
            </w:pPr>
            <w:r>
              <w:rPr>
                <w:rFonts w:hint="eastAsia" w:ascii="宋体" w:hAnsi="宋体" w:cs="宋体"/>
                <w:spacing w:val="1"/>
                <w:sz w:val="21"/>
                <w:szCs w:val="21"/>
                <w:lang w:val="en-US" w:eastAsia="zh-CN"/>
              </w:rPr>
              <w:t>1.</w:t>
            </w:r>
            <w:r>
              <w:rPr>
                <w:rFonts w:hint="eastAsia" w:ascii="宋体" w:hAnsi="宋体" w:eastAsia="宋体" w:cs="宋体"/>
                <w:spacing w:val="1"/>
                <w:sz w:val="21"/>
                <w:szCs w:val="21"/>
              </w:rPr>
              <w:t>方案内容全面、合理、规范、相关图纸完整</w:t>
            </w:r>
            <w:r>
              <w:rPr>
                <w:rFonts w:hint="eastAsia" w:ascii="宋体" w:hAnsi="宋体" w:eastAsia="宋体" w:cs="宋体"/>
                <w:spacing w:val="1"/>
                <w:sz w:val="21"/>
                <w:szCs w:val="21"/>
                <w:lang w:val="en-US" w:eastAsia="zh-CN"/>
              </w:rPr>
              <w:t>齐全</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设计效果好，符合监狱工作需要，贴合指挥实战需要，细节考虑周全的得8分</w:t>
            </w:r>
            <w:r>
              <w:rPr>
                <w:rFonts w:hint="eastAsia" w:ascii="宋体" w:hAnsi="宋体" w:eastAsia="宋体" w:cs="宋体"/>
                <w:spacing w:val="1"/>
                <w:sz w:val="21"/>
                <w:szCs w:val="21"/>
              </w:rPr>
              <w:t>；</w:t>
            </w:r>
          </w:p>
          <w:p>
            <w:pPr>
              <w:spacing w:line="276" w:lineRule="auto"/>
              <w:rPr>
                <w:rFonts w:hint="eastAsia" w:ascii="宋体" w:hAnsi="宋体" w:eastAsia="宋体" w:cs="宋体"/>
                <w:spacing w:val="1"/>
                <w:sz w:val="21"/>
                <w:szCs w:val="21"/>
              </w:rPr>
            </w:pPr>
            <w:r>
              <w:rPr>
                <w:rFonts w:hint="eastAsia" w:ascii="宋体" w:hAnsi="宋体" w:cs="宋体"/>
                <w:spacing w:val="1"/>
                <w:sz w:val="21"/>
                <w:szCs w:val="21"/>
                <w:lang w:val="en-US" w:eastAsia="zh-CN"/>
              </w:rPr>
              <w:t>2.</w:t>
            </w:r>
            <w:r>
              <w:rPr>
                <w:rFonts w:hint="eastAsia" w:ascii="宋体" w:hAnsi="宋体" w:eastAsia="宋体" w:cs="宋体"/>
                <w:spacing w:val="1"/>
                <w:sz w:val="21"/>
                <w:szCs w:val="21"/>
              </w:rPr>
              <w:t>方案内容</w:t>
            </w:r>
            <w:r>
              <w:rPr>
                <w:rFonts w:hint="eastAsia" w:ascii="宋体" w:hAnsi="宋体" w:eastAsia="宋体" w:cs="宋体"/>
                <w:spacing w:val="1"/>
                <w:sz w:val="21"/>
                <w:szCs w:val="21"/>
                <w:lang w:val="en-US" w:eastAsia="zh-CN"/>
              </w:rPr>
              <w:t>较</w:t>
            </w:r>
            <w:r>
              <w:rPr>
                <w:rFonts w:hint="eastAsia" w:ascii="宋体" w:hAnsi="宋体" w:eastAsia="宋体" w:cs="宋体"/>
                <w:spacing w:val="1"/>
                <w:sz w:val="21"/>
                <w:szCs w:val="21"/>
              </w:rPr>
              <w:t>全面、较合理、较规范、相关图纸较</w:t>
            </w:r>
            <w:r>
              <w:rPr>
                <w:rFonts w:hint="eastAsia" w:ascii="宋体" w:hAnsi="宋体" w:eastAsia="宋体" w:cs="宋体"/>
                <w:spacing w:val="1"/>
                <w:sz w:val="21"/>
                <w:szCs w:val="21"/>
                <w:lang w:val="en-US" w:eastAsia="zh-CN"/>
              </w:rPr>
              <w:t>齐全</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虽设计不够新颖，但</w:t>
            </w:r>
            <w:r>
              <w:rPr>
                <w:rFonts w:hint="eastAsia" w:ascii="宋体" w:hAnsi="宋体" w:eastAsia="宋体" w:cs="宋体"/>
                <w:spacing w:val="1"/>
                <w:sz w:val="21"/>
                <w:szCs w:val="21"/>
              </w:rPr>
              <w:t>较符合现场实际情况的得</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cs="宋体"/>
                <w:spacing w:val="1"/>
                <w:sz w:val="21"/>
                <w:szCs w:val="21"/>
                <w:lang w:val="en-US" w:eastAsia="zh-CN"/>
              </w:rPr>
              <w:t>3.</w:t>
            </w:r>
            <w:r>
              <w:rPr>
                <w:rFonts w:hint="eastAsia" w:ascii="宋体" w:hAnsi="宋体" w:eastAsia="宋体" w:cs="宋体"/>
                <w:spacing w:val="1"/>
                <w:sz w:val="21"/>
                <w:szCs w:val="21"/>
              </w:rPr>
              <w:t>方案内容基本全面、基本合理、基本规范、相关图纸基本</w:t>
            </w:r>
            <w:r>
              <w:rPr>
                <w:rFonts w:hint="eastAsia" w:ascii="宋体" w:hAnsi="宋体" w:eastAsia="宋体" w:cs="宋体"/>
                <w:spacing w:val="1"/>
                <w:sz w:val="21"/>
                <w:szCs w:val="21"/>
                <w:lang w:val="en-US" w:eastAsia="zh-CN"/>
              </w:rPr>
              <w:t xml:space="preserve">齐全 </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对现场设计一般，</w:t>
            </w:r>
            <w:r>
              <w:rPr>
                <w:rFonts w:hint="eastAsia" w:ascii="宋体" w:hAnsi="宋体" w:eastAsia="宋体" w:cs="宋体"/>
                <w:spacing w:val="1"/>
                <w:sz w:val="21"/>
                <w:szCs w:val="21"/>
              </w:rPr>
              <w:t>基本符合现场实际情况的得</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cs="宋体"/>
                <w:spacing w:val="1"/>
                <w:sz w:val="21"/>
                <w:szCs w:val="21"/>
                <w:lang w:val="en-US" w:eastAsia="zh-CN"/>
              </w:rPr>
              <w:t>4.</w:t>
            </w:r>
            <w:r>
              <w:rPr>
                <w:rFonts w:hint="eastAsia" w:ascii="宋体" w:hAnsi="宋体" w:eastAsia="宋体" w:cs="宋体"/>
                <w:spacing w:val="1"/>
                <w:sz w:val="21"/>
                <w:szCs w:val="21"/>
              </w:rPr>
              <w:t>设计方案不全面、不合理、不规范、不符合现场实际情况或未提供的不得分。</w:t>
            </w:r>
          </w:p>
        </w:tc>
        <w:tc>
          <w:tcPr>
            <w:tcW w:w="848" w:type="dxa"/>
            <w:shd w:val="clear" w:color="auto" w:fill="auto"/>
            <w:noWrap/>
            <w:vAlign w:val="center"/>
          </w:tcPr>
          <w:p>
            <w:pPr>
              <w:spacing w:line="276"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8分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482" w:type="dxa"/>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4</w:t>
            </w:r>
          </w:p>
        </w:tc>
        <w:tc>
          <w:tcPr>
            <w:tcW w:w="1020" w:type="dxa"/>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综合能力</w:t>
            </w:r>
          </w:p>
        </w:tc>
        <w:tc>
          <w:tcPr>
            <w:tcW w:w="7440" w:type="dxa"/>
            <w:shd w:val="clear" w:color="auto" w:fill="auto"/>
            <w:noWrap/>
          </w:tcPr>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1.投标人所投显示屏制造商具有视频监控大数据集成平台的软件（提供国家权威部门出具的技术证明文件复印件并加盖</w:t>
            </w:r>
            <w:r>
              <w:rPr>
                <w:rFonts w:hint="eastAsia" w:ascii="宋体" w:hAnsi="宋体" w:eastAsia="宋体" w:cs="宋体"/>
                <w:spacing w:val="1"/>
                <w:sz w:val="21"/>
                <w:szCs w:val="21"/>
                <w:lang w:eastAsia="zh-CN"/>
              </w:rPr>
              <w:t>投标人</w:t>
            </w:r>
            <w:r>
              <w:rPr>
                <w:rFonts w:hint="eastAsia" w:ascii="宋体" w:hAnsi="宋体" w:eastAsia="宋体" w:cs="宋体"/>
                <w:spacing w:val="1"/>
                <w:sz w:val="21"/>
                <w:szCs w:val="21"/>
              </w:rPr>
              <w:t>公章）</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满分2分，缺项不得分；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2.投标人所投显示屏制造商具有物联网智慧集中管控功能（提供国家权威部门出具的技术证明文件并加盖</w:t>
            </w:r>
            <w:r>
              <w:rPr>
                <w:rFonts w:hint="eastAsia" w:ascii="宋体" w:hAnsi="宋体" w:eastAsia="宋体" w:cs="宋体"/>
                <w:spacing w:val="1"/>
                <w:sz w:val="21"/>
                <w:szCs w:val="21"/>
                <w:lang w:eastAsia="zh-CN"/>
              </w:rPr>
              <w:t>投标人</w:t>
            </w:r>
            <w:r>
              <w:rPr>
                <w:rFonts w:hint="eastAsia" w:ascii="宋体" w:hAnsi="宋体" w:eastAsia="宋体" w:cs="宋体"/>
                <w:spacing w:val="1"/>
                <w:sz w:val="21"/>
                <w:szCs w:val="21"/>
              </w:rPr>
              <w:t>公章）</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 xml:space="preserve">满分2分，缺项不得分；     </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3.投标人所投显示屏</w:t>
            </w:r>
            <w:r>
              <w:rPr>
                <w:rFonts w:hint="eastAsia" w:ascii="宋体" w:hAnsi="宋体" w:cs="宋体"/>
                <w:spacing w:val="1"/>
                <w:sz w:val="21"/>
                <w:szCs w:val="21"/>
                <w:lang w:val="en-US" w:eastAsia="zh-CN"/>
              </w:rPr>
              <w:t>的控制系统厂家</w:t>
            </w:r>
            <w:r>
              <w:rPr>
                <w:rFonts w:hint="eastAsia" w:ascii="宋体" w:hAnsi="宋体" w:eastAsia="宋体" w:cs="宋体"/>
                <w:spacing w:val="1"/>
                <w:sz w:val="21"/>
                <w:szCs w:val="21"/>
              </w:rPr>
              <w:t>具有CMMI成熟度5级认证。提供认证证书并加盖</w:t>
            </w:r>
            <w:r>
              <w:rPr>
                <w:rFonts w:hint="eastAsia" w:ascii="宋体" w:hAnsi="宋体" w:eastAsia="宋体" w:cs="宋体"/>
                <w:spacing w:val="1"/>
                <w:sz w:val="21"/>
                <w:szCs w:val="21"/>
                <w:lang w:eastAsia="zh-CN"/>
              </w:rPr>
              <w:t>投标人公章</w:t>
            </w:r>
            <w:r>
              <w:rPr>
                <w:rFonts w:hint="eastAsia" w:ascii="宋体" w:hAnsi="宋体" w:eastAsia="宋体" w:cs="宋体"/>
                <w:spacing w:val="1"/>
                <w:sz w:val="21"/>
                <w:szCs w:val="21"/>
              </w:rPr>
              <w:t xml:space="preserve">。满分2分，缺项不得分。      </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.投标人所投显示屏制造商智能制造能力成熟度2级认证。提供认证证书并加盖</w:t>
            </w:r>
            <w:r>
              <w:rPr>
                <w:rFonts w:hint="eastAsia" w:ascii="宋体" w:hAnsi="宋体" w:eastAsia="宋体" w:cs="宋体"/>
                <w:spacing w:val="1"/>
                <w:sz w:val="21"/>
                <w:szCs w:val="21"/>
                <w:lang w:eastAsia="zh-CN"/>
              </w:rPr>
              <w:t>投标人公章</w:t>
            </w:r>
            <w:r>
              <w:rPr>
                <w:rFonts w:hint="eastAsia" w:ascii="宋体" w:hAnsi="宋体" w:eastAsia="宋体" w:cs="宋体"/>
                <w:spacing w:val="1"/>
                <w:sz w:val="21"/>
                <w:szCs w:val="21"/>
              </w:rPr>
              <w:t>。满分2分，缺项不得分。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5</w:t>
            </w:r>
            <w:r>
              <w:rPr>
                <w:rFonts w:hint="eastAsia" w:ascii="宋体" w:hAnsi="宋体" w:cs="宋体"/>
                <w:spacing w:val="1"/>
                <w:sz w:val="21"/>
                <w:szCs w:val="21"/>
                <w:lang w:eastAsia="zh-CN"/>
              </w:rPr>
              <w:t>.</w:t>
            </w:r>
            <w:r>
              <w:rPr>
                <w:rFonts w:hint="eastAsia" w:ascii="宋体" w:hAnsi="宋体" w:eastAsia="宋体" w:cs="宋体"/>
                <w:spacing w:val="1"/>
                <w:sz w:val="21"/>
                <w:szCs w:val="21"/>
              </w:rPr>
              <w:t>投标人所投分布式制造商需要具备ISO20000服务管理体系认证证书，具备该证书得2分不具备不得分。(投标人需提供有效期内的证书复印件，并加盖投标人公章)</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6</w:t>
            </w:r>
            <w:r>
              <w:rPr>
                <w:rFonts w:hint="eastAsia" w:ascii="宋体" w:hAnsi="宋体" w:cs="宋体"/>
                <w:spacing w:val="1"/>
                <w:sz w:val="21"/>
                <w:szCs w:val="21"/>
                <w:lang w:eastAsia="zh-CN"/>
              </w:rPr>
              <w:t>.</w:t>
            </w:r>
            <w:r>
              <w:rPr>
                <w:rFonts w:hint="eastAsia" w:ascii="宋体" w:hAnsi="宋体" w:eastAsia="宋体" w:cs="宋体"/>
                <w:spacing w:val="1"/>
                <w:sz w:val="21"/>
                <w:szCs w:val="21"/>
              </w:rPr>
              <w:t xml:space="preserve">投标人所投分布式制造商需要具备ISO22301业务连续性管理体系认证证书，具备该证书得2分不具备不得分。(投标人需提供有效期内的证书复印件，并加盖投标人公章)        </w:t>
            </w:r>
          </w:p>
        </w:tc>
        <w:tc>
          <w:tcPr>
            <w:tcW w:w="848" w:type="dxa"/>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12</w:t>
            </w:r>
            <w:r>
              <w:rPr>
                <w:rFonts w:hint="eastAsia" w:ascii="宋体" w:hAnsi="宋体" w:cs="宋体"/>
                <w:spacing w:val="1"/>
                <w:sz w:val="21"/>
                <w:szCs w:val="21"/>
                <w:lang w:val="en-US" w:eastAsia="zh-CN"/>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jc w:val="center"/>
        </w:trPr>
        <w:tc>
          <w:tcPr>
            <w:tcW w:w="482" w:type="dxa"/>
            <w:tcBorders>
              <w:bottom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5</w:t>
            </w:r>
          </w:p>
        </w:tc>
        <w:tc>
          <w:tcPr>
            <w:tcW w:w="1020" w:type="dxa"/>
            <w:tcBorders>
              <w:bottom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项目实施</w:t>
            </w:r>
          </w:p>
        </w:tc>
        <w:tc>
          <w:tcPr>
            <w:tcW w:w="7440" w:type="dxa"/>
            <w:tcBorders>
              <w:bottom w:val="single" w:color="auto" w:sz="4" w:space="0"/>
            </w:tcBorders>
            <w:shd w:val="clear" w:color="auto" w:fill="auto"/>
            <w:noWrap/>
          </w:tcPr>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评委根据投标人提供的组织实施方案（包含时间进度安排、项目安全措施、质量措施、技术控制措施等施工方案和验收方案内容）进行综合评分：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cs="宋体"/>
                <w:spacing w:val="1"/>
                <w:sz w:val="21"/>
                <w:szCs w:val="21"/>
                <w:lang w:eastAsia="zh-CN"/>
              </w:rPr>
              <w:t>.</w:t>
            </w:r>
            <w:r>
              <w:rPr>
                <w:rFonts w:hint="eastAsia" w:ascii="宋体" w:hAnsi="宋体" w:eastAsia="宋体" w:cs="宋体"/>
                <w:spacing w:val="1"/>
                <w:sz w:val="21"/>
                <w:szCs w:val="21"/>
              </w:rPr>
              <w:t>投标人提供的组织实施方案（包含时间进度安排、项目安全措施、质量措施、技术控制措施等施工方案和验收方案内容）合理可行，针对性强的，</w:t>
            </w:r>
            <w:r>
              <w:rPr>
                <w:rFonts w:hint="eastAsia" w:ascii="宋体" w:hAnsi="宋体" w:eastAsia="宋体" w:cs="宋体"/>
                <w:spacing w:val="1"/>
                <w:sz w:val="21"/>
                <w:szCs w:val="21"/>
                <w:lang w:val="en-US" w:eastAsia="zh-CN"/>
              </w:rPr>
              <w:t>对施工过程中可能出现突发情况有充分准备预案的</w:t>
            </w:r>
            <w:r>
              <w:rPr>
                <w:rFonts w:hint="eastAsia" w:ascii="宋体" w:hAnsi="宋体" w:eastAsia="宋体" w:cs="宋体"/>
                <w:spacing w:val="1"/>
                <w:sz w:val="21"/>
                <w:szCs w:val="21"/>
              </w:rPr>
              <w:t xml:space="preserve">得 </w:t>
            </w:r>
            <w:r>
              <w:rPr>
                <w:rFonts w:hint="eastAsia" w:ascii="宋体" w:hAnsi="宋体" w:cs="宋体"/>
                <w:spacing w:val="1"/>
                <w:sz w:val="21"/>
                <w:szCs w:val="21"/>
                <w:lang w:val="en-US" w:eastAsia="zh-CN"/>
              </w:rPr>
              <w:t>7</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cs="宋体"/>
                <w:spacing w:val="1"/>
                <w:sz w:val="21"/>
                <w:szCs w:val="21"/>
                <w:lang w:eastAsia="zh-CN"/>
              </w:rPr>
              <w:t>.</w:t>
            </w:r>
            <w:r>
              <w:rPr>
                <w:rFonts w:hint="eastAsia" w:ascii="宋体" w:hAnsi="宋体" w:eastAsia="宋体" w:cs="宋体"/>
                <w:spacing w:val="1"/>
                <w:sz w:val="21"/>
                <w:szCs w:val="21"/>
              </w:rPr>
              <w:t>投标人提供的组织实施方案（包含时间进度安排、项目安全措施、质量措施、技术控制措施等施工方案和验收方案内容）较为合理可行，针对性较强的，</w:t>
            </w:r>
            <w:r>
              <w:rPr>
                <w:rFonts w:hint="eastAsia" w:ascii="宋体" w:hAnsi="宋体" w:eastAsia="宋体" w:cs="宋体"/>
                <w:spacing w:val="1"/>
                <w:sz w:val="21"/>
                <w:szCs w:val="21"/>
                <w:lang w:val="en-US" w:eastAsia="zh-CN"/>
              </w:rPr>
              <w:t>对施工过程中可能出现突发情况有准备预案</w:t>
            </w:r>
            <w:r>
              <w:rPr>
                <w:rFonts w:hint="eastAsia" w:ascii="宋体" w:hAnsi="宋体" w:eastAsia="宋体" w:cs="宋体"/>
                <w:spacing w:val="1"/>
                <w:sz w:val="21"/>
                <w:szCs w:val="21"/>
              </w:rPr>
              <w:t>得</w:t>
            </w:r>
            <w:r>
              <w:rPr>
                <w:rFonts w:hint="eastAsia" w:ascii="宋体" w:hAnsi="宋体" w:cs="宋体"/>
                <w:spacing w:val="1"/>
                <w:sz w:val="21"/>
                <w:szCs w:val="21"/>
                <w:lang w:val="en-US" w:eastAsia="zh-CN"/>
              </w:rPr>
              <w:t>4</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3</w:t>
            </w:r>
            <w:r>
              <w:rPr>
                <w:rFonts w:hint="eastAsia" w:ascii="宋体" w:hAnsi="宋体" w:cs="宋体"/>
                <w:spacing w:val="1"/>
                <w:sz w:val="21"/>
                <w:szCs w:val="21"/>
                <w:lang w:eastAsia="zh-CN"/>
              </w:rPr>
              <w:t>.</w:t>
            </w:r>
            <w:r>
              <w:rPr>
                <w:rFonts w:hint="eastAsia" w:ascii="宋体" w:hAnsi="宋体" w:eastAsia="宋体" w:cs="宋体"/>
                <w:spacing w:val="1"/>
                <w:sz w:val="21"/>
                <w:szCs w:val="21"/>
              </w:rPr>
              <w:t>投标人提供的组织实施方案（包含时间进度安排、项目安全措施、质量措施、技术控制措施等施工方案和验收方案内容）</w:t>
            </w:r>
            <w:r>
              <w:rPr>
                <w:rFonts w:hint="eastAsia" w:ascii="宋体" w:hAnsi="宋体" w:cs="宋体"/>
                <w:spacing w:val="1"/>
                <w:sz w:val="21"/>
                <w:szCs w:val="21"/>
                <w:lang w:val="en-US" w:eastAsia="zh-CN"/>
              </w:rPr>
              <w:t>基本</w:t>
            </w:r>
            <w:r>
              <w:rPr>
                <w:rFonts w:hint="eastAsia" w:ascii="宋体" w:hAnsi="宋体" w:eastAsia="宋体" w:cs="宋体"/>
                <w:spacing w:val="1"/>
                <w:sz w:val="21"/>
                <w:szCs w:val="21"/>
              </w:rPr>
              <w:t xml:space="preserve">可行、针对性一般的，得 </w:t>
            </w:r>
            <w:r>
              <w:rPr>
                <w:rFonts w:hint="eastAsia" w:ascii="宋体" w:hAnsi="宋体" w:cs="宋体"/>
                <w:spacing w:val="1"/>
                <w:sz w:val="21"/>
                <w:szCs w:val="21"/>
                <w:lang w:val="en-US" w:eastAsia="zh-CN"/>
              </w:rPr>
              <w:t>2</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cs="宋体"/>
                <w:spacing w:val="1"/>
                <w:sz w:val="21"/>
                <w:szCs w:val="21"/>
                <w:lang w:val="en-US" w:eastAsia="zh-CN"/>
              </w:rPr>
              <w:t>4.</w:t>
            </w:r>
            <w:r>
              <w:rPr>
                <w:rFonts w:hint="eastAsia" w:ascii="宋体" w:hAnsi="宋体" w:eastAsia="宋体" w:cs="宋体"/>
                <w:spacing w:val="1"/>
                <w:sz w:val="21"/>
                <w:szCs w:val="21"/>
              </w:rPr>
              <w:t>未提供组织实施方案</w:t>
            </w:r>
            <w:r>
              <w:rPr>
                <w:rFonts w:hint="eastAsia" w:ascii="宋体" w:hAnsi="宋体" w:eastAsia="宋体" w:cs="宋体"/>
                <w:spacing w:val="1"/>
                <w:sz w:val="21"/>
                <w:szCs w:val="21"/>
                <w:lang w:eastAsia="zh-CN"/>
              </w:rPr>
              <w:t>或者与本项目不符</w:t>
            </w:r>
            <w:r>
              <w:rPr>
                <w:rFonts w:hint="eastAsia" w:ascii="宋体" w:hAnsi="宋体" w:eastAsia="宋体" w:cs="宋体"/>
                <w:spacing w:val="1"/>
                <w:sz w:val="21"/>
                <w:szCs w:val="21"/>
                <w:lang w:val="en-US" w:eastAsia="zh-CN"/>
              </w:rPr>
              <w:t>的</w:t>
            </w:r>
            <w:r>
              <w:rPr>
                <w:rFonts w:hint="eastAsia" w:ascii="宋体" w:hAnsi="宋体" w:eastAsia="宋体" w:cs="宋体"/>
                <w:spacing w:val="1"/>
                <w:sz w:val="21"/>
                <w:szCs w:val="21"/>
              </w:rPr>
              <w:t>不得分。</w:t>
            </w:r>
          </w:p>
        </w:tc>
        <w:tc>
          <w:tcPr>
            <w:tcW w:w="848" w:type="dxa"/>
            <w:tcBorders>
              <w:bottom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cs="宋体"/>
                <w:spacing w:val="1"/>
                <w:sz w:val="21"/>
                <w:szCs w:val="21"/>
                <w:lang w:val="en-US" w:eastAsia="zh-CN"/>
              </w:rPr>
              <w:t>7分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482" w:type="dxa"/>
            <w:tcBorders>
              <w:top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highlight w:val="yellow"/>
                <w:lang w:val="en-US" w:eastAsia="zh-CN"/>
              </w:rPr>
            </w:pPr>
            <w:r>
              <w:rPr>
                <w:rFonts w:hint="eastAsia" w:ascii="宋体" w:hAnsi="宋体" w:eastAsia="宋体" w:cs="宋体"/>
                <w:spacing w:val="1"/>
                <w:sz w:val="21"/>
                <w:szCs w:val="21"/>
                <w:lang w:val="en-US" w:eastAsia="zh-CN"/>
              </w:rPr>
              <w:t>6</w:t>
            </w:r>
          </w:p>
        </w:tc>
        <w:tc>
          <w:tcPr>
            <w:tcW w:w="1020" w:type="dxa"/>
            <w:tcBorders>
              <w:top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项目团队</w:t>
            </w:r>
          </w:p>
        </w:tc>
        <w:tc>
          <w:tcPr>
            <w:tcW w:w="7440" w:type="dxa"/>
            <w:tcBorders>
              <w:top w:val="single" w:color="auto" w:sz="4" w:space="0"/>
            </w:tcBorders>
            <w:shd w:val="clear" w:color="auto" w:fill="auto"/>
            <w:noWrap/>
          </w:tcPr>
          <w:p>
            <w:pPr>
              <w:spacing w:line="276"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1.投标人拟派项目实施团队人员具有有效期内的信息系统项目管理师（高级）证书的，得1分；（需提供证书复印件加盖投标人公章）</w:t>
            </w:r>
          </w:p>
          <w:p>
            <w:pPr>
              <w:spacing w:line="276"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2.投标人拟派项目实施团队人员具有有效期内的CISP信息安全专业人员证书的，得1分；（需提供证书复印件加盖投标人公章）</w:t>
            </w:r>
          </w:p>
        </w:tc>
        <w:tc>
          <w:tcPr>
            <w:tcW w:w="848" w:type="dxa"/>
            <w:tcBorders>
              <w:top w:val="single" w:color="auto" w:sz="4" w:space="0"/>
              <w:bottom w:val="single" w:color="auto" w:sz="4" w:space="0"/>
            </w:tcBorders>
            <w:shd w:val="clear" w:color="auto" w:fill="auto"/>
            <w:noWrap/>
            <w:vAlign w:val="center"/>
          </w:tcPr>
          <w:p>
            <w:pPr>
              <w:spacing w:line="276" w:lineRule="auto"/>
              <w:jc w:val="center"/>
              <w:rPr>
                <w:rFonts w:hint="default" w:ascii="宋体" w:hAnsi="宋体" w:cs="宋体"/>
                <w:spacing w:val="1"/>
                <w:sz w:val="21"/>
                <w:szCs w:val="21"/>
                <w:lang w:val="en-US" w:eastAsia="zh-CN"/>
              </w:rPr>
            </w:pPr>
            <w:r>
              <w:rPr>
                <w:rFonts w:hint="eastAsia" w:ascii="宋体" w:hAnsi="宋体" w:cs="宋体"/>
                <w:spacing w:val="1"/>
                <w:sz w:val="21"/>
                <w:szCs w:val="21"/>
                <w:lang w:val="en-US" w:eastAsia="zh-CN"/>
              </w:rPr>
              <w:t>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7" w:hRule="atLeast"/>
          <w:jc w:val="center"/>
        </w:trPr>
        <w:tc>
          <w:tcPr>
            <w:tcW w:w="482" w:type="dxa"/>
            <w:tcBorders>
              <w:top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7</w:t>
            </w:r>
          </w:p>
        </w:tc>
        <w:tc>
          <w:tcPr>
            <w:tcW w:w="1020" w:type="dxa"/>
            <w:tcBorders>
              <w:top w:val="single" w:color="auto" w:sz="4" w:space="0"/>
            </w:tcBorders>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售后服务方案</w:t>
            </w:r>
          </w:p>
        </w:tc>
        <w:tc>
          <w:tcPr>
            <w:tcW w:w="7440" w:type="dxa"/>
            <w:tcBorders>
              <w:top w:val="single" w:color="auto" w:sz="4" w:space="0"/>
            </w:tcBorders>
            <w:shd w:val="clear" w:color="auto" w:fill="auto"/>
            <w:noWrap/>
          </w:tcPr>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评委根据投标人提供的售后服务方案（如服务体系、服务内容、故障解决方案、专业技术人员保障等）综合评分：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投标人提供的服务体系完善，服务内容全面，故障解决方案</w:t>
            </w:r>
            <w:r>
              <w:rPr>
                <w:rFonts w:hint="eastAsia" w:ascii="宋体" w:hAnsi="宋体" w:eastAsia="宋体" w:cs="宋体"/>
                <w:spacing w:val="1"/>
                <w:sz w:val="21"/>
                <w:szCs w:val="21"/>
                <w:lang w:eastAsia="zh-CN"/>
              </w:rPr>
              <w:t>好</w:t>
            </w:r>
            <w:r>
              <w:rPr>
                <w:rFonts w:hint="eastAsia" w:ascii="宋体" w:hAnsi="宋体" w:eastAsia="宋体" w:cs="宋体"/>
                <w:spacing w:val="1"/>
                <w:sz w:val="21"/>
                <w:szCs w:val="21"/>
              </w:rPr>
              <w:t>，专业技术人员保障可靠的，得</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投标人提供的服务体系较完善，服务内容较全面，故障解决方案</w:t>
            </w:r>
            <w:r>
              <w:rPr>
                <w:rFonts w:hint="eastAsia" w:ascii="宋体" w:hAnsi="宋体" w:eastAsia="宋体" w:cs="宋体"/>
                <w:spacing w:val="1"/>
                <w:sz w:val="21"/>
                <w:szCs w:val="21"/>
                <w:lang w:val="en-US" w:eastAsia="zh-CN"/>
              </w:rPr>
              <w:t>比</w:t>
            </w:r>
            <w:r>
              <w:rPr>
                <w:rFonts w:hint="eastAsia" w:ascii="宋体" w:hAnsi="宋体" w:eastAsia="宋体" w:cs="宋体"/>
                <w:spacing w:val="1"/>
                <w:sz w:val="21"/>
                <w:szCs w:val="21"/>
              </w:rPr>
              <w:t xml:space="preserve">较可行，专业技术人员保障较可靠的，得 </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投标人提供的服务保障体系</w:t>
            </w:r>
            <w:r>
              <w:rPr>
                <w:rFonts w:hint="eastAsia" w:ascii="宋体" w:hAnsi="宋体" w:eastAsia="宋体" w:cs="宋体"/>
                <w:spacing w:val="1"/>
                <w:sz w:val="21"/>
                <w:szCs w:val="21"/>
                <w:lang w:val="en-US" w:eastAsia="zh-CN"/>
              </w:rPr>
              <w:t>基本</w:t>
            </w:r>
            <w:r>
              <w:rPr>
                <w:rFonts w:hint="eastAsia" w:ascii="宋体" w:hAnsi="宋体" w:eastAsia="宋体" w:cs="宋体"/>
                <w:spacing w:val="1"/>
                <w:sz w:val="21"/>
                <w:szCs w:val="21"/>
              </w:rPr>
              <w:t>完善</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服务内容</w:t>
            </w:r>
            <w:r>
              <w:rPr>
                <w:rFonts w:hint="eastAsia" w:ascii="宋体" w:hAnsi="宋体" w:eastAsia="宋体" w:cs="宋体"/>
                <w:spacing w:val="1"/>
                <w:sz w:val="21"/>
                <w:szCs w:val="21"/>
                <w:lang w:val="en-US" w:eastAsia="zh-CN"/>
              </w:rPr>
              <w:t>基本全面，</w:t>
            </w:r>
            <w:r>
              <w:rPr>
                <w:rFonts w:hint="eastAsia" w:ascii="宋体" w:hAnsi="宋体" w:eastAsia="宋体" w:cs="宋体"/>
                <w:spacing w:val="1"/>
                <w:sz w:val="21"/>
                <w:szCs w:val="21"/>
              </w:rPr>
              <w:t xml:space="preserve">故障解决方案针对性、专业技术人员业务能力一般的，得 </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分。</w:t>
            </w:r>
          </w:p>
          <w:p>
            <w:pPr>
              <w:spacing w:line="276"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未提供售后服务方案的不得分。</w:t>
            </w:r>
          </w:p>
        </w:tc>
        <w:tc>
          <w:tcPr>
            <w:tcW w:w="848" w:type="dxa"/>
            <w:tcBorders>
              <w:top w:val="single" w:color="auto" w:sz="4" w:space="0"/>
            </w:tcBorders>
            <w:shd w:val="clear" w:color="auto" w:fill="auto"/>
            <w:noWrap/>
            <w:vAlign w:val="center"/>
          </w:tcPr>
          <w:p>
            <w:pPr>
              <w:spacing w:line="276" w:lineRule="auto"/>
              <w:jc w:val="center"/>
              <w:rPr>
                <w:rFonts w:hint="eastAsia" w:ascii="宋体" w:hAnsi="宋体" w:cs="宋体"/>
                <w:spacing w:val="1"/>
                <w:sz w:val="21"/>
                <w:szCs w:val="21"/>
                <w:lang w:val="en-US" w:eastAsia="zh-CN"/>
              </w:rPr>
            </w:pPr>
            <w:r>
              <w:rPr>
                <w:rFonts w:hint="eastAsia" w:ascii="宋体" w:hAnsi="宋体" w:cs="宋体"/>
                <w:spacing w:val="1"/>
                <w:sz w:val="21"/>
                <w:szCs w:val="21"/>
                <w:lang w:val="en-US" w:eastAsia="zh-CN"/>
              </w:rPr>
              <w:t>7分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jc w:val="center"/>
        </w:trPr>
        <w:tc>
          <w:tcPr>
            <w:tcW w:w="482" w:type="dxa"/>
            <w:shd w:val="clear" w:color="auto" w:fill="auto"/>
            <w:noWrap/>
            <w:vAlign w:val="center"/>
          </w:tcPr>
          <w:p>
            <w:pPr>
              <w:spacing w:line="276" w:lineRule="auto"/>
              <w:jc w:val="center"/>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8</w:t>
            </w:r>
          </w:p>
        </w:tc>
        <w:tc>
          <w:tcPr>
            <w:tcW w:w="1020" w:type="dxa"/>
            <w:shd w:val="clear" w:color="auto" w:fill="auto"/>
            <w:noWrap/>
            <w:vAlign w:val="center"/>
          </w:tcPr>
          <w:p>
            <w:pPr>
              <w:spacing w:line="276"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质保期</w:t>
            </w:r>
          </w:p>
        </w:tc>
        <w:tc>
          <w:tcPr>
            <w:tcW w:w="7440" w:type="dxa"/>
            <w:shd w:val="clear" w:color="auto" w:fill="auto"/>
            <w:noWrap/>
            <w:vAlign w:val="center"/>
          </w:tcPr>
          <w:p>
            <w:pPr>
              <w:spacing w:line="276" w:lineRule="auto"/>
              <w:rPr>
                <w:rFonts w:hint="eastAsia" w:ascii="宋体" w:hAnsi="宋体" w:eastAsia="宋体" w:cs="宋体"/>
                <w:spacing w:val="1"/>
                <w:sz w:val="21"/>
                <w:szCs w:val="21"/>
                <w:lang w:eastAsia="zh-CN"/>
              </w:rPr>
            </w:pPr>
            <w:r>
              <w:rPr>
                <w:rFonts w:hint="eastAsia" w:ascii="宋体" w:hAnsi="宋体" w:cs="宋体"/>
                <w:spacing w:val="1"/>
                <w:sz w:val="21"/>
                <w:szCs w:val="21"/>
                <w:lang w:val="en-US" w:eastAsia="zh-CN"/>
              </w:rPr>
              <w:t>本项目至少提供</w:t>
            </w:r>
            <w:r>
              <w:rPr>
                <w:rFonts w:hint="eastAsia" w:ascii="宋体" w:hAnsi="宋体" w:eastAsia="宋体" w:cs="宋体"/>
                <w:spacing w:val="1"/>
                <w:sz w:val="21"/>
                <w:szCs w:val="21"/>
              </w:rPr>
              <w:t>三年免费原厂质保，</w:t>
            </w:r>
            <w:r>
              <w:rPr>
                <w:rFonts w:hint="eastAsia" w:ascii="宋体" w:hAnsi="宋体" w:cs="宋体"/>
                <w:spacing w:val="1"/>
                <w:sz w:val="21"/>
                <w:szCs w:val="21"/>
                <w:lang w:val="en-US" w:eastAsia="zh-CN"/>
              </w:rPr>
              <w:t>在此</w:t>
            </w:r>
            <w:r>
              <w:rPr>
                <w:rFonts w:hint="eastAsia" w:ascii="宋体" w:hAnsi="宋体" w:eastAsia="宋体" w:cs="宋体"/>
                <w:spacing w:val="1"/>
                <w:sz w:val="21"/>
                <w:szCs w:val="21"/>
              </w:rPr>
              <w:t>基础之上</w:t>
            </w:r>
            <w:r>
              <w:rPr>
                <w:rFonts w:hint="eastAsia" w:ascii="宋体" w:hAnsi="宋体" w:cs="宋体"/>
                <w:spacing w:val="1"/>
                <w:sz w:val="21"/>
                <w:szCs w:val="21"/>
                <w:lang w:val="en-US" w:eastAsia="zh-CN"/>
              </w:rPr>
              <w:t>每</w:t>
            </w:r>
            <w:r>
              <w:rPr>
                <w:rFonts w:hint="eastAsia" w:ascii="宋体" w:hAnsi="宋体" w:eastAsia="宋体" w:cs="宋体"/>
                <w:spacing w:val="1"/>
                <w:sz w:val="21"/>
                <w:szCs w:val="21"/>
              </w:rPr>
              <w:t>增加一年原厂质保服务得1分，本项最多得2分。（提供承诺书</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格式自拟</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并加盖投标人公章）</w:t>
            </w:r>
          </w:p>
        </w:tc>
        <w:tc>
          <w:tcPr>
            <w:tcW w:w="848" w:type="dxa"/>
            <w:shd w:val="clear" w:color="auto" w:fill="auto"/>
            <w:noWrap/>
            <w:vAlign w:val="center"/>
          </w:tcPr>
          <w:p>
            <w:pPr>
              <w:widowControl/>
              <w:spacing w:line="276"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spacing w:val="1"/>
                <w:sz w:val="21"/>
                <w:szCs w:val="21"/>
                <w:lang w:val="en-US" w:eastAsia="zh-CN"/>
              </w:rPr>
              <w:t>分</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hint="eastAsia"/>
          <w:b/>
          <w:kern w:val="0"/>
          <w:sz w:val="24"/>
        </w:rPr>
      </w:pPr>
      <w:r>
        <w:rPr>
          <w:rFonts w:hint="eastAsia" w:ascii="宋体" w:hAnsi="宋体"/>
          <w:sz w:val="24"/>
        </w:rPr>
        <w:t xml:space="preserve"> </w:t>
      </w:r>
      <w:r>
        <w:rPr>
          <w:rFonts w:hint="eastAsia"/>
          <w:b/>
          <w:kern w:val="0"/>
          <w:sz w:val="24"/>
        </w:rPr>
        <w:t>（</w:t>
      </w:r>
      <w:r>
        <w:rPr>
          <w:rFonts w:hint="eastAsia"/>
          <w:b/>
          <w:kern w:val="0"/>
          <w:sz w:val="24"/>
          <w:lang w:val="zh-CN"/>
        </w:rPr>
        <w:t>四</w:t>
      </w:r>
      <w:r>
        <w:rPr>
          <w:rFonts w:hint="eastAsia"/>
          <w:b/>
          <w:kern w:val="0"/>
          <w:sz w:val="24"/>
        </w:rPr>
        <w:t>）价格分：</w:t>
      </w:r>
      <w:r>
        <w:rPr>
          <w:rFonts w:hint="eastAsia"/>
          <w:b/>
          <w:kern w:val="0"/>
          <w:sz w:val="24"/>
          <w:lang w:val="en-US" w:eastAsia="zh-CN"/>
        </w:rPr>
        <w:t>30</w:t>
      </w:r>
      <w:r>
        <w:rPr>
          <w:rFonts w:hint="eastAsia"/>
          <w:b/>
          <w:kern w:val="0"/>
          <w:sz w:val="24"/>
          <w:lang w:val="zh-CN"/>
        </w:rPr>
        <w:t>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sz w:val="24"/>
        </w:rPr>
      </w:pPr>
      <w:r>
        <w:rPr>
          <w:sz w:val="24"/>
        </w:rPr>
        <w:t>磋商报价得分=（磋商基准价/最后磋商报价）×价格权值×100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sz w:val="24"/>
        </w:rPr>
      </w:pPr>
      <w:r>
        <w:rPr>
          <w:sz w:val="24"/>
        </w:rPr>
        <w:t>项目评审过程中，不得去掉最后报价中的最高报价和最低报价。</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（五）政府采购政策功能落实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b w:val="0"/>
          <w:bCs w:val="0"/>
          <w:sz w:val="24"/>
          <w:szCs w:val="24"/>
        </w:rPr>
      </w:pPr>
      <w:r>
        <w:rPr>
          <w:rFonts w:hint="eastAsia" w:ascii="Times New Roman"/>
          <w:b w:val="0"/>
          <w:bCs w:val="0"/>
          <w:sz w:val="24"/>
          <w:szCs w:val="24"/>
        </w:rPr>
        <w:t>1.小微型企业价格扣除（本项目标的需求明确的所属行业为</w:t>
      </w:r>
      <w:r>
        <w:rPr>
          <w:rFonts w:hint="eastAsia" w:ascii="Times New Roman"/>
          <w:b w:val="0"/>
          <w:bCs w:val="0"/>
          <w:color w:val="auto"/>
          <w:sz w:val="24"/>
          <w:szCs w:val="24"/>
          <w:u w:val="single"/>
        </w:rPr>
        <w:t xml:space="preserve"> </w:t>
      </w:r>
      <w:r>
        <w:rPr>
          <w:rFonts w:hint="eastAsia"/>
          <w:b w:val="0"/>
          <w:bCs w:val="0"/>
          <w:color w:val="auto"/>
          <w:sz w:val="24"/>
          <w:szCs w:val="24"/>
          <w:u w:val="single"/>
          <w:lang w:val="en-US" w:eastAsia="zh-CN"/>
        </w:rPr>
        <w:t>软件和信息技术服务</w:t>
      </w:r>
      <w:r>
        <w:rPr>
          <w:rFonts w:hint="eastAsia" w:ascii="Times New Roman"/>
          <w:b w:val="0"/>
          <w:bCs w:val="0"/>
          <w:color w:val="auto"/>
          <w:sz w:val="24"/>
          <w:szCs w:val="24"/>
          <w:u w:val="single"/>
        </w:rPr>
        <w:t xml:space="preserve"> </w:t>
      </w:r>
      <w:r>
        <w:rPr>
          <w:rFonts w:hint="eastAsia" w:ascii="Times New Roman"/>
          <w:b w:val="0"/>
          <w:bCs w:val="0"/>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（1）本项目对小型和微型企业产品给予</w:t>
      </w:r>
      <w:r>
        <w:rPr>
          <w:rFonts w:ascii="Times New Roman"/>
          <w:b w:val="0"/>
          <w:bCs w:val="0"/>
          <w:sz w:val="24"/>
          <w:szCs w:val="24"/>
          <w:u w:val="single"/>
        </w:rPr>
        <w:t xml:space="preserve"> </w:t>
      </w:r>
      <w:r>
        <w:rPr>
          <w:rFonts w:hint="eastAsia" w:ascii="Times New Roman"/>
          <w:b w:val="0"/>
          <w:bCs w:val="0"/>
          <w:sz w:val="24"/>
          <w:szCs w:val="24"/>
          <w:u w:val="single"/>
          <w:lang w:val="en-US" w:eastAsia="zh-CN"/>
        </w:rPr>
        <w:t>5</w:t>
      </w:r>
      <w:r>
        <w:rPr>
          <w:rFonts w:ascii="Times New Roman"/>
          <w:b w:val="0"/>
          <w:bCs w:val="0"/>
          <w:sz w:val="24"/>
          <w:szCs w:val="24"/>
          <w:u w:val="single"/>
        </w:rPr>
        <w:t xml:space="preserve"> </w:t>
      </w:r>
      <w:r>
        <w:rPr>
          <w:rFonts w:ascii="Times New Roman"/>
          <w:b w:val="0"/>
          <w:bCs w:val="0"/>
          <w:sz w:val="24"/>
          <w:szCs w:val="24"/>
        </w:rPr>
        <w:t>%的扣除价格，用扣除后的价格参与评审。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（2）供应商需按照采购文件的要求提供相应的《中小企业声明函》。</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2</w:t>
      </w:r>
      <w:r>
        <w:rPr>
          <w:rFonts w:hint="eastAsia" w:ascii="Times New Roman"/>
          <w:b w:val="0"/>
          <w:bCs w:val="0"/>
          <w:sz w:val="24"/>
          <w:szCs w:val="24"/>
          <w:lang w:val="en-US" w:eastAsia="zh-CN"/>
        </w:rPr>
        <w:t>.</w:t>
      </w:r>
      <w:r>
        <w:rPr>
          <w:rFonts w:ascii="Times New Roman"/>
          <w:b w:val="0"/>
          <w:bCs w:val="0"/>
          <w:sz w:val="24"/>
          <w:szCs w:val="24"/>
        </w:rPr>
        <w:t>残疾人福利单位价格扣除</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（1）本项目对残疾人福利性单位视同小型、微型企业，给予</w:t>
      </w:r>
      <w:r>
        <w:rPr>
          <w:rFonts w:ascii="Times New Roman"/>
          <w:b w:val="0"/>
          <w:bCs w:val="0"/>
          <w:sz w:val="24"/>
          <w:szCs w:val="24"/>
          <w:u w:val="single"/>
        </w:rPr>
        <w:t xml:space="preserve"> </w:t>
      </w:r>
      <w:r>
        <w:rPr>
          <w:rFonts w:hint="eastAsia" w:ascii="Times New Roman"/>
          <w:b w:val="0"/>
          <w:bCs w:val="0"/>
          <w:sz w:val="24"/>
          <w:szCs w:val="24"/>
          <w:u w:val="single"/>
          <w:lang w:val="en-US" w:eastAsia="zh-CN"/>
        </w:rPr>
        <w:t>5</w:t>
      </w:r>
      <w:r>
        <w:rPr>
          <w:rFonts w:ascii="Times New Roman"/>
          <w:b w:val="0"/>
          <w:bCs w:val="0"/>
          <w:sz w:val="24"/>
          <w:szCs w:val="24"/>
          <w:u w:val="single"/>
        </w:rPr>
        <w:t xml:space="preserve"> </w:t>
      </w:r>
      <w:r>
        <w:rPr>
          <w:rFonts w:ascii="Times New Roman"/>
          <w:b w:val="0"/>
          <w:bCs w:val="0"/>
          <w:sz w:val="24"/>
          <w:szCs w:val="24"/>
        </w:rPr>
        <w:t>%的价格扣除，用扣除后的价格参与评审。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（2）残疾人福利单位需按照采购文件的要求提供《残疾人福利性单位声明函》。</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（3）残疾人福利单位标准请参照《关于促进残疾人就业政府采购政策的通知》（财库〔2017〕141号）。</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3</w:t>
      </w:r>
      <w:r>
        <w:rPr>
          <w:rFonts w:hint="eastAsia" w:ascii="Times New Roman"/>
          <w:b w:val="0"/>
          <w:bCs w:val="0"/>
          <w:sz w:val="24"/>
          <w:szCs w:val="24"/>
          <w:lang w:val="en-US" w:eastAsia="zh-CN"/>
        </w:rPr>
        <w:t>.</w:t>
      </w:r>
      <w:r>
        <w:rPr>
          <w:rFonts w:ascii="Times New Roman"/>
          <w:b w:val="0"/>
          <w:bCs w:val="0"/>
          <w:sz w:val="24"/>
          <w:szCs w:val="24"/>
        </w:rPr>
        <w:t>监狱和戒毒企业价格扣除</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（1）本项目对监狱和戒毒企业（简称监狱企业）视同小型、微型企业，给予</w:t>
      </w:r>
      <w:r>
        <w:rPr>
          <w:rFonts w:ascii="Times New Roman"/>
          <w:b w:val="0"/>
          <w:bCs w:val="0"/>
          <w:sz w:val="24"/>
          <w:szCs w:val="24"/>
          <w:u w:val="single"/>
        </w:rPr>
        <w:t xml:space="preserve"> </w:t>
      </w:r>
      <w:r>
        <w:rPr>
          <w:rFonts w:hint="eastAsia" w:ascii="Times New Roman"/>
          <w:b w:val="0"/>
          <w:bCs w:val="0"/>
          <w:sz w:val="24"/>
          <w:szCs w:val="24"/>
          <w:u w:val="single"/>
          <w:lang w:val="en-US" w:eastAsia="zh-CN"/>
        </w:rPr>
        <w:t>5</w:t>
      </w:r>
      <w:r>
        <w:rPr>
          <w:rFonts w:ascii="Times New Roman"/>
          <w:b w:val="0"/>
          <w:bCs w:val="0"/>
          <w:sz w:val="24"/>
          <w:szCs w:val="24"/>
          <w:u w:val="single"/>
        </w:rPr>
        <w:t xml:space="preserve"> </w:t>
      </w:r>
      <w:r>
        <w:rPr>
          <w:rFonts w:ascii="Times New Roman"/>
          <w:b w:val="0"/>
          <w:bCs w:val="0"/>
          <w:sz w:val="24"/>
          <w:szCs w:val="24"/>
        </w:rPr>
        <w:t>%的价格扣除，用扣除后的价格参与评审。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（3）监狱企业标准请参照《关于政府采购支持监狱企业发展有关问题的通知》（财库[2014]68号）。</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4</w:t>
      </w:r>
      <w:r>
        <w:rPr>
          <w:rFonts w:hint="eastAsia" w:ascii="Times New Roman"/>
          <w:b w:val="0"/>
          <w:bCs w:val="0"/>
          <w:sz w:val="24"/>
          <w:szCs w:val="24"/>
          <w:lang w:val="en-US" w:eastAsia="zh-CN"/>
        </w:rPr>
        <w:t>.</w:t>
      </w:r>
      <w:r>
        <w:rPr>
          <w:rFonts w:ascii="Times New Roman"/>
          <w:b w:val="0"/>
          <w:bCs w:val="0"/>
          <w:sz w:val="24"/>
          <w:szCs w:val="24"/>
        </w:rPr>
        <w:t>残疾人福利单位、监狱企业属于小型、微型企业的，不重复享受政策。</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5</w:t>
      </w:r>
      <w:r>
        <w:rPr>
          <w:rFonts w:hint="eastAsia" w:ascii="Times New Roman"/>
          <w:b w:val="0"/>
          <w:bCs w:val="0"/>
          <w:sz w:val="24"/>
          <w:szCs w:val="24"/>
          <w:lang w:val="en-US" w:eastAsia="zh-CN"/>
        </w:rPr>
        <w:t>.</w:t>
      </w:r>
      <w:r>
        <w:rPr>
          <w:rFonts w:ascii="Times New Roman"/>
          <w:b w:val="0"/>
          <w:bCs w:val="0"/>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对联合体或者大中型企业的报价给予</w:t>
      </w:r>
      <w:r>
        <w:rPr>
          <w:rFonts w:ascii="Times New Roman"/>
          <w:b w:val="0"/>
          <w:bCs w:val="0"/>
          <w:sz w:val="24"/>
          <w:szCs w:val="24"/>
          <w:u w:val="single"/>
        </w:rPr>
        <w:t xml:space="preserve"> </w:t>
      </w:r>
      <w:r>
        <w:rPr>
          <w:rFonts w:hint="eastAsia" w:ascii="Times New Roman"/>
          <w:b w:val="0"/>
          <w:bCs w:val="0"/>
          <w:sz w:val="24"/>
          <w:szCs w:val="24"/>
          <w:u w:val="single"/>
          <w:lang w:val="en-US" w:eastAsia="zh-CN"/>
        </w:rPr>
        <w:t>2</w:t>
      </w:r>
      <w:r>
        <w:rPr>
          <w:rFonts w:hint="eastAsia" w:ascii="Times New Roman"/>
          <w:b w:val="0"/>
          <w:bCs w:val="0"/>
          <w:sz w:val="24"/>
          <w:szCs w:val="24"/>
          <w:u w:val="single"/>
        </w:rPr>
        <w:t xml:space="preserve"> </w:t>
      </w:r>
      <w:r>
        <w:rPr>
          <w:rFonts w:ascii="Times New Roman"/>
          <w:b w:val="0"/>
          <w:bCs w:val="0"/>
          <w:sz w:val="24"/>
          <w:szCs w:val="24"/>
        </w:rPr>
        <w:t>%的扣除</w:t>
      </w:r>
      <w:r>
        <w:rPr>
          <w:rFonts w:hint="eastAsia" w:ascii="Times New Roman"/>
          <w:b w:val="0"/>
          <w:bCs w:val="0"/>
          <w:sz w:val="24"/>
          <w:szCs w:val="24"/>
        </w:rPr>
        <w:t>，</w:t>
      </w:r>
      <w:r>
        <w:rPr>
          <w:rFonts w:ascii="Times New Roman"/>
          <w:b w:val="0"/>
          <w:bCs w:val="0"/>
          <w:sz w:val="24"/>
          <w:szCs w:val="24"/>
        </w:rPr>
        <w:t>用扣除后的价格参与评审。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6</w:t>
      </w:r>
      <w:r>
        <w:rPr>
          <w:rFonts w:hint="eastAsia" w:ascii="Times New Roman"/>
          <w:b w:val="0"/>
          <w:bCs w:val="0"/>
          <w:sz w:val="24"/>
          <w:szCs w:val="24"/>
          <w:lang w:val="en-US" w:eastAsia="zh-CN"/>
        </w:rPr>
        <w:t>.</w:t>
      </w:r>
      <w:r>
        <w:rPr>
          <w:rFonts w:ascii="Times New Roman"/>
          <w:b w:val="0"/>
          <w:bCs w:val="0"/>
          <w:sz w:val="24"/>
          <w:szCs w:val="24"/>
        </w:rPr>
        <w:t>联合体各方均为小型、微型企业（残疾人福利单位、监狱企业）的，联合体享受</w:t>
      </w:r>
      <w:r>
        <w:rPr>
          <w:rFonts w:hint="eastAsia" w:ascii="Times New Roman"/>
          <w:b w:val="0"/>
          <w:bCs w:val="0"/>
          <w:sz w:val="24"/>
          <w:szCs w:val="24"/>
          <w:lang w:val="en-US" w:eastAsia="zh-CN"/>
        </w:rPr>
        <w:t>5</w:t>
      </w:r>
      <w:r>
        <w:rPr>
          <w:rFonts w:ascii="Times New Roman"/>
          <w:b w:val="0"/>
          <w:bCs w:val="0"/>
          <w:sz w:val="24"/>
          <w:szCs w:val="24"/>
        </w:rPr>
        <w:t>%价格扣除，用扣除后的价格参与评审。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7</w:t>
      </w:r>
      <w:r>
        <w:rPr>
          <w:rFonts w:hint="eastAsia" w:ascii="Times New Roman"/>
          <w:b w:val="0"/>
          <w:bCs w:val="0"/>
          <w:sz w:val="24"/>
          <w:szCs w:val="24"/>
          <w:lang w:val="en-US" w:eastAsia="zh-CN"/>
        </w:rPr>
        <w:t>.</w:t>
      </w:r>
      <w:r>
        <w:rPr>
          <w:rFonts w:ascii="Times New Roman"/>
          <w:b w:val="0"/>
          <w:bCs w:val="0"/>
          <w:sz w:val="24"/>
          <w:szCs w:val="24"/>
        </w:rPr>
        <w:t>专门面向中小企业采购的项目或者采购包，不再执行价格评审优惠的扶持政策。</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b w:val="0"/>
          <w:bCs w:val="0"/>
          <w:sz w:val="24"/>
          <w:szCs w:val="24"/>
        </w:rPr>
      </w:pPr>
      <w:r>
        <w:rPr>
          <w:rFonts w:ascii="Times New Roman"/>
          <w:b w:val="0"/>
          <w:bCs w:val="0"/>
          <w:sz w:val="24"/>
          <w:szCs w:val="24"/>
        </w:rPr>
        <w:t>8</w:t>
      </w:r>
      <w:r>
        <w:rPr>
          <w:rFonts w:hint="eastAsia" w:ascii="Times New Roman"/>
          <w:b w:val="0"/>
          <w:bCs w:val="0"/>
          <w:sz w:val="24"/>
          <w:szCs w:val="24"/>
          <w:lang w:val="en-US" w:eastAsia="zh-CN"/>
        </w:rPr>
        <w:t>.</w:t>
      </w:r>
      <w:r>
        <w:rPr>
          <w:rFonts w:ascii="Times New Roman"/>
          <w:b w:val="0"/>
          <w:bCs w:val="0"/>
          <w:sz w:val="24"/>
          <w:szCs w:val="24"/>
        </w:rPr>
        <w:t>根据《江苏省政府采购信用管理暂行办法》的规定，对有失信行为的供应商将根据信用评价结果按规定予以扣分或价格加成。</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（六）成交供应商的确定</w:t>
      </w:r>
    </w:p>
    <w:p>
      <w:pPr>
        <w:keepNext w:val="0"/>
        <w:keepLines w:val="0"/>
        <w:pageBreakBefore w:val="0"/>
        <w:widowControl w:val="0"/>
        <w:kinsoku/>
        <w:wordWrap/>
        <w:overflowPunct/>
        <w:topLinePunct w:val="0"/>
        <w:bidi w:val="0"/>
        <w:snapToGrid w:val="0"/>
        <w:spacing w:line="360" w:lineRule="auto"/>
        <w:ind w:firstLine="480" w:firstLineChars="200"/>
        <w:rPr>
          <w:rFonts w:hint="eastAsia"/>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keepNext w:val="0"/>
        <w:keepLines w:val="0"/>
        <w:pageBreakBefore w:val="0"/>
        <w:widowControl w:val="0"/>
        <w:kinsoku/>
        <w:wordWrap/>
        <w:overflowPunct/>
        <w:topLinePunct w:val="0"/>
        <w:bidi w:val="0"/>
        <w:snapToGrid w:val="0"/>
        <w:spacing w:line="360" w:lineRule="auto"/>
        <w:ind w:firstLine="480" w:firstLineChars="200"/>
        <w:rPr>
          <w:rFonts w:hint="eastAsia"/>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hAnsi="宋体" w:cs="宋体"/>
          <w:bCs/>
          <w:sz w:val="24"/>
        </w:rPr>
      </w:pPr>
      <w:r>
        <w:rPr>
          <w:rFonts w:hint="eastAsia" w:hAnsi="宋体" w:cs="宋体"/>
          <w:bCs/>
          <w:sz w:val="24"/>
        </w:rPr>
        <w:t>磋商小组汇总各评委评分后，按照得分从高到低的顺序推荐三名成交候选人，并编写评审报告。</w:t>
      </w:r>
    </w:p>
    <w:p>
      <w:pPr>
        <w:keepNext w:val="0"/>
        <w:keepLines w:val="0"/>
        <w:pageBreakBefore w:val="0"/>
        <w:widowControl w:val="0"/>
        <w:kinsoku/>
        <w:wordWrap/>
        <w:overflowPunct/>
        <w:topLinePunct w:val="0"/>
        <w:bidi w:val="0"/>
        <w:adjustRightInd w:val="0"/>
        <w:snapToGrid w:val="0"/>
        <w:spacing w:line="360" w:lineRule="auto"/>
        <w:ind w:firstLine="482" w:firstLineChars="200"/>
        <w:rPr>
          <w:rFonts w:hint="eastAsia" w:ascii="宋体" w:hAnsi="宋体" w:cs="宋体"/>
          <w:bCs/>
          <w:sz w:val="24"/>
        </w:rPr>
      </w:pPr>
      <w:r>
        <w:rPr>
          <w:rFonts w:hint="eastAsia" w:ascii="宋体" w:hAnsi="宋体" w:cs="宋体"/>
          <w:b/>
          <w:sz w:val="24"/>
        </w:rPr>
        <w:t>采购人</w:t>
      </w:r>
      <w:r>
        <w:rPr>
          <w:rFonts w:hint="eastAsia" w:hAnsi="宋体" w:cs="宋体"/>
          <w:bCs/>
          <w:sz w:val="24"/>
        </w:rPr>
        <w:t>确定排名第一的成交候选人为成交供应商。成交</w:t>
      </w:r>
      <w:r>
        <w:rPr>
          <w:rFonts w:hint="eastAsia" w:ascii="宋体" w:hAnsi="宋体" w:cs="宋体"/>
          <w:bCs/>
          <w:sz w:val="24"/>
        </w:rPr>
        <w:t>候选人并列的，由采购人委托磋商小组按照现场抽签方式确定</w:t>
      </w:r>
      <w:r>
        <w:rPr>
          <w:rFonts w:hint="eastAsia" w:hAnsi="宋体" w:cs="宋体"/>
          <w:bCs/>
          <w:sz w:val="24"/>
        </w:rPr>
        <w:t>成交</w:t>
      </w:r>
      <w:r>
        <w:rPr>
          <w:rFonts w:hint="eastAsia" w:ascii="宋体" w:hAnsi="宋体" w:cs="宋体"/>
          <w:bCs/>
          <w:sz w:val="24"/>
        </w:rPr>
        <w:t>人。</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（七）</w:t>
      </w:r>
      <w:r>
        <w:rPr>
          <w:b/>
          <w:kern w:val="0"/>
          <w:sz w:val="24"/>
        </w:rPr>
        <w:t>采购代理机构</w:t>
      </w:r>
      <w:r>
        <w:rPr>
          <w:rFonts w:hint="eastAsia"/>
          <w:b/>
          <w:kern w:val="0"/>
          <w:sz w:val="24"/>
        </w:rPr>
        <w:t>宣布评审结果。</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（八）公告成交结果</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eastAsia="方正仿宋_GBK"/>
          <w:sz w:val="28"/>
          <w:szCs w:val="28"/>
        </w:rPr>
      </w:pPr>
      <w:r>
        <w:rPr>
          <w:rFonts w:hint="eastAsia" w:hAnsi="宋体" w:cs="宋体"/>
          <w:bCs/>
          <w:sz w:val="24"/>
        </w:rPr>
        <w:t>自确定成交供应商之日起2个工作日内，在</w:t>
      </w:r>
      <w:r>
        <w:rPr>
          <w:rFonts w:hint="eastAsia" w:hAnsi="宋体" w:cs="宋体"/>
          <w:bCs/>
          <w:sz w:val="24"/>
          <w:lang w:eastAsia="zh-CN"/>
        </w:rPr>
        <w:t>“</w:t>
      </w:r>
      <w:r>
        <w:rPr>
          <w:rFonts w:hint="eastAsia" w:hAnsi="宋体" w:cs="宋体"/>
          <w:bCs/>
          <w:sz w:val="24"/>
        </w:rPr>
        <w:t>江苏政府采购网</w:t>
      </w:r>
      <w:r>
        <w:rPr>
          <w:rFonts w:hint="eastAsia" w:hAnsi="宋体" w:cs="宋体"/>
          <w:bCs/>
          <w:sz w:val="24"/>
          <w:lang w:eastAsia="zh-CN"/>
        </w:rPr>
        <w:t>”</w:t>
      </w:r>
      <w:r>
        <w:rPr>
          <w:rFonts w:hint="eastAsia" w:hAnsi="宋体" w:cs="宋体"/>
          <w:bCs/>
          <w:sz w:val="24"/>
        </w:rPr>
        <w:t>公告成交结果，公告期限为1个工作日。</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（九）发放成交通知书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ascii="Times New Roman"/>
          <w:sz w:val="24"/>
          <w:szCs w:val="24"/>
          <w:u w:val="single"/>
        </w:rPr>
      </w:pPr>
      <w:r>
        <w:rPr>
          <w:rFonts w:hint="eastAsia" w:ascii="Times New Roman"/>
          <w:sz w:val="24"/>
          <w:szCs w:val="24"/>
          <w:lang w:eastAsia="zh-CN"/>
        </w:rPr>
        <w:t>成交</w:t>
      </w:r>
      <w:r>
        <w:rPr>
          <w:rFonts w:ascii="Times New Roman"/>
          <w:sz w:val="24"/>
          <w:szCs w:val="24"/>
        </w:rPr>
        <w:t>通知书发放条件和途径：</w:t>
      </w:r>
      <w:r>
        <w:rPr>
          <w:rFonts w:hint="eastAsia" w:ascii="Times New Roman"/>
          <w:sz w:val="24"/>
          <w:szCs w:val="24"/>
          <w:lang w:eastAsia="zh-CN"/>
        </w:rPr>
        <w:t>发布成交</w:t>
      </w:r>
      <w:r>
        <w:rPr>
          <w:rFonts w:ascii="Times New Roman"/>
          <w:sz w:val="24"/>
          <w:szCs w:val="24"/>
        </w:rPr>
        <w:t>结果公告</w:t>
      </w:r>
      <w:r>
        <w:rPr>
          <w:rFonts w:hint="eastAsia" w:ascii="Times New Roman"/>
          <w:sz w:val="24"/>
          <w:szCs w:val="24"/>
          <w:lang w:eastAsia="zh-CN"/>
        </w:rPr>
        <w:t>的同时，采购人或者采购代理机构应当向成交人发放成交通知书。</w:t>
      </w:r>
      <w:r>
        <w:rPr>
          <w:rFonts w:ascii="Times New Roman"/>
          <w:sz w:val="24"/>
          <w:szCs w:val="24"/>
        </w:rPr>
        <w:t>领取地址：</w:t>
      </w:r>
      <w:r>
        <w:rPr>
          <w:rFonts w:hint="eastAsia" w:ascii="Times New Roman"/>
          <w:sz w:val="24"/>
          <w:szCs w:val="24"/>
          <w:u w:val="single"/>
        </w:rPr>
        <w:t>南通市红星路1号太阳鑫城1幢东单元6楼</w:t>
      </w:r>
      <w:r>
        <w:rPr>
          <w:rFonts w:ascii="Times New Roman"/>
          <w:sz w:val="24"/>
          <w:szCs w:val="24"/>
        </w:rPr>
        <w:t>，电话：</w:t>
      </w:r>
      <w:r>
        <w:rPr>
          <w:rFonts w:hint="eastAsia"/>
          <w:sz w:val="24"/>
          <w:szCs w:val="24"/>
          <w:u w:val="single"/>
          <w:lang w:val="en-US" w:eastAsia="zh-CN"/>
        </w:rPr>
        <w:t>0513-89010636</w:t>
      </w:r>
      <w:r>
        <w:rPr>
          <w:rFonts w:ascii="Times New Roman"/>
          <w:sz w:val="24"/>
          <w:szCs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sz w:val="24"/>
          <w:szCs w:val="24"/>
          <w:lang w:eastAsia="zh-CN"/>
        </w:rPr>
        <w:t>成交</w:t>
      </w:r>
      <w:r>
        <w:rPr>
          <w:rFonts w:ascii="Times New Roman" w:hAnsi="Times New Roman" w:eastAsia="宋体" w:cs="Times New Roman"/>
          <w:sz w:val="24"/>
          <w:szCs w:val="24"/>
        </w:rPr>
        <w:t>通知书对采购人和</w:t>
      </w:r>
      <w:r>
        <w:rPr>
          <w:rFonts w:hint="eastAsia" w:ascii="Times New Roman"/>
          <w:sz w:val="24"/>
          <w:szCs w:val="24"/>
          <w:lang w:eastAsia="zh-CN"/>
        </w:rPr>
        <w:t>成交</w:t>
      </w:r>
      <w:r>
        <w:rPr>
          <w:rFonts w:ascii="Times New Roman" w:hAnsi="Times New Roman" w:eastAsia="宋体" w:cs="Times New Roman"/>
          <w:sz w:val="24"/>
          <w:szCs w:val="24"/>
        </w:rPr>
        <w:t>供应商均具有法律效力。</w:t>
      </w:r>
      <w:r>
        <w:rPr>
          <w:rFonts w:hint="eastAsia" w:ascii="Times New Roman"/>
          <w:sz w:val="24"/>
          <w:szCs w:val="24"/>
          <w:lang w:eastAsia="zh-CN"/>
        </w:rPr>
        <w:t>成交</w:t>
      </w:r>
      <w:r>
        <w:rPr>
          <w:rFonts w:ascii="Times New Roman" w:hAnsi="Times New Roman" w:eastAsia="宋体" w:cs="Times New Roman"/>
          <w:sz w:val="24"/>
          <w:szCs w:val="24"/>
        </w:rPr>
        <w:t>通知书发出后，采购人改变</w:t>
      </w:r>
      <w:r>
        <w:rPr>
          <w:rFonts w:hint="eastAsia" w:ascii="Times New Roman"/>
          <w:sz w:val="24"/>
          <w:szCs w:val="24"/>
          <w:lang w:eastAsia="zh-CN"/>
        </w:rPr>
        <w:t>成交</w:t>
      </w:r>
      <w:r>
        <w:rPr>
          <w:rFonts w:ascii="Times New Roman" w:hAnsi="Times New Roman" w:eastAsia="宋体" w:cs="Times New Roman"/>
          <w:sz w:val="24"/>
          <w:szCs w:val="24"/>
        </w:rPr>
        <w:t>结果的，或者</w:t>
      </w:r>
      <w:r>
        <w:rPr>
          <w:rFonts w:hint="eastAsia" w:ascii="Times New Roman"/>
          <w:sz w:val="24"/>
          <w:szCs w:val="24"/>
          <w:lang w:eastAsia="zh-CN"/>
        </w:rPr>
        <w:t>成交</w:t>
      </w:r>
      <w:r>
        <w:rPr>
          <w:rFonts w:ascii="Times New Roman" w:hAnsi="Times New Roman" w:eastAsia="宋体" w:cs="Times New Roman"/>
          <w:sz w:val="24"/>
          <w:szCs w:val="24"/>
        </w:rPr>
        <w:t>供应商放弃</w:t>
      </w:r>
      <w:r>
        <w:rPr>
          <w:rFonts w:hint="eastAsia" w:ascii="Times New Roman"/>
          <w:sz w:val="24"/>
          <w:szCs w:val="24"/>
          <w:lang w:eastAsia="zh-CN"/>
        </w:rPr>
        <w:t>成交</w:t>
      </w:r>
      <w:r>
        <w:rPr>
          <w:rFonts w:ascii="Times New Roman" w:hAnsi="Times New Roman" w:eastAsia="宋体" w:cs="Times New Roman"/>
          <w:sz w:val="24"/>
          <w:szCs w:val="24"/>
        </w:rPr>
        <w:t>项目的，应当依法承担法律责任。</w:t>
      </w:r>
    </w:p>
    <w:p>
      <w:pPr>
        <w:keepNext w:val="0"/>
        <w:keepLines w:val="0"/>
        <w:pageBreakBefore w:val="0"/>
        <w:widowControl w:val="0"/>
        <w:kinsoku/>
        <w:wordWrap/>
        <w:overflowPunct/>
        <w:topLinePunct w:val="0"/>
        <w:bidi w:val="0"/>
        <w:snapToGrid w:val="0"/>
        <w:spacing w:line="360" w:lineRule="auto"/>
        <w:ind w:firstLine="482" w:firstLineChars="200"/>
        <w:rPr>
          <w:rFonts w:hint="eastAsia"/>
          <w:b/>
          <w:kern w:val="0"/>
          <w:sz w:val="24"/>
        </w:rPr>
      </w:pPr>
      <w:r>
        <w:rPr>
          <w:rFonts w:hint="eastAsia"/>
          <w:b/>
          <w:kern w:val="0"/>
          <w:sz w:val="24"/>
        </w:rPr>
        <w:t>八、其他注意事项</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rFonts w:hint="eastAsia"/>
          <w:sz w:val="24"/>
        </w:rPr>
        <w:t>1</w:t>
      </w:r>
      <w:r>
        <w:rPr>
          <w:rFonts w:hint="eastAsia"/>
          <w:sz w:val="24"/>
          <w:lang w:val="en-US" w:eastAsia="zh-CN"/>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pPr>
        <w:keepNext w:val="0"/>
        <w:keepLines w:val="0"/>
        <w:pageBreakBefore w:val="0"/>
        <w:widowControl w:val="0"/>
        <w:kinsoku/>
        <w:wordWrap/>
        <w:overflowPunct/>
        <w:topLinePunct w:val="0"/>
        <w:bidi w:val="0"/>
        <w:snapToGrid w:val="0"/>
        <w:spacing w:line="360" w:lineRule="auto"/>
        <w:ind w:firstLine="480" w:firstLineChars="200"/>
        <w:rPr>
          <w:rFonts w:hint="eastAsia"/>
          <w:sz w:val="24"/>
        </w:rPr>
      </w:pPr>
      <w:r>
        <w:rPr>
          <w:rFonts w:hint="eastAsia"/>
          <w:sz w:val="24"/>
        </w:rPr>
        <w:t>2</w:t>
      </w:r>
      <w:r>
        <w:rPr>
          <w:rFonts w:hint="eastAsia"/>
          <w:sz w:val="24"/>
          <w:lang w:val="en-US" w:eastAsia="zh-CN"/>
        </w:rPr>
        <w:t>.</w:t>
      </w:r>
      <w:r>
        <w:rPr>
          <w:rFonts w:hint="eastAsia"/>
          <w:sz w:val="24"/>
        </w:rPr>
        <w:t>磋商小组不得向供应商解释落标原因。</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sz w:val="24"/>
        </w:rPr>
        <w:t>3</w:t>
      </w:r>
      <w:r>
        <w:rPr>
          <w:rFonts w:hint="eastAsia"/>
          <w:sz w:val="24"/>
          <w:lang w:val="en-US" w:eastAsia="zh-CN"/>
        </w:rPr>
        <w:t>.</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pPr>
        <w:keepNext w:val="0"/>
        <w:keepLines w:val="0"/>
        <w:pageBreakBefore w:val="0"/>
        <w:widowControl w:val="0"/>
        <w:kinsoku/>
        <w:wordWrap/>
        <w:overflowPunct/>
        <w:topLinePunct w:val="0"/>
        <w:bidi w:val="0"/>
        <w:snapToGrid w:val="0"/>
        <w:spacing w:line="360" w:lineRule="auto"/>
        <w:ind w:firstLine="480" w:firstLineChars="200"/>
        <w:rPr>
          <w:sz w:val="24"/>
        </w:rPr>
      </w:pPr>
      <w:r>
        <w:rPr>
          <w:rFonts w:hint="eastAsia"/>
          <w:sz w:val="24"/>
        </w:rPr>
        <w:t>4</w:t>
      </w:r>
      <w:r>
        <w:rPr>
          <w:rFonts w:hint="eastAsia"/>
          <w:sz w:val="24"/>
          <w:lang w:val="en-US" w:eastAsia="zh-CN"/>
        </w:rPr>
        <w:t>.</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pPr>
        <w:rPr>
          <w:rFonts w:hint="eastAsia" w:ascii="仿宋_GB2312" w:hAnsi="宋体" w:eastAsia="仿宋_GB2312"/>
          <w:b/>
          <w:sz w:val="36"/>
          <w:szCs w:val="36"/>
        </w:rPr>
      </w:pPr>
      <w:r>
        <w:rPr>
          <w:rFonts w:hint="eastAsia" w:ascii="仿宋_GB2312" w:hAnsi="宋体" w:eastAsia="仿宋_GB2312"/>
          <w:b/>
          <w:sz w:val="36"/>
          <w:szCs w:val="36"/>
        </w:rPr>
        <w:br w:type="page"/>
      </w:r>
    </w:p>
    <w:p>
      <w:pPr>
        <w:snapToGrid w:val="0"/>
        <w:spacing w:line="30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第五部分  合同签订与验收付款</w:t>
      </w:r>
    </w:p>
    <w:p>
      <w:pPr>
        <w:snapToGrid w:val="0"/>
        <w:spacing w:line="480" w:lineRule="exact"/>
        <w:ind w:firstLine="472" w:firstLineChars="196"/>
        <w:jc w:val="left"/>
        <w:rPr>
          <w:b/>
          <w:sz w:val="24"/>
        </w:rPr>
      </w:pPr>
    </w:p>
    <w:p>
      <w:pPr>
        <w:snapToGrid w:val="0"/>
        <w:spacing w:line="480" w:lineRule="exact"/>
        <w:ind w:firstLine="480" w:firstLineChars="200"/>
        <w:rPr>
          <w:sz w:val="24"/>
          <w:lang w:val="zh-CN"/>
        </w:rPr>
      </w:pPr>
      <w:r>
        <w:rPr>
          <w:sz w:val="24"/>
          <w:lang w:val="zh-CN"/>
        </w:rPr>
        <w:t>一、</w:t>
      </w:r>
      <w:r>
        <w:rPr>
          <w:b/>
          <w:bCs/>
          <w:sz w:val="24"/>
          <w:lang w:val="zh-CN"/>
        </w:rPr>
        <w:t>成交供应商和采购单位</w:t>
      </w:r>
      <w:r>
        <w:rPr>
          <w:rFonts w:hint="eastAsia" w:ascii="宋体" w:hAnsi="宋体"/>
          <w:b/>
          <w:bCs/>
          <w:sz w:val="24"/>
        </w:rPr>
        <w:t>需在</w:t>
      </w:r>
      <w:r>
        <w:rPr>
          <w:b/>
          <w:bCs/>
          <w:sz w:val="24"/>
          <w:lang w:val="zh-CN"/>
        </w:rPr>
        <w:t>《成交通知书》</w:t>
      </w:r>
      <w:r>
        <w:rPr>
          <w:rFonts w:hint="eastAsia"/>
          <w:b/>
          <w:bCs/>
          <w:sz w:val="24"/>
        </w:rPr>
        <w:t>发出之日起</w:t>
      </w:r>
      <w:r>
        <w:rPr>
          <w:rFonts w:hint="eastAsia"/>
          <w:b/>
          <w:bCs/>
          <w:sz w:val="24"/>
          <w:lang w:val="en-US" w:eastAsia="zh-CN"/>
        </w:rPr>
        <w:t>7</w:t>
      </w:r>
      <w:r>
        <w:rPr>
          <w:rFonts w:hint="eastAsia"/>
          <w:b/>
          <w:bCs/>
          <w:sz w:val="24"/>
        </w:rPr>
        <w:t>日内</w:t>
      </w:r>
      <w:r>
        <w:rPr>
          <w:rFonts w:hint="eastAsia" w:ascii="宋体" w:hAnsi="宋体"/>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 xml:space="preserve"> </w:t>
      </w:r>
      <w:r>
        <w:rPr>
          <w:rFonts w:hint="eastAsia"/>
          <w:bCs/>
          <w:sz w:val="24"/>
          <w:u w:val="single"/>
          <w:lang w:eastAsia="zh-CN"/>
        </w:rPr>
        <w:t>陆</w:t>
      </w:r>
      <w:r>
        <w:rPr>
          <w:rFonts w:hint="eastAsia"/>
          <w:bCs/>
          <w:sz w:val="24"/>
          <w:u w:val="single"/>
        </w:rPr>
        <w:t xml:space="preserve"> </w:t>
      </w:r>
      <w:r>
        <w:rPr>
          <w:bCs/>
          <w:sz w:val="24"/>
        </w:rPr>
        <w:t>份，采购人、供应商各</w:t>
      </w:r>
      <w:r>
        <w:rPr>
          <w:rFonts w:hint="eastAsia"/>
          <w:bCs/>
          <w:sz w:val="24"/>
          <w:u w:val="single"/>
        </w:rPr>
        <w:t xml:space="preserve"> </w:t>
      </w:r>
      <w:r>
        <w:rPr>
          <w:rFonts w:hint="eastAsia"/>
          <w:bCs/>
          <w:sz w:val="24"/>
          <w:u w:val="single"/>
          <w:lang w:eastAsia="zh-CN"/>
        </w:rPr>
        <w:t>叁</w:t>
      </w:r>
      <w:r>
        <w:rPr>
          <w:rFonts w:hint="eastAsia"/>
          <w:bCs/>
          <w:sz w:val="24"/>
          <w:u w:val="single"/>
        </w:rPr>
        <w:t xml:space="preserve"> </w:t>
      </w:r>
      <w:r>
        <w:rPr>
          <w:bCs/>
          <w:sz w:val="24"/>
        </w:rPr>
        <w:t>份</w:t>
      </w:r>
      <w:r>
        <w:rPr>
          <w:rFonts w:hint="eastAsia"/>
          <w:bCs/>
          <w:sz w:val="24"/>
          <w:lang w:eastAsia="zh-CN"/>
        </w:rPr>
        <w:t>，</w:t>
      </w:r>
      <w:r>
        <w:rPr>
          <w:b/>
          <w:bCs/>
          <w:sz w:val="24"/>
          <w:lang w:val="zh-CN"/>
        </w:rPr>
        <w:t>同时，采购合同需在合同签订之日起2个工作日内进行合同公告。</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5"/>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pStyle w:val="5"/>
        <w:numPr>
          <w:ilvl w:val="0"/>
          <w:numId w:val="2"/>
        </w:numPr>
        <w:kinsoku w:val="0"/>
        <w:topLinePunct/>
        <w:autoSpaceDE w:val="0"/>
        <w:autoSpaceDN w:val="0"/>
        <w:snapToGrid w:val="0"/>
        <w:spacing w:line="480" w:lineRule="exact"/>
        <w:ind w:right="210" w:firstLine="513" w:firstLineChars="214"/>
        <w:contextualSpacing/>
        <w:rPr>
          <w:rFonts w:hint="eastAsia"/>
          <w:sz w:val="24"/>
          <w:szCs w:val="24"/>
          <w:lang w:val="en-US" w:eastAsia="zh-CN"/>
        </w:rPr>
      </w:pPr>
      <w:r>
        <w:rPr>
          <w:rFonts w:hint="eastAsia"/>
          <w:sz w:val="24"/>
          <w:szCs w:val="24"/>
        </w:rPr>
        <w:t>合同主要条款</w:t>
      </w:r>
      <w:r>
        <w:rPr>
          <w:rFonts w:hint="eastAsia"/>
          <w:sz w:val="24"/>
          <w:szCs w:val="24"/>
          <w:lang w:val="en-US" w:eastAsia="zh-CN"/>
        </w:rPr>
        <w:t>及格式</w:t>
      </w:r>
    </w:p>
    <w:p>
      <w:pPr>
        <w:snapToGrid w:val="0"/>
        <w:spacing w:line="480" w:lineRule="exact"/>
        <w:ind w:firstLine="480" w:firstLineChars="200"/>
        <w:contextualSpacing/>
        <w:rPr>
          <w:rFonts w:hint="eastAsia"/>
          <w:sz w:val="24"/>
          <w:lang w:val="en-US" w:eastAsia="zh-CN"/>
        </w:rPr>
      </w:pPr>
      <w:r>
        <w:rPr>
          <w:rFonts w:hint="eastAsia"/>
          <w:sz w:val="24"/>
          <w:lang w:val="zh-CN"/>
        </w:rPr>
        <w:t>以下为成交后签定本项目合同的通用条款，成交供应商不得提出实质性的修改，关于专用条款将由采购人与成交供应商结合本项目具体情况协商后签订。</w:t>
      </w:r>
    </w:p>
    <w:p>
      <w:pPr>
        <w:pStyle w:val="5"/>
        <w:kinsoku w:val="0"/>
        <w:topLinePunct/>
        <w:autoSpaceDE w:val="0"/>
        <w:autoSpaceDN w:val="0"/>
        <w:snapToGrid w:val="0"/>
        <w:spacing w:line="480" w:lineRule="exact"/>
        <w:ind w:right="210" w:firstLine="599" w:firstLineChars="214"/>
        <w:contextualSpacing/>
        <w:rPr>
          <w:rFonts w:hint="eastAsia" w:ascii="仿宋_GB2312" w:eastAsia="仿宋_GB2312"/>
          <w:sz w:val="28"/>
          <w:szCs w:val="28"/>
          <w:lang w:val="zh-CN"/>
        </w:rPr>
      </w:pPr>
    </w:p>
    <w:p>
      <w:pPr>
        <w:pStyle w:val="3"/>
        <w:rPr>
          <w:rFonts w:hint="eastAsia" w:ascii="仿宋_GB2312" w:hAnsi="宋体" w:eastAsia="仿宋_GB2312" w:cs="Times New Roman"/>
          <w:b/>
          <w:kern w:val="2"/>
          <w:sz w:val="36"/>
          <w:szCs w:val="36"/>
          <w:lang w:val="en-US" w:eastAsia="zh-CN" w:bidi="ar-SA"/>
        </w:rPr>
      </w:pPr>
      <w:r>
        <w:rPr>
          <w:b/>
          <w:bCs/>
          <w:w w:val="80"/>
          <w:sz w:val="36"/>
          <w:szCs w:val="36"/>
        </w:rPr>
        <w:br w:type="page"/>
      </w:r>
    </w:p>
    <w:p>
      <w:pPr>
        <w:pStyle w:val="23"/>
        <w:keepNext w:val="0"/>
        <w:keepLines/>
        <w:widowControl/>
        <w:suppressLineNumbers w:val="0"/>
        <w:spacing w:beforeAutospacing="0" w:after="0" w:afterAutospacing="0" w:line="360" w:lineRule="auto"/>
        <w:ind w:left="0" w:right="0"/>
        <w:rPr>
          <w:rFonts w:hint="eastAsia" w:ascii="宋体" w:hAnsi="Arial" w:eastAsia="宋体" w:cs="宋体"/>
          <w:color w:val="auto"/>
          <w:spacing w:val="0"/>
          <w:highlight w:val="none"/>
          <w:lang w:val="en-US"/>
        </w:rPr>
      </w:pPr>
      <w:bookmarkStart w:id="5" w:name="_Toc15434"/>
      <w:r>
        <w:rPr>
          <w:rFonts w:hint="eastAsia" w:ascii="宋体" w:hAnsi="宋体" w:eastAsia="宋体" w:cs="宋体"/>
          <w:color w:val="auto"/>
          <w:spacing w:val="0"/>
          <w:highlight w:val="none"/>
          <w:lang w:eastAsia="zh-CN"/>
        </w:rPr>
        <w:t>第一部分</w:t>
      </w:r>
      <w:bookmarkEnd w:id="5"/>
      <w:r>
        <w:rPr>
          <w:rFonts w:hint="eastAsia" w:ascii="宋体" w:hAnsi="宋体" w:eastAsia="宋体" w:cs="宋体"/>
          <w:color w:val="auto"/>
          <w:spacing w:val="0"/>
          <w:highlight w:val="none"/>
          <w:lang w:eastAsia="zh-CN"/>
        </w:rPr>
        <w:t xml:space="preserve"> 合同协议书</w:t>
      </w:r>
    </w:p>
    <w:p>
      <w:pPr>
        <w:keepNext w:val="0"/>
        <w:keepLines w:val="0"/>
        <w:pageBreakBefore w:val="0"/>
        <w:widowControl/>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4"/>
          <w:highlight w:val="none"/>
          <w:lang w:val="en-US" w:eastAsia="zh-CN" w:bidi="ar"/>
        </w:rPr>
      </w:pPr>
    </w:p>
    <w:p>
      <w:pPr>
        <w:keepNext w:val="0"/>
        <w:keepLines w:val="0"/>
        <w:pageBreakBefore w:val="0"/>
        <w:widowControl/>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4"/>
          <w:highlight w:val="none"/>
          <w:lang w:val="en-US" w:eastAsia="zh-CN" w:bidi="ar"/>
        </w:rPr>
      </w:pPr>
      <w:r>
        <w:rPr>
          <w:rFonts w:hint="eastAsia" w:ascii="宋体" w:hAnsi="宋体" w:eastAsia="宋体" w:cs="宋体"/>
          <w:color w:val="auto"/>
          <w:spacing w:val="0"/>
          <w:sz w:val="21"/>
          <w:szCs w:val="24"/>
          <w:highlight w:val="none"/>
          <w:lang w:val="en-US" w:eastAsia="zh-CN" w:bidi="ar"/>
        </w:rPr>
        <w:t>发包人（全称）：</w:t>
      </w:r>
      <w:r>
        <w:rPr>
          <w:rFonts w:hint="eastAsia" w:ascii="宋体" w:hAnsi="宋体" w:eastAsia="宋体" w:cs="宋体"/>
          <w:color w:val="auto"/>
          <w:spacing w:val="0"/>
          <w:sz w:val="21"/>
          <w:szCs w:val="24"/>
          <w:highlight w:val="none"/>
          <w:u w:val="single"/>
          <w:lang w:val="en-US" w:eastAsia="zh-CN" w:bidi="ar"/>
        </w:rPr>
        <w:t>江苏省南通女子监狱</w:t>
      </w:r>
      <w:r>
        <w:rPr>
          <w:rFonts w:hint="eastAsia" w:ascii="宋体" w:hAnsi="宋体" w:eastAsia="宋体" w:cs="宋体"/>
          <w:color w:val="auto"/>
          <w:spacing w:val="0"/>
          <w:sz w:val="21"/>
          <w:szCs w:val="24"/>
          <w:highlight w:val="none"/>
          <w:lang w:val="en-US" w:eastAsia="zh-CN" w:bidi="ar"/>
        </w:rPr>
        <w:t xml:space="preserve"> </w:t>
      </w:r>
    </w:p>
    <w:p>
      <w:pPr>
        <w:keepNext w:val="0"/>
        <w:keepLines w:val="0"/>
        <w:pageBreakBefore w:val="0"/>
        <w:widowControl/>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4"/>
          <w:highlight w:val="none"/>
          <w:lang w:val="en-US" w:eastAsia="zh-CN" w:bidi="ar"/>
        </w:rPr>
      </w:pPr>
      <w:r>
        <w:rPr>
          <w:rFonts w:hint="eastAsia" w:ascii="宋体" w:hAnsi="宋体" w:eastAsia="宋体" w:cs="宋体"/>
          <w:color w:val="auto"/>
          <w:spacing w:val="0"/>
          <w:sz w:val="21"/>
          <w:szCs w:val="24"/>
          <w:highlight w:val="none"/>
          <w:lang w:val="en-US" w:eastAsia="zh-CN" w:bidi="ar"/>
        </w:rPr>
        <w:t>承包人（全称）：</w:t>
      </w:r>
      <w:r>
        <w:rPr>
          <w:rFonts w:hint="eastAsia" w:ascii="宋体" w:hAnsi="宋体" w:eastAsia="宋体" w:cs="宋体"/>
          <w:color w:val="auto"/>
          <w:spacing w:val="0"/>
          <w:sz w:val="21"/>
          <w:szCs w:val="24"/>
          <w:highlight w:val="none"/>
          <w:u w:val="single"/>
          <w:lang w:val="en-US" w:eastAsia="zh-CN" w:bidi="ar"/>
        </w:rPr>
        <w:t xml:space="preserve">                  </w:t>
      </w:r>
      <w:r>
        <w:rPr>
          <w:rFonts w:hint="eastAsia" w:ascii="宋体" w:hAnsi="宋体" w:eastAsia="宋体" w:cs="宋体"/>
          <w:color w:val="auto"/>
          <w:spacing w:val="0"/>
          <w:sz w:val="21"/>
          <w:szCs w:val="24"/>
          <w:highlight w:val="none"/>
          <w:lang w:val="en-US" w:eastAsia="zh-CN" w:bidi="ar"/>
        </w:rPr>
        <w:t xml:space="preserve"> </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根据《中华人民共和国民法典》、《中华人民共和国建筑法》及有关法律规定，遵循平等、自愿、公平和诚实信用的原则，双方就</w:t>
      </w:r>
      <w:r>
        <w:rPr>
          <w:rFonts w:hint="eastAsia" w:ascii="宋体" w:hAnsi="宋体" w:cs="宋体"/>
          <w:color w:val="auto"/>
          <w:spacing w:val="0"/>
          <w:highlight w:val="none"/>
          <w:u w:val="single"/>
          <w:lang w:eastAsia="zh-CN"/>
        </w:rPr>
        <w:t>江苏省南通女子监狱安防设施项目</w:t>
      </w:r>
      <w:r>
        <w:rPr>
          <w:rFonts w:hint="eastAsia" w:ascii="宋体" w:hAnsi="宋体" w:eastAsia="宋体" w:cs="宋体"/>
          <w:color w:val="auto"/>
          <w:spacing w:val="0"/>
          <w:highlight w:val="none"/>
          <w:u w:val="single"/>
          <w:lang w:eastAsia="zh-CN"/>
        </w:rPr>
        <w:t>及有关事项</w:t>
      </w:r>
      <w:r>
        <w:rPr>
          <w:rFonts w:hint="eastAsia" w:ascii="宋体" w:hAnsi="宋体" w:eastAsia="宋体" w:cs="宋体"/>
          <w:color w:val="auto"/>
          <w:spacing w:val="0"/>
          <w:highlight w:val="none"/>
          <w:lang w:eastAsia="zh-CN"/>
        </w:rPr>
        <w:t>协商一致，共同达成如下协议：</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一、工程概况</w:t>
      </w:r>
    </w:p>
    <w:p>
      <w:pPr>
        <w:pStyle w:val="25"/>
        <w:keepNext w:val="0"/>
        <w:keepLines w:val="0"/>
        <w:pageBreakBefore w:val="0"/>
        <w:widowControl/>
        <w:suppressLineNumbers w:val="0"/>
        <w:spacing w:line="360" w:lineRule="auto"/>
        <w:ind w:left="25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1.</w:t>
      </w:r>
      <w:r>
        <w:rPr>
          <w:rFonts w:hint="eastAsia" w:ascii="宋体" w:hAnsi="宋体" w:eastAsia="宋体" w:cs="宋体"/>
          <w:color w:val="auto"/>
          <w:spacing w:val="0"/>
          <w:highlight w:val="none"/>
          <w:lang w:eastAsia="zh-CN"/>
        </w:rPr>
        <w:t>工程名称：</w:t>
      </w:r>
      <w:r>
        <w:rPr>
          <w:rFonts w:hint="eastAsia" w:ascii="宋体" w:hAnsi="宋体" w:cs="宋体"/>
          <w:color w:val="auto"/>
          <w:spacing w:val="0"/>
          <w:highlight w:val="none"/>
          <w:u w:val="single"/>
          <w:lang w:eastAsia="zh-CN"/>
        </w:rPr>
        <w:t>江苏省南通女子监狱安防设施项目</w:t>
      </w:r>
    </w:p>
    <w:p>
      <w:pPr>
        <w:pStyle w:val="25"/>
        <w:keepNext w:val="0"/>
        <w:keepLines w:val="0"/>
        <w:pageBreakBefore w:val="0"/>
        <w:widowControl/>
        <w:suppressLineNumbers w:val="0"/>
        <w:spacing w:line="360" w:lineRule="auto"/>
        <w:ind w:left="250" w:firstLine="405"/>
        <w:jc w:val="left"/>
        <w:rPr>
          <w:rFonts w:hint="default" w:ascii="宋体" w:hAnsi="Calibri" w:eastAsia="宋体" w:cs="宋体"/>
          <w:color w:val="auto"/>
          <w:spacing w:val="0"/>
          <w:highlight w:val="none"/>
          <w:lang w:val="en-US" w:eastAsia="zh-CN"/>
        </w:rPr>
      </w:pPr>
      <w:r>
        <w:rPr>
          <w:rFonts w:hint="eastAsia" w:ascii="宋体" w:hAnsi="宋体" w:eastAsia="宋体" w:cs="宋体"/>
          <w:color w:val="auto"/>
          <w:spacing w:val="0"/>
          <w:highlight w:val="none"/>
          <w:lang w:val="en-US"/>
        </w:rPr>
        <w:t>2.</w:t>
      </w:r>
      <w:r>
        <w:rPr>
          <w:rFonts w:hint="eastAsia" w:ascii="宋体" w:hAnsi="宋体" w:eastAsia="宋体" w:cs="宋体"/>
          <w:color w:val="auto"/>
          <w:spacing w:val="0"/>
          <w:highlight w:val="none"/>
          <w:lang w:eastAsia="zh-CN"/>
        </w:rPr>
        <w:t>工程地点：</w:t>
      </w:r>
      <w:r>
        <w:rPr>
          <w:rFonts w:hint="eastAsia" w:ascii="宋体" w:hAnsi="宋体" w:cs="宋体"/>
          <w:color w:val="auto"/>
          <w:spacing w:val="0"/>
          <w:highlight w:val="none"/>
          <w:u w:val="single"/>
          <w:lang w:val="en-US" w:eastAsia="zh-CN"/>
        </w:rPr>
        <w:t>南通市濠东路258号</w:t>
      </w:r>
    </w:p>
    <w:p>
      <w:pPr>
        <w:pStyle w:val="25"/>
        <w:keepNext w:val="0"/>
        <w:keepLines w:val="0"/>
        <w:pageBreakBefore w:val="0"/>
        <w:widowControl/>
        <w:suppressLineNumbers w:val="0"/>
        <w:spacing w:before="0" w:beforeAutospacing="0" w:after="0" w:afterAutospacing="0" w:line="360" w:lineRule="auto"/>
        <w:ind w:left="250" w:right="36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3.</w:t>
      </w:r>
      <w:r>
        <w:rPr>
          <w:rFonts w:hint="eastAsia" w:ascii="宋体" w:hAnsi="宋体" w:eastAsia="宋体" w:cs="宋体"/>
          <w:color w:val="auto"/>
          <w:spacing w:val="0"/>
          <w:highlight w:val="none"/>
          <w:lang w:eastAsia="zh-CN"/>
        </w:rPr>
        <w:t>工程立项批准文号：</w:t>
      </w:r>
      <w:r>
        <w:rPr>
          <w:rFonts w:hint="eastAsia" w:ascii="宋体" w:hAnsi="宋体" w:eastAsia="宋体" w:cs="宋体"/>
          <w:color w:val="auto"/>
          <w:spacing w:val="0"/>
          <w:highlight w:val="none"/>
          <w:u w:val="single"/>
          <w:lang w:val="en-US"/>
        </w:rPr>
        <w:t xml:space="preserve">       </w:t>
      </w:r>
    </w:p>
    <w:p>
      <w:pPr>
        <w:pStyle w:val="25"/>
        <w:keepNext w:val="0"/>
        <w:keepLines w:val="0"/>
        <w:pageBreakBefore w:val="0"/>
        <w:widowControl/>
        <w:suppressLineNumbers w:val="0"/>
        <w:spacing w:line="360" w:lineRule="auto"/>
        <w:ind w:left="250" w:firstLine="405"/>
        <w:jc w:val="left"/>
        <w:rPr>
          <w:rFonts w:hint="default"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4.</w:t>
      </w:r>
      <w:r>
        <w:rPr>
          <w:rFonts w:hint="eastAsia" w:ascii="宋体" w:hAnsi="宋体" w:eastAsia="宋体" w:cs="宋体"/>
          <w:color w:val="auto"/>
          <w:spacing w:val="0"/>
          <w:highlight w:val="none"/>
          <w:lang w:eastAsia="zh-CN"/>
        </w:rPr>
        <w:t>资金来源：</w:t>
      </w:r>
      <w:r>
        <w:rPr>
          <w:rFonts w:hint="eastAsia" w:ascii="宋体" w:hAnsi="宋体" w:cs="宋体"/>
          <w:color w:val="auto"/>
          <w:spacing w:val="0"/>
          <w:highlight w:val="none"/>
          <w:u w:val="single"/>
          <w:lang w:val="en-US" w:eastAsia="zh-CN"/>
        </w:rPr>
        <w:t xml:space="preserve">财政，已落实 </w:t>
      </w:r>
    </w:p>
    <w:p>
      <w:pPr>
        <w:pStyle w:val="25"/>
        <w:keepNext w:val="0"/>
        <w:keepLines w:val="0"/>
        <w:pageBreakBefore w:val="0"/>
        <w:widowControl/>
        <w:suppressLineNumbers w:val="0"/>
        <w:spacing w:line="360" w:lineRule="auto"/>
        <w:ind w:left="25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5.</w:t>
      </w:r>
      <w:r>
        <w:rPr>
          <w:rFonts w:hint="eastAsia" w:ascii="宋体" w:hAnsi="宋体" w:eastAsia="宋体" w:cs="宋体"/>
          <w:color w:val="auto"/>
          <w:spacing w:val="0"/>
          <w:highlight w:val="none"/>
          <w:lang w:eastAsia="zh-CN"/>
        </w:rPr>
        <w:t>工程内容：</w:t>
      </w:r>
      <w:r>
        <w:rPr>
          <w:rFonts w:hint="eastAsia" w:ascii="宋体" w:hAnsi="宋体" w:cs="宋体"/>
          <w:color w:val="auto"/>
          <w:spacing w:val="0"/>
          <w:highlight w:val="none"/>
          <w:u w:val="single"/>
          <w:lang w:eastAsia="zh-CN"/>
        </w:rPr>
        <w:t>江苏省南通女子监狱安防设施项目</w:t>
      </w:r>
      <w:r>
        <w:rPr>
          <w:rFonts w:hint="eastAsia" w:ascii="宋体" w:hAnsi="宋体" w:eastAsia="宋体" w:cs="宋体"/>
          <w:color w:val="auto"/>
          <w:spacing w:val="0"/>
          <w:highlight w:val="none"/>
          <w:u w:val="single"/>
          <w:lang w:eastAsia="zh-CN"/>
        </w:rPr>
        <w:t>。</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u w:val="single"/>
          <w:lang w:val="en-US"/>
        </w:rPr>
      </w:pPr>
      <w:r>
        <w:rPr>
          <w:rFonts w:hint="eastAsia" w:ascii="宋体" w:hAnsi="宋体" w:eastAsia="宋体" w:cs="宋体"/>
          <w:color w:val="auto"/>
          <w:spacing w:val="0"/>
          <w:highlight w:val="none"/>
          <w:lang w:val="en-US"/>
        </w:rPr>
        <w:t>6.</w:t>
      </w:r>
      <w:r>
        <w:rPr>
          <w:rFonts w:hint="eastAsia" w:ascii="宋体" w:hAnsi="宋体" w:eastAsia="宋体" w:cs="宋体"/>
          <w:color w:val="auto"/>
          <w:spacing w:val="0"/>
          <w:highlight w:val="none"/>
          <w:lang w:eastAsia="zh-CN"/>
        </w:rPr>
        <w:t>工程承包范围</w:t>
      </w:r>
      <w:r>
        <w:rPr>
          <w:rFonts w:hint="eastAsia" w:ascii="宋体" w:hAnsi="宋体" w:cs="宋体"/>
          <w:color w:val="auto"/>
          <w:spacing w:val="0"/>
          <w:highlight w:val="none"/>
          <w:lang w:eastAsia="zh-CN"/>
        </w:rPr>
        <w:t>：</w:t>
      </w:r>
      <w:r>
        <w:rPr>
          <w:rFonts w:hint="eastAsia" w:ascii="宋体" w:hAnsi="宋体" w:cs="宋体"/>
          <w:color w:val="auto"/>
          <w:spacing w:val="0"/>
          <w:highlight w:val="none"/>
          <w:u w:val="single"/>
          <w:lang w:eastAsia="zh-CN"/>
        </w:rPr>
        <w:t>江苏省南通女子监狱安防设施项目清单、图纸及采购文件涉及的所有内容</w:t>
      </w:r>
      <w:r>
        <w:rPr>
          <w:rFonts w:hint="eastAsia" w:ascii="宋体" w:hAnsi="宋体" w:eastAsia="宋体" w:cs="宋体"/>
          <w:color w:val="auto"/>
          <w:spacing w:val="0"/>
          <w:highlight w:val="none"/>
          <w:u w:val="single"/>
          <w:lang w:eastAsia="zh-CN"/>
        </w:rPr>
        <w:t>。</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二、合同工期：</w:t>
      </w:r>
    </w:p>
    <w:p>
      <w:pPr>
        <w:pStyle w:val="25"/>
        <w:keepNext w:val="0"/>
        <w:keepLines w:val="0"/>
        <w:pageBreakBefore w:val="0"/>
        <w:widowControl/>
        <w:suppressLineNumbers w:val="0"/>
        <w:spacing w:line="360" w:lineRule="auto"/>
        <w:ind w:left="25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计划开工日期：</w:t>
      </w:r>
      <w:r>
        <w:rPr>
          <w:rFonts w:hint="eastAsia" w:ascii="宋体" w:hAnsi="宋体" w:cs="宋体"/>
          <w:color w:val="auto"/>
          <w:spacing w:val="0"/>
          <w:highlight w:val="none"/>
          <w:u w:val="single"/>
          <w:lang w:val="en-US" w:eastAsia="zh-CN"/>
        </w:rPr>
        <w:t>2024</w:t>
      </w:r>
      <w:r>
        <w:rPr>
          <w:rFonts w:hint="eastAsia" w:ascii="宋体" w:hAnsi="宋体" w:eastAsia="宋体" w:cs="宋体"/>
          <w:color w:val="auto"/>
          <w:spacing w:val="0"/>
          <w:highlight w:val="none"/>
          <w:lang w:eastAsia="zh-CN"/>
        </w:rPr>
        <w:t>年</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月</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日</w:t>
      </w:r>
      <w:r>
        <w:rPr>
          <w:rFonts w:hint="eastAsia" w:ascii="宋体" w:hAnsi="宋体" w:eastAsia="宋体" w:cs="宋体"/>
          <w:color w:val="auto"/>
          <w:spacing w:val="0"/>
          <w:highlight w:val="none"/>
          <w:u w:val="single"/>
          <w:lang w:eastAsia="zh-CN"/>
        </w:rPr>
        <w:t>（以甲方开工令为准）</w:t>
      </w:r>
    </w:p>
    <w:p>
      <w:pPr>
        <w:pStyle w:val="25"/>
        <w:keepNext w:val="0"/>
        <w:keepLines w:val="0"/>
        <w:pageBreakBefore w:val="0"/>
        <w:widowControl/>
        <w:suppressLineNumbers w:val="0"/>
        <w:spacing w:line="360" w:lineRule="auto"/>
        <w:ind w:left="25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计划竣工日期：</w:t>
      </w:r>
      <w:r>
        <w:rPr>
          <w:rFonts w:hint="eastAsia" w:ascii="宋体" w:hAnsi="宋体" w:cs="宋体"/>
          <w:color w:val="auto"/>
          <w:spacing w:val="0"/>
          <w:highlight w:val="none"/>
          <w:u w:val="single"/>
          <w:lang w:val="en-US" w:eastAsia="zh-CN"/>
        </w:rPr>
        <w:t>2024</w:t>
      </w:r>
      <w:r>
        <w:rPr>
          <w:rFonts w:hint="eastAsia" w:ascii="宋体" w:hAnsi="宋体" w:eastAsia="宋体" w:cs="宋体"/>
          <w:color w:val="auto"/>
          <w:spacing w:val="0"/>
          <w:highlight w:val="none"/>
          <w:lang w:eastAsia="zh-CN"/>
        </w:rPr>
        <w:t>年</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月</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日。</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工期总日历天数：</w:t>
      </w:r>
      <w:r>
        <w:rPr>
          <w:rFonts w:hint="eastAsia" w:ascii="宋体" w:hAnsi="宋体" w:cs="宋体"/>
          <w:color w:val="auto"/>
          <w:spacing w:val="0"/>
          <w:highlight w:val="none"/>
          <w:u w:val="single"/>
          <w:lang w:val="en-US" w:eastAsia="zh-CN"/>
        </w:rPr>
        <w:t xml:space="preserve">               </w:t>
      </w:r>
      <w:r>
        <w:rPr>
          <w:rFonts w:hint="eastAsia" w:ascii="宋体" w:hAnsi="宋体" w:eastAsia="宋体" w:cs="宋体"/>
          <w:color w:val="auto"/>
          <w:spacing w:val="0"/>
          <w:highlight w:val="none"/>
          <w:lang w:eastAsia="zh-CN"/>
        </w:rPr>
        <w:t>。工期总日历天数与根据前述计划开竣工日期计算的工期天数不一致的，以工期总日历天数为准。</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三、质量标准</w:t>
      </w:r>
    </w:p>
    <w:p>
      <w:pPr>
        <w:pStyle w:val="25"/>
        <w:keepNext w:val="0"/>
        <w:keepLines w:val="0"/>
        <w:pageBreakBefore w:val="0"/>
        <w:widowControl/>
        <w:suppressLineNumbers w:val="0"/>
        <w:spacing w:line="360" w:lineRule="auto"/>
        <w:ind w:left="250" w:firstLine="405"/>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工程质量：</w:t>
      </w:r>
      <w:r>
        <w:rPr>
          <w:rFonts w:hint="eastAsia" w:ascii="宋体" w:hAnsi="宋体" w:eastAsia="宋体" w:cs="宋体"/>
          <w:color w:val="auto"/>
          <w:spacing w:val="0"/>
          <w:highlight w:val="none"/>
          <w:u w:val="single"/>
          <w:lang w:eastAsia="zh-CN"/>
        </w:rPr>
        <w:t>符合国家现行有关标准、相关行业规范及采购人要求。</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四、签约合同价与合同价格形式</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1.</w:t>
      </w:r>
      <w:r>
        <w:rPr>
          <w:rFonts w:hint="eastAsia" w:ascii="宋体" w:hAnsi="宋体" w:eastAsia="宋体" w:cs="宋体"/>
          <w:color w:val="auto"/>
          <w:spacing w:val="0"/>
          <w:highlight w:val="none"/>
          <w:lang w:eastAsia="zh-CN"/>
        </w:rPr>
        <w:t>签约合同价为：人民币（大写）</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r>
        <w:rPr>
          <w:rFonts w:ascii="宋体" w:cs="宋体"/>
          <w:color w:val="auto"/>
          <w:spacing w:val="0"/>
          <w:highlight w:val="none"/>
          <w:lang w:val="en-US"/>
        </w:rPr>
        <w:t>¥</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元）；</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其中：（</w:t>
      </w:r>
      <w:r>
        <w:rPr>
          <w:rFonts w:hint="eastAsia" w:ascii="宋体" w:hAnsi="宋体" w:eastAsia="宋体" w:cs="宋体"/>
          <w:color w:val="auto"/>
          <w:spacing w:val="0"/>
          <w:highlight w:val="none"/>
          <w:lang w:val="en-US"/>
        </w:rPr>
        <w:t>1</w:t>
      </w:r>
      <w:r>
        <w:rPr>
          <w:rFonts w:hint="eastAsia" w:ascii="宋体" w:hAnsi="宋体" w:eastAsia="宋体" w:cs="宋体"/>
          <w:color w:val="auto"/>
          <w:spacing w:val="0"/>
          <w:highlight w:val="none"/>
          <w:lang w:eastAsia="zh-CN"/>
        </w:rPr>
        <w:t>）安全文明施工费：人民币（大写）</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r>
        <w:rPr>
          <w:rFonts w:ascii="宋体" w:cs="宋体"/>
          <w:color w:val="auto"/>
          <w:spacing w:val="0"/>
          <w:highlight w:val="none"/>
          <w:lang w:val="en-US"/>
        </w:rPr>
        <w:t>¥</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元）；</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2</w:t>
      </w:r>
      <w:r>
        <w:rPr>
          <w:rFonts w:hint="eastAsia" w:ascii="宋体" w:hAnsi="宋体" w:eastAsia="宋体" w:cs="宋体"/>
          <w:color w:val="auto"/>
          <w:spacing w:val="0"/>
          <w:highlight w:val="none"/>
          <w:lang w:eastAsia="zh-CN"/>
        </w:rPr>
        <w:t>）材料和工程设备暂估价金额：人民币（大写）</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r>
        <w:rPr>
          <w:rFonts w:ascii="宋体" w:cs="宋体"/>
          <w:color w:val="auto"/>
          <w:spacing w:val="0"/>
          <w:highlight w:val="none"/>
          <w:lang w:val="en-US"/>
        </w:rPr>
        <w:t>¥</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元）；</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3</w:t>
      </w:r>
      <w:r>
        <w:rPr>
          <w:rFonts w:hint="eastAsia" w:ascii="宋体" w:hAnsi="宋体" w:eastAsia="宋体" w:cs="宋体"/>
          <w:color w:val="auto"/>
          <w:spacing w:val="0"/>
          <w:highlight w:val="none"/>
          <w:lang w:eastAsia="zh-CN"/>
        </w:rPr>
        <w:t>）专业工程暂估价金额：人民币（大写）</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r>
        <w:rPr>
          <w:rFonts w:ascii="宋体" w:cs="宋体"/>
          <w:color w:val="auto"/>
          <w:spacing w:val="0"/>
          <w:highlight w:val="none"/>
          <w:lang w:val="en-US"/>
        </w:rPr>
        <w:t>¥</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元）；</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4</w:t>
      </w:r>
      <w:r>
        <w:rPr>
          <w:rFonts w:hint="eastAsia" w:ascii="宋体" w:hAnsi="宋体" w:eastAsia="宋体" w:cs="宋体"/>
          <w:color w:val="auto"/>
          <w:spacing w:val="0"/>
          <w:highlight w:val="none"/>
          <w:lang w:eastAsia="zh-CN"/>
        </w:rPr>
        <w:t>）暂列金额：人民币（大写）</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r>
        <w:rPr>
          <w:rFonts w:ascii="宋体" w:cs="宋体"/>
          <w:color w:val="auto"/>
          <w:spacing w:val="0"/>
          <w:highlight w:val="none"/>
          <w:lang w:val="en-US"/>
        </w:rPr>
        <w:t>¥</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元）。</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val="en-US"/>
        </w:rPr>
        <w:t>2.</w:t>
      </w:r>
      <w:r>
        <w:rPr>
          <w:rFonts w:hint="eastAsia" w:ascii="宋体" w:hAnsi="宋体" w:eastAsia="宋体" w:cs="宋体"/>
          <w:color w:val="auto"/>
          <w:spacing w:val="0"/>
          <w:highlight w:val="none"/>
          <w:lang w:eastAsia="zh-CN"/>
        </w:rPr>
        <w:t>合同价格形式：</w:t>
      </w:r>
      <w:r>
        <w:rPr>
          <w:rFonts w:hint="eastAsia" w:ascii="宋体" w:hAnsi="宋体" w:cs="宋体"/>
          <w:color w:val="auto"/>
          <w:spacing w:val="0"/>
          <w:highlight w:val="none"/>
          <w:u w:val="single"/>
          <w:lang w:val="en-US" w:eastAsia="zh-CN"/>
        </w:rPr>
        <w:t>固定单价</w:t>
      </w:r>
      <w:r>
        <w:rPr>
          <w:rFonts w:hint="eastAsia" w:ascii="宋体" w:hAnsi="宋体" w:eastAsia="宋体" w:cs="宋体"/>
          <w:color w:val="auto"/>
          <w:spacing w:val="0"/>
          <w:highlight w:val="none"/>
          <w:u w:val="single"/>
          <w:lang w:eastAsia="zh-CN"/>
        </w:rPr>
        <w:t>合同</w:t>
      </w:r>
      <w:r>
        <w:rPr>
          <w:rFonts w:hint="eastAsia" w:ascii="宋体" w:hAnsi="宋体" w:eastAsia="宋体" w:cs="宋体"/>
          <w:color w:val="auto"/>
          <w:spacing w:val="0"/>
          <w:highlight w:val="none"/>
          <w:lang w:eastAsia="zh-CN"/>
        </w:rPr>
        <w:t>。</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五、项目经理</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承包人项目经理：</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cs="宋体"/>
          <w:color w:val="auto"/>
          <w:spacing w:val="0"/>
          <w:highlight w:val="none"/>
          <w:lang w:val="en-US" w:eastAsia="zh-CN"/>
        </w:rPr>
        <w:t>六</w:t>
      </w:r>
      <w:r>
        <w:rPr>
          <w:rFonts w:hint="eastAsia" w:ascii="宋体" w:hAnsi="宋体" w:eastAsia="宋体" w:cs="宋体"/>
          <w:color w:val="auto"/>
          <w:spacing w:val="0"/>
          <w:highlight w:val="none"/>
          <w:lang w:eastAsia="zh-CN"/>
        </w:rPr>
        <w:t>、合同文件构成</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本协议书与下列文件一起构成合同文件：</w:t>
      </w:r>
    </w:p>
    <w:p>
      <w:pPr>
        <w:pStyle w:val="25"/>
        <w:keepNext w:val="0"/>
        <w:keepLines w:val="0"/>
        <w:pageBreakBefore w:val="0"/>
        <w:widowControl/>
        <w:suppressLineNumbers w:val="0"/>
        <w:spacing w:line="360" w:lineRule="auto"/>
        <w:ind w:left="0" w:firstLine="630"/>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1</w:t>
      </w:r>
      <w:r>
        <w:rPr>
          <w:rFonts w:hint="eastAsia" w:ascii="宋体" w:hAnsi="宋体" w:eastAsia="宋体" w:cs="宋体"/>
          <w:color w:val="auto"/>
          <w:spacing w:val="0"/>
          <w:highlight w:val="none"/>
          <w:lang w:eastAsia="zh-CN"/>
        </w:rPr>
        <w:t>）专用合同条款及其附件；</w:t>
      </w:r>
    </w:p>
    <w:p>
      <w:pPr>
        <w:pStyle w:val="25"/>
        <w:keepNext w:val="0"/>
        <w:keepLines w:val="0"/>
        <w:pageBreakBefore w:val="0"/>
        <w:widowControl/>
        <w:suppressLineNumbers w:val="0"/>
        <w:spacing w:line="360" w:lineRule="auto"/>
        <w:ind w:left="0" w:firstLine="630"/>
        <w:rPr>
          <w:rFonts w:hint="eastAsia" w:ascii="宋体" w:hAnsi="宋体"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2</w:t>
      </w:r>
      <w:r>
        <w:rPr>
          <w:rFonts w:hint="eastAsia" w:ascii="宋体" w:hAnsi="宋体" w:eastAsia="宋体" w:cs="宋体"/>
          <w:color w:val="auto"/>
          <w:spacing w:val="0"/>
          <w:highlight w:val="none"/>
          <w:lang w:eastAsia="zh-CN"/>
        </w:rPr>
        <w:t>）通用合同条款；</w:t>
      </w:r>
      <w:r>
        <w:rPr>
          <w:rFonts w:hint="eastAsia" w:ascii="宋体" w:hAnsi="宋体" w:eastAsia="宋体" w:cs="宋体"/>
          <w:color w:val="auto"/>
          <w:spacing w:val="0"/>
          <w:highlight w:val="none"/>
          <w:lang w:val="en-US"/>
        </w:rPr>
        <w:t xml:space="preserve">  </w:t>
      </w:r>
    </w:p>
    <w:p>
      <w:pPr>
        <w:pStyle w:val="25"/>
        <w:keepNext w:val="0"/>
        <w:keepLines w:val="0"/>
        <w:pageBreakBefore w:val="0"/>
        <w:widowControl/>
        <w:suppressLineNumbers w:val="0"/>
        <w:spacing w:line="360" w:lineRule="auto"/>
        <w:ind w:left="0" w:firstLine="630"/>
        <w:rPr>
          <w:rFonts w:hint="eastAsia" w:ascii="宋体" w:hAnsi="宋体"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3</w:t>
      </w:r>
      <w:r>
        <w:rPr>
          <w:rFonts w:hint="eastAsia" w:ascii="宋体" w:hAnsi="宋体" w:eastAsia="宋体" w:cs="宋体"/>
          <w:color w:val="auto"/>
          <w:spacing w:val="0"/>
          <w:highlight w:val="none"/>
          <w:lang w:eastAsia="zh-CN"/>
        </w:rPr>
        <w:t>）中标通知书（如果有）；</w:t>
      </w:r>
      <w:r>
        <w:rPr>
          <w:rFonts w:hint="eastAsia" w:ascii="宋体" w:hAnsi="宋体" w:eastAsia="宋体" w:cs="宋体"/>
          <w:color w:val="auto"/>
          <w:spacing w:val="0"/>
          <w:highlight w:val="none"/>
          <w:lang w:val="en-US"/>
        </w:rPr>
        <w:t xml:space="preserve">  </w:t>
      </w:r>
    </w:p>
    <w:p>
      <w:pPr>
        <w:pStyle w:val="25"/>
        <w:keepNext w:val="0"/>
        <w:keepLines w:val="0"/>
        <w:pageBreakBefore w:val="0"/>
        <w:widowControl/>
        <w:suppressLineNumbers w:val="0"/>
        <w:spacing w:line="360" w:lineRule="auto"/>
        <w:ind w:left="0" w:firstLine="630"/>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4</w:t>
      </w:r>
      <w:r>
        <w:rPr>
          <w:rFonts w:hint="eastAsia" w:ascii="宋体" w:hAnsi="宋体" w:eastAsia="宋体" w:cs="宋体"/>
          <w:color w:val="auto"/>
          <w:spacing w:val="0"/>
          <w:highlight w:val="none"/>
          <w:lang w:eastAsia="zh-CN"/>
        </w:rPr>
        <w:t>）投标函及其附录（如果有）</w:t>
      </w:r>
    </w:p>
    <w:p>
      <w:pPr>
        <w:pStyle w:val="25"/>
        <w:keepNext w:val="0"/>
        <w:keepLines w:val="0"/>
        <w:pageBreakBefore w:val="0"/>
        <w:widowControl/>
        <w:suppressLineNumbers w:val="0"/>
        <w:spacing w:line="360" w:lineRule="auto"/>
        <w:ind w:left="0" w:firstLine="630"/>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5</w:t>
      </w:r>
      <w:r>
        <w:rPr>
          <w:rFonts w:hint="eastAsia" w:ascii="宋体" w:hAnsi="宋体" w:eastAsia="宋体" w:cs="宋体"/>
          <w:color w:val="auto"/>
          <w:spacing w:val="0"/>
          <w:highlight w:val="none"/>
          <w:lang w:eastAsia="zh-CN"/>
        </w:rPr>
        <w:t>）技术标准和要求；</w:t>
      </w:r>
    </w:p>
    <w:p>
      <w:pPr>
        <w:pStyle w:val="25"/>
        <w:keepNext w:val="0"/>
        <w:keepLines w:val="0"/>
        <w:pageBreakBefore w:val="0"/>
        <w:widowControl/>
        <w:suppressLineNumbers w:val="0"/>
        <w:spacing w:line="360" w:lineRule="auto"/>
        <w:ind w:left="0" w:firstLine="630"/>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6</w:t>
      </w:r>
      <w:r>
        <w:rPr>
          <w:rFonts w:hint="eastAsia" w:ascii="宋体" w:hAnsi="宋体" w:eastAsia="宋体" w:cs="宋体"/>
          <w:color w:val="auto"/>
          <w:spacing w:val="0"/>
          <w:highlight w:val="none"/>
          <w:lang w:eastAsia="zh-CN"/>
        </w:rPr>
        <w:t>）图纸；</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7</w:t>
      </w:r>
      <w:r>
        <w:rPr>
          <w:rFonts w:hint="eastAsia" w:ascii="宋体" w:hAnsi="宋体" w:eastAsia="宋体" w:cs="宋体"/>
          <w:color w:val="auto"/>
          <w:spacing w:val="0"/>
          <w:highlight w:val="none"/>
          <w:lang w:eastAsia="zh-CN"/>
        </w:rPr>
        <w:t>）已标价工程量清单或预算书；</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rPr>
        <w:t>8</w:t>
      </w:r>
      <w:r>
        <w:rPr>
          <w:rFonts w:hint="eastAsia" w:ascii="宋体" w:hAnsi="宋体" w:eastAsia="宋体" w:cs="宋体"/>
          <w:color w:val="auto"/>
          <w:spacing w:val="0"/>
          <w:highlight w:val="none"/>
          <w:lang w:eastAsia="zh-CN"/>
        </w:rPr>
        <w:t>）其他合同文件。</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在合同订立及履行过程中形成的与合同有关的文件均构成合同文件组成部分。</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cs="宋体"/>
          <w:color w:val="auto"/>
          <w:spacing w:val="0"/>
          <w:highlight w:val="none"/>
          <w:lang w:val="en-US" w:eastAsia="zh-CN"/>
        </w:rPr>
        <w:t>七</w:t>
      </w:r>
      <w:r>
        <w:rPr>
          <w:rFonts w:hint="eastAsia" w:ascii="宋体" w:hAnsi="宋体" w:eastAsia="宋体" w:cs="宋体"/>
          <w:color w:val="auto"/>
          <w:spacing w:val="0"/>
          <w:highlight w:val="none"/>
          <w:lang w:eastAsia="zh-CN"/>
        </w:rPr>
        <w:t>、承诺</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1.</w:t>
      </w:r>
      <w:r>
        <w:rPr>
          <w:rFonts w:hint="eastAsia" w:ascii="宋体" w:hAnsi="宋体" w:eastAsia="宋体" w:cs="宋体"/>
          <w:color w:val="auto"/>
          <w:spacing w:val="0"/>
          <w:highlight w:val="none"/>
          <w:lang w:eastAsia="zh-CN"/>
        </w:rPr>
        <w:t>发包人承诺按照法律规定履行项目审批手续、筹集工程建设资金并按照合同约定的期限和方式支付合同价款。</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2.</w:t>
      </w:r>
      <w:r>
        <w:rPr>
          <w:rFonts w:hint="eastAsia" w:ascii="宋体" w:hAnsi="宋体" w:eastAsia="宋体" w:cs="宋体"/>
          <w:color w:val="auto"/>
          <w:spacing w:val="0"/>
          <w:highlight w:val="none"/>
          <w:lang w:eastAsia="zh-CN"/>
        </w:rPr>
        <w:t>承包人承诺按照法律规定及合同约定组织完成工程施工，确保工程质量和安全，不进行转包及违法分包，并在缺陷责任期及保修期内承担相应的工程维修责任。</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val="en-US"/>
        </w:rPr>
        <w:t>3.</w:t>
      </w:r>
      <w:r>
        <w:rPr>
          <w:rFonts w:hint="eastAsia" w:ascii="宋体" w:hAnsi="宋体" w:eastAsia="宋体" w:cs="宋体"/>
          <w:color w:val="auto"/>
          <w:spacing w:val="0"/>
          <w:highlight w:val="none"/>
          <w:lang w:eastAsia="zh-CN"/>
        </w:rPr>
        <w:t>发包人和承包人通过招投标形式签订合同的，双方理解并承诺不再就同一工程另行签订与合同实质性内容相背离的协议。</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cs="宋体"/>
          <w:color w:val="auto"/>
          <w:spacing w:val="0"/>
          <w:highlight w:val="none"/>
          <w:lang w:val="en-US" w:eastAsia="zh-CN"/>
        </w:rPr>
        <w:t>八</w:t>
      </w:r>
      <w:r>
        <w:rPr>
          <w:rFonts w:hint="eastAsia" w:ascii="宋体" w:hAnsi="宋体" w:eastAsia="宋体" w:cs="宋体"/>
          <w:color w:val="auto"/>
          <w:spacing w:val="0"/>
          <w:highlight w:val="none"/>
          <w:lang w:eastAsia="zh-CN"/>
        </w:rPr>
        <w:t>、词语含义</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本协议书中词语含义与第二部分通用合同条款中赋予的含义相同。</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cs="宋体"/>
          <w:color w:val="auto"/>
          <w:spacing w:val="0"/>
          <w:highlight w:val="none"/>
          <w:lang w:val="en-US" w:eastAsia="zh-CN"/>
        </w:rPr>
        <w:t>九</w:t>
      </w:r>
      <w:r>
        <w:rPr>
          <w:rFonts w:hint="eastAsia" w:ascii="宋体" w:hAnsi="宋体" w:eastAsia="宋体" w:cs="宋体"/>
          <w:color w:val="auto"/>
          <w:spacing w:val="0"/>
          <w:highlight w:val="none"/>
          <w:lang w:eastAsia="zh-CN"/>
        </w:rPr>
        <w:t>、签订时间</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本合同于</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年</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月</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lang w:eastAsia="zh-CN"/>
        </w:rPr>
        <w:t>日签订。</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十、签订地点</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本合同在</w:t>
      </w:r>
      <w:r>
        <w:rPr>
          <w:rFonts w:hint="eastAsia" w:ascii="宋体" w:hAnsi="宋体" w:cs="宋体"/>
          <w:color w:val="auto"/>
          <w:spacing w:val="0"/>
          <w:highlight w:val="none"/>
          <w:u w:val="single"/>
          <w:lang w:eastAsia="zh-CN"/>
        </w:rPr>
        <w:t>江苏省南通女子监狱</w:t>
      </w:r>
      <w:r>
        <w:rPr>
          <w:rFonts w:hint="eastAsia" w:ascii="宋体" w:hAnsi="宋体" w:eastAsia="宋体" w:cs="宋体"/>
          <w:color w:val="auto"/>
          <w:spacing w:val="0"/>
          <w:highlight w:val="none"/>
          <w:lang w:eastAsia="zh-CN"/>
        </w:rPr>
        <w:t>签订。</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十</w:t>
      </w:r>
      <w:r>
        <w:rPr>
          <w:rFonts w:hint="eastAsia" w:ascii="宋体" w:hAnsi="宋体" w:cs="宋体"/>
          <w:color w:val="auto"/>
          <w:spacing w:val="0"/>
          <w:highlight w:val="none"/>
          <w:lang w:val="en-US" w:eastAsia="zh-CN"/>
        </w:rPr>
        <w:t>一</w:t>
      </w:r>
      <w:r>
        <w:rPr>
          <w:rFonts w:hint="eastAsia" w:ascii="宋体" w:hAnsi="宋体" w:eastAsia="宋体" w:cs="宋体"/>
          <w:color w:val="auto"/>
          <w:spacing w:val="0"/>
          <w:highlight w:val="none"/>
          <w:lang w:eastAsia="zh-CN"/>
        </w:rPr>
        <w:t>、补充协议</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合同未尽事宜，合同当事人另行签订补充协议，补充协议是合同的组成部分。</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十</w:t>
      </w:r>
      <w:r>
        <w:rPr>
          <w:rFonts w:hint="eastAsia" w:ascii="宋体" w:hAnsi="宋体" w:cs="宋体"/>
          <w:color w:val="auto"/>
          <w:spacing w:val="0"/>
          <w:highlight w:val="none"/>
          <w:lang w:val="en-US" w:eastAsia="zh-CN"/>
        </w:rPr>
        <w:t>二</w:t>
      </w:r>
      <w:r>
        <w:rPr>
          <w:rFonts w:hint="eastAsia" w:ascii="宋体" w:hAnsi="宋体" w:eastAsia="宋体" w:cs="宋体"/>
          <w:color w:val="auto"/>
          <w:spacing w:val="0"/>
          <w:highlight w:val="none"/>
          <w:lang w:eastAsia="zh-CN"/>
        </w:rPr>
        <w:t>、合同生效</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本合同自</w:t>
      </w:r>
      <w:r>
        <w:rPr>
          <w:rFonts w:hint="eastAsia" w:ascii="宋体" w:hAnsi="宋体" w:cs="宋体"/>
          <w:color w:val="auto"/>
          <w:spacing w:val="0"/>
          <w:highlight w:val="none"/>
          <w:lang w:eastAsia="zh-CN"/>
        </w:rPr>
        <w:t>缴纳履约保证金，</w:t>
      </w:r>
      <w:r>
        <w:rPr>
          <w:rFonts w:hint="eastAsia" w:ascii="宋体" w:hAnsi="宋体" w:eastAsia="宋体" w:cs="宋体"/>
          <w:color w:val="auto"/>
          <w:spacing w:val="0"/>
          <w:highlight w:val="none"/>
          <w:u w:val="single"/>
          <w:lang w:eastAsia="zh-CN"/>
        </w:rPr>
        <w:t>双方签字盖章后</w:t>
      </w:r>
      <w:r>
        <w:rPr>
          <w:rFonts w:hint="eastAsia" w:ascii="宋体" w:hAnsi="宋体" w:eastAsia="宋体" w:cs="宋体"/>
          <w:color w:val="auto"/>
          <w:spacing w:val="0"/>
          <w:highlight w:val="none"/>
          <w:lang w:eastAsia="zh-CN"/>
        </w:rPr>
        <w:t>生效。</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十</w:t>
      </w:r>
      <w:r>
        <w:rPr>
          <w:rFonts w:hint="eastAsia" w:ascii="宋体" w:hAnsi="宋体" w:cs="宋体"/>
          <w:color w:val="auto"/>
          <w:spacing w:val="0"/>
          <w:highlight w:val="none"/>
          <w:lang w:val="en-US" w:eastAsia="zh-CN"/>
        </w:rPr>
        <w:t>三</w:t>
      </w:r>
      <w:r>
        <w:rPr>
          <w:rFonts w:hint="eastAsia" w:ascii="宋体" w:hAnsi="宋体" w:eastAsia="宋体" w:cs="宋体"/>
          <w:color w:val="auto"/>
          <w:spacing w:val="0"/>
          <w:highlight w:val="none"/>
          <w:lang w:eastAsia="zh-CN"/>
        </w:rPr>
        <w:t>、合同份数</w:t>
      </w:r>
    </w:p>
    <w:p>
      <w:pPr>
        <w:pStyle w:val="25"/>
        <w:keepNext w:val="0"/>
        <w:keepLines w:val="0"/>
        <w:pageBreakBefore w:val="0"/>
        <w:widowControl/>
        <w:suppressLineNumbers w:val="0"/>
        <w:spacing w:before="0" w:beforeAutospacing="0" w:after="0" w:afterAutospacing="0" w:line="360" w:lineRule="auto"/>
        <w:ind w:left="249" w:right="36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lang w:eastAsia="zh-CN"/>
        </w:rPr>
        <w:t>本合同一式</w:t>
      </w:r>
      <w:r>
        <w:rPr>
          <w:rFonts w:hint="eastAsia" w:ascii="宋体" w:hAnsi="宋体" w:eastAsia="宋体" w:cs="宋体"/>
          <w:color w:val="auto"/>
          <w:spacing w:val="0"/>
          <w:highlight w:val="none"/>
          <w:u w:val="single"/>
          <w:lang w:eastAsia="zh-CN"/>
        </w:rPr>
        <w:t>拾</w:t>
      </w:r>
      <w:r>
        <w:rPr>
          <w:rFonts w:hint="eastAsia" w:ascii="宋体" w:hAnsi="宋体" w:eastAsia="宋体" w:cs="宋体"/>
          <w:color w:val="auto"/>
          <w:spacing w:val="0"/>
          <w:highlight w:val="none"/>
          <w:lang w:eastAsia="zh-CN"/>
        </w:rPr>
        <w:t>份，均具有同等法律效力，发包人执</w:t>
      </w:r>
      <w:r>
        <w:rPr>
          <w:rFonts w:hint="eastAsia" w:ascii="宋体" w:hAnsi="宋体" w:eastAsia="宋体" w:cs="宋体"/>
          <w:color w:val="auto"/>
          <w:spacing w:val="0"/>
          <w:highlight w:val="none"/>
          <w:u w:val="single"/>
          <w:lang w:eastAsia="zh-CN"/>
        </w:rPr>
        <w:t>伍</w:t>
      </w:r>
      <w:r>
        <w:rPr>
          <w:rFonts w:hint="eastAsia" w:ascii="宋体" w:hAnsi="宋体" w:eastAsia="宋体" w:cs="宋体"/>
          <w:color w:val="auto"/>
          <w:spacing w:val="0"/>
          <w:highlight w:val="none"/>
          <w:lang w:eastAsia="zh-CN"/>
        </w:rPr>
        <w:t>份，承包人执</w:t>
      </w:r>
      <w:r>
        <w:rPr>
          <w:rFonts w:hint="eastAsia" w:ascii="宋体" w:hAnsi="宋体" w:eastAsia="宋体" w:cs="宋体"/>
          <w:color w:val="auto"/>
          <w:spacing w:val="0"/>
          <w:highlight w:val="none"/>
          <w:u w:val="single"/>
          <w:lang w:eastAsia="zh-CN"/>
        </w:rPr>
        <w:t>伍</w:t>
      </w:r>
      <w:r>
        <w:rPr>
          <w:rFonts w:hint="eastAsia" w:ascii="宋体" w:hAnsi="宋体" w:eastAsia="宋体" w:cs="宋体"/>
          <w:color w:val="auto"/>
          <w:spacing w:val="0"/>
          <w:highlight w:val="none"/>
          <w:lang w:eastAsia="zh-CN"/>
        </w:rPr>
        <w:t>份。</w:t>
      </w:r>
    </w:p>
    <w:p>
      <w:pPr>
        <w:pStyle w:val="25"/>
        <w:keepNext w:val="0"/>
        <w:keepLines w:val="0"/>
        <w:widowControl/>
        <w:suppressLineNumbers w:val="0"/>
        <w:spacing w:before="0" w:beforeAutospacing="0" w:after="0" w:afterAutospacing="0" w:line="360" w:lineRule="auto"/>
        <w:ind w:left="249" w:right="360" w:firstLine="420"/>
        <w:jc w:val="left"/>
        <w:rPr>
          <w:rFonts w:hint="eastAsia" w:ascii="宋体" w:hAnsi="宋体" w:eastAsia="宋体" w:cs="宋体"/>
          <w:color w:val="auto"/>
          <w:spacing w:val="0"/>
          <w:highlight w:val="none"/>
          <w:lang w:val="en-US" w:eastAsia="zh-CN"/>
        </w:rPr>
      </w:pPr>
    </w:p>
    <w:tbl>
      <w:tblPr>
        <w:tblStyle w:val="14"/>
        <w:tblW w:w="8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2"/>
        <w:gridCol w:w="4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发包人：（公章）</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承包人：（公章）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法定代表人或其委托代理人：</w:t>
            </w:r>
          </w:p>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（签字）</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法定代表人或其委托代理人：</w:t>
            </w:r>
          </w:p>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组织机构代码：</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组织机构代码：</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地</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址：</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地</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址：</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邮政编码：</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邮政编码：</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法定代表人：</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法定代表人：</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委托代表人：</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委托代表人：</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电</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话：</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电</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话：</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传</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真：</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传</w:t>
            </w:r>
            <w:r>
              <w:rPr>
                <w:rFonts w:hint="eastAsia" w:ascii="宋体" w:hAnsi="宋体" w:eastAsia="宋体" w:cs="宋体"/>
                <w:color w:val="auto"/>
                <w:spacing w:val="0"/>
                <w:highlight w:val="none"/>
                <w:lang w:val="en-US"/>
              </w:rPr>
              <w:t xml:space="preserve">  </w:t>
            </w:r>
            <w:r>
              <w:rPr>
                <w:rFonts w:hint="eastAsia" w:ascii="宋体" w:hAnsi="宋体" w:eastAsia="宋体" w:cs="宋体"/>
                <w:color w:val="auto"/>
                <w:spacing w:val="0"/>
                <w:highlight w:val="none"/>
              </w:rPr>
              <w:t>真：</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电子信箱：</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电子信箱：</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开户银行：</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开户银行：</w:t>
            </w:r>
            <w:r>
              <w:rPr>
                <w:rFonts w:hint="eastAsia" w:ascii="宋体" w:hAnsi="宋体" w:eastAsia="宋体" w:cs="宋体"/>
                <w:color w:val="auto"/>
                <w:spacing w:val="0"/>
                <w:highlight w:val="none"/>
                <w:u w:val="single"/>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4192" w:type="dxa"/>
            <w:shd w:val="clear" w:color="auto" w:fill="auto"/>
            <w:noWrap w:val="0"/>
            <w:vAlign w:val="top"/>
          </w:tcPr>
          <w:p>
            <w:pPr>
              <w:pStyle w:val="25"/>
              <w:keepNext w:val="0"/>
              <w:keepLines w:val="0"/>
              <w:widowControl/>
              <w:suppressLineNumbers w:val="0"/>
              <w:spacing w:line="360" w:lineRule="auto"/>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账号：</w:t>
            </w:r>
            <w:r>
              <w:rPr>
                <w:rFonts w:hint="eastAsia" w:ascii="宋体" w:hAnsi="宋体" w:eastAsia="宋体" w:cs="宋体"/>
                <w:color w:val="auto"/>
                <w:spacing w:val="0"/>
                <w:highlight w:val="none"/>
                <w:u w:val="single"/>
                <w:lang w:val="en-US"/>
              </w:rPr>
              <w:t xml:space="preserve">                </w:t>
            </w:r>
          </w:p>
        </w:tc>
        <w:tc>
          <w:tcPr>
            <w:tcW w:w="4647" w:type="dxa"/>
            <w:shd w:val="clear" w:color="auto" w:fill="auto"/>
            <w:noWrap w:val="0"/>
            <w:vAlign w:val="top"/>
          </w:tcPr>
          <w:p>
            <w:pPr>
              <w:pStyle w:val="25"/>
              <w:keepNext w:val="0"/>
              <w:keepLines w:val="0"/>
              <w:widowControl/>
              <w:suppressLineNumbers w:val="0"/>
              <w:spacing w:line="360" w:lineRule="auto"/>
              <w:ind w:left="0" w:firstLine="420"/>
              <w:jc w:val="left"/>
              <w:rPr>
                <w:rFonts w:hint="eastAsia" w:ascii="宋体" w:hAnsi="Calibri" w:eastAsia="宋体" w:cs="宋体"/>
                <w:color w:val="auto"/>
                <w:spacing w:val="0"/>
                <w:highlight w:val="none"/>
                <w:lang w:val="en-US"/>
              </w:rPr>
            </w:pPr>
            <w:r>
              <w:rPr>
                <w:rFonts w:hint="eastAsia" w:ascii="宋体" w:hAnsi="宋体" w:eastAsia="宋体" w:cs="宋体"/>
                <w:color w:val="auto"/>
                <w:spacing w:val="0"/>
                <w:highlight w:val="none"/>
              </w:rPr>
              <w:t>账号：</w:t>
            </w:r>
            <w:r>
              <w:rPr>
                <w:rFonts w:hint="eastAsia" w:ascii="宋体" w:hAnsi="宋体" w:eastAsia="宋体" w:cs="宋体"/>
                <w:color w:val="auto"/>
                <w:spacing w:val="0"/>
                <w:highlight w:val="none"/>
                <w:u w:val="single"/>
                <w:lang w:val="en-US"/>
              </w:rPr>
              <w:t xml:space="preserve">                 </w:t>
            </w:r>
          </w:p>
        </w:tc>
      </w:tr>
    </w:tbl>
    <w:p>
      <w:pPr>
        <w:keepNext w:val="0"/>
        <w:keepLines w:val="0"/>
        <w:widowControl/>
        <w:suppressLineNumbers w:val="0"/>
        <w:spacing w:before="0" w:beforeAutospacing="0" w:after="0" w:afterAutospacing="0" w:line="360" w:lineRule="auto"/>
        <w:ind w:left="0" w:right="0"/>
        <w:jc w:val="center"/>
        <w:outlineLvl w:val="1"/>
        <w:rPr>
          <w:rFonts w:hint="eastAsia" w:ascii="宋体" w:hAnsi="Times New Roman" w:eastAsia="宋体" w:cs="宋体"/>
          <w:b/>
          <w:bCs w:val="0"/>
          <w:color w:val="auto"/>
          <w:spacing w:val="0"/>
          <w:sz w:val="28"/>
          <w:szCs w:val="28"/>
          <w:highlight w:val="none"/>
          <w:lang w:val="en-US" w:eastAsia="zh-CN" w:bidi="ar"/>
        </w:rPr>
      </w:pPr>
      <w:r>
        <w:rPr>
          <w:rFonts w:hint="eastAsia" w:ascii="宋体" w:hAnsi="Times New Roman" w:eastAsia="宋体" w:cs="宋体"/>
          <w:color w:val="auto"/>
          <w:spacing w:val="0"/>
          <w:sz w:val="28"/>
          <w:szCs w:val="28"/>
          <w:highlight w:val="none"/>
          <w:lang w:val="en-US" w:eastAsia="zh-CN" w:bidi="ar"/>
        </w:rPr>
        <w:br w:type="page" w:clear="all"/>
      </w:r>
      <w:bookmarkStart w:id="6" w:name="_Toc21428"/>
      <w:bookmarkEnd w:id="6"/>
      <w:bookmarkStart w:id="7" w:name="_Toc20524"/>
      <w:bookmarkEnd w:id="7"/>
      <w:bookmarkStart w:id="8" w:name="_Toc7491"/>
      <w:bookmarkEnd w:id="8"/>
      <w:bookmarkStart w:id="9" w:name="_Toc690763"/>
      <w:bookmarkEnd w:id="9"/>
      <w:bookmarkStart w:id="10" w:name="_Toc4111"/>
      <w:bookmarkEnd w:id="10"/>
      <w:bookmarkStart w:id="11" w:name="_Toc10596"/>
      <w:r>
        <w:rPr>
          <w:rFonts w:hint="eastAsia" w:ascii="宋体" w:hAnsi="宋体" w:eastAsia="宋体" w:cs="宋体"/>
          <w:b/>
          <w:bCs w:val="0"/>
          <w:color w:val="auto"/>
          <w:spacing w:val="0"/>
          <w:sz w:val="28"/>
          <w:szCs w:val="28"/>
          <w:highlight w:val="none"/>
          <w:lang w:val="en-US" w:eastAsia="zh-CN" w:bidi="ar"/>
        </w:rPr>
        <w:t>第二部分</w:t>
      </w:r>
      <w:bookmarkEnd w:id="11"/>
      <w:r>
        <w:rPr>
          <w:rFonts w:hint="eastAsia" w:ascii="宋体" w:hAnsi="宋体" w:eastAsia="宋体" w:cs="宋体"/>
          <w:b/>
          <w:bCs w:val="0"/>
          <w:color w:val="auto"/>
          <w:spacing w:val="0"/>
          <w:sz w:val="28"/>
          <w:szCs w:val="28"/>
          <w:highlight w:val="none"/>
          <w:lang w:val="en-US" w:eastAsia="zh-CN" w:bidi="ar"/>
        </w:rPr>
        <w:t xml:space="preserve"> 通用合同条款</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bookmarkStart w:id="12" w:name="_Toc19347"/>
      <w:bookmarkEnd w:id="12"/>
      <w:r>
        <w:rPr>
          <w:rFonts w:hint="eastAsia" w:ascii="宋体" w:hAnsi="宋体" w:eastAsia="宋体" w:cs="宋体"/>
          <w:b/>
          <w:bCs w:val="0"/>
          <w:color w:val="auto"/>
          <w:spacing w:val="0"/>
          <w:sz w:val="21"/>
          <w:szCs w:val="24"/>
          <w:highlight w:val="none"/>
          <w:lang w:val="en-US" w:eastAsia="zh-CN" w:bidi="ar"/>
        </w:rPr>
        <w:t xml:space="preserve"> </w:t>
      </w:r>
    </w:p>
    <w:p>
      <w:pPr>
        <w:keepNext w:val="0"/>
        <w:keepLines w:val="0"/>
        <w:widowControl/>
        <w:suppressLineNumbers w:val="0"/>
        <w:spacing w:before="0" w:beforeAutospacing="0" w:after="0" w:afterAutospacing="0"/>
        <w:ind w:left="0" w:right="0"/>
        <w:jc w:val="left"/>
        <w:rPr>
          <w:rFonts w:asciiTheme="minorHAnsi" w:hAnsiTheme="minorHAnsi" w:eastAsiaTheme="minorEastAsia" w:cstheme="minorBidi"/>
          <w:color w:val="auto"/>
          <w:spacing w:val="0"/>
          <w:szCs w:val="24"/>
          <w:highlight w:val="none"/>
          <w:lang w:val="en-US"/>
        </w:rPr>
      </w:pPr>
      <w:r>
        <w:rPr>
          <w:rFonts w:hint="eastAsia" w:ascii="宋体" w:hAnsi="宋体" w:eastAsia="宋体" w:cs="宋体"/>
          <w:b/>
          <w:bCs w:val="0"/>
          <w:color w:val="auto"/>
          <w:spacing w:val="0"/>
          <w:sz w:val="20"/>
          <w:szCs w:val="20"/>
          <w:highlight w:val="none"/>
          <w:lang w:val="en-US" w:eastAsia="zh-CN" w:bidi="ar"/>
        </w:rPr>
        <w:t>采用《建设工程施工合同（示范文本）》（GF—2017—0201）。</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r>
        <w:rPr>
          <w:rFonts w:hint="eastAsia" w:ascii="宋体" w:hAnsi="宋体" w:eastAsia="宋体" w:cs="宋体"/>
          <w:b/>
          <w:bCs w:val="0"/>
          <w:color w:val="auto"/>
          <w:spacing w:val="0"/>
          <w:sz w:val="21"/>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r>
        <w:rPr>
          <w:rFonts w:hint="eastAsia" w:ascii="宋体" w:hAnsi="宋体" w:eastAsia="宋体" w:cs="宋体"/>
          <w:b/>
          <w:bCs w:val="0"/>
          <w:color w:val="auto"/>
          <w:spacing w:val="0"/>
          <w:sz w:val="21"/>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r>
        <w:rPr>
          <w:rFonts w:hint="eastAsia" w:ascii="宋体" w:hAnsi="宋体" w:eastAsia="宋体" w:cs="宋体"/>
          <w:b/>
          <w:bCs w:val="0"/>
          <w:color w:val="auto"/>
          <w:spacing w:val="0"/>
          <w:sz w:val="21"/>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r>
        <w:rPr>
          <w:rFonts w:hint="eastAsia" w:ascii="宋体" w:hAnsi="宋体" w:eastAsia="宋体" w:cs="宋体"/>
          <w:b/>
          <w:bCs w:val="0"/>
          <w:color w:val="auto"/>
          <w:spacing w:val="0"/>
          <w:sz w:val="21"/>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spacing w:val="0"/>
          <w:sz w:val="21"/>
          <w:szCs w:val="24"/>
          <w:highlight w:val="none"/>
          <w:lang w:val="en-US" w:eastAsia="zh-CN" w:bidi="ar"/>
        </w:rPr>
      </w:pPr>
      <w:r>
        <w:rPr>
          <w:rFonts w:hint="eastAsia" w:ascii="宋体" w:hAnsi="宋体" w:eastAsia="宋体" w:cs="宋体"/>
          <w:b/>
          <w:bCs w:val="0"/>
          <w:color w:val="auto"/>
          <w:spacing w:val="0"/>
          <w:sz w:val="21"/>
          <w:szCs w:val="24"/>
          <w:highlight w:val="none"/>
          <w:lang w:val="en-US" w:eastAsia="zh-CN" w:bidi="ar"/>
        </w:rPr>
        <w:t xml:space="preserve"> </w:t>
      </w:r>
    </w:p>
    <w:p>
      <w:pPr>
        <w:spacing w:line="360" w:lineRule="auto"/>
        <w:rPr>
          <w:rFonts w:hint="eastAsia" w:ascii="宋体" w:hAnsi="Arial" w:eastAsia="宋体" w:cs="宋体"/>
          <w:b/>
          <w:bCs/>
          <w:color w:val="auto"/>
          <w:spacing w:val="0"/>
          <w:sz w:val="28"/>
          <w:szCs w:val="28"/>
          <w:highlight w:val="none"/>
          <w:lang w:val="en-US" w:eastAsia="zh-CN" w:bidi="ar"/>
        </w:rPr>
        <w:sectPr>
          <w:footerReference r:id="rId3" w:type="default"/>
          <w:pgSz w:w="11906" w:h="16838"/>
          <w:pgMar w:top="1361" w:right="1531" w:bottom="1361" w:left="1531" w:header="851" w:footer="992" w:gutter="0"/>
          <w:pgBorders>
            <w:top w:val="none" w:sz="0" w:space="0"/>
            <w:left w:val="none" w:sz="0" w:space="0"/>
            <w:bottom w:val="none" w:sz="0" w:space="0"/>
            <w:right w:val="none" w:sz="0" w:space="0"/>
          </w:pgBorders>
          <w:cols w:space="425" w:num="1"/>
          <w:docGrid w:linePitch="360" w:charSpace="0"/>
        </w:sectPr>
      </w:pPr>
    </w:p>
    <w:p>
      <w:pPr>
        <w:pStyle w:val="23"/>
        <w:keepNext w:val="0"/>
        <w:keepLines/>
        <w:pageBreakBefore w:val="0"/>
        <w:widowControl/>
        <w:suppressLineNumbers w:val="0"/>
        <w:spacing w:beforeAutospacing="0" w:after="0" w:afterAutospacing="0" w:line="360" w:lineRule="auto"/>
        <w:ind w:left="0" w:right="0"/>
        <w:rPr>
          <w:rFonts w:hint="eastAsia" w:ascii="宋体" w:hAnsi="Arial" w:eastAsia="宋体" w:cs="宋体"/>
          <w:color w:val="auto"/>
          <w:spacing w:val="0"/>
          <w:highlight w:val="none"/>
          <w:lang w:val="en-US"/>
        </w:rPr>
      </w:pPr>
      <w:bookmarkStart w:id="13" w:name="_Toc690764"/>
      <w:bookmarkEnd w:id="13"/>
      <w:bookmarkStart w:id="14" w:name="_Toc1021"/>
      <w:bookmarkEnd w:id="14"/>
      <w:bookmarkStart w:id="15" w:name="_Toc13710"/>
      <w:bookmarkEnd w:id="15"/>
      <w:bookmarkStart w:id="16" w:name="_Toc19197"/>
      <w:bookmarkEnd w:id="16"/>
      <w:bookmarkStart w:id="17" w:name="_Toc5865"/>
      <w:bookmarkEnd w:id="17"/>
      <w:bookmarkStart w:id="18" w:name="_Toc3057"/>
      <w:bookmarkEnd w:id="18"/>
      <w:bookmarkStart w:id="19" w:name="_Toc7862"/>
      <w:r>
        <w:rPr>
          <w:rFonts w:hint="eastAsia" w:ascii="宋体" w:hAnsi="宋体" w:eastAsia="宋体" w:cs="宋体"/>
          <w:color w:val="auto"/>
          <w:spacing w:val="0"/>
          <w:highlight w:val="none"/>
          <w:lang w:eastAsia="zh-CN"/>
        </w:rPr>
        <w:t>第三部分</w:t>
      </w:r>
      <w:bookmarkEnd w:id="19"/>
      <w:r>
        <w:rPr>
          <w:rFonts w:hint="eastAsia" w:ascii="宋体" w:hAnsi="宋体" w:eastAsia="宋体" w:cs="宋体"/>
          <w:color w:val="auto"/>
          <w:spacing w:val="0"/>
          <w:highlight w:val="none"/>
          <w:lang w:eastAsia="zh-CN"/>
        </w:rPr>
        <w:t xml:space="preserve"> 专用合同条款</w:t>
      </w:r>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bookmarkStart w:id="20" w:name="_Toc24621"/>
      <w:bookmarkEnd w:id="20"/>
      <w:bookmarkStart w:id="21" w:name="_Toc351203633"/>
      <w:bookmarkEnd w:id="21"/>
      <w:bookmarkStart w:id="22" w:name="_Toc14101"/>
      <w:bookmarkStart w:id="23" w:name="_Toc24252"/>
      <w:r>
        <w:rPr>
          <w:rFonts w:hint="default" w:ascii="Times New Roman" w:hAnsi="Times New Roman" w:eastAsia="宋体" w:cs="宋体"/>
          <w:color w:val="auto"/>
          <w:spacing w:val="0"/>
          <w:sz w:val="21"/>
          <w:szCs w:val="21"/>
          <w:highlight w:val="none"/>
          <w:lang w:val="en-US" w:eastAsia="zh-CN" w:bidi="ar"/>
        </w:rPr>
        <w:t>1</w:t>
      </w:r>
      <w:bookmarkStart w:id="24" w:name="_Toc296347155"/>
      <w:bookmarkStart w:id="25" w:name="_Toc297048342"/>
      <w:bookmarkStart w:id="26" w:name="_Toc297120456"/>
      <w:bookmarkStart w:id="27" w:name="_Toc292559361"/>
      <w:bookmarkStart w:id="28" w:name="_Toc296891196"/>
      <w:bookmarkStart w:id="29" w:name="_Toc296503156"/>
      <w:bookmarkStart w:id="30" w:name="_Toc296346657"/>
      <w:bookmarkStart w:id="31" w:name="_Toc296890984"/>
      <w:bookmarkStart w:id="32" w:name="_Toc296944495"/>
      <w:bookmarkStart w:id="33" w:name="_Toc292559866"/>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一般约定</w:t>
      </w:r>
      <w:bookmarkEnd w:id="24"/>
      <w:bookmarkEnd w:id="25"/>
      <w:bookmarkEnd w:id="26"/>
      <w:bookmarkEnd w:id="27"/>
      <w:bookmarkEnd w:id="28"/>
      <w:bookmarkEnd w:id="29"/>
      <w:bookmarkEnd w:id="30"/>
      <w:bookmarkEnd w:id="31"/>
      <w:bookmarkEnd w:id="32"/>
      <w:bookmarkEnd w:id="33"/>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 词语定义</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1.1.1合同</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1.1.1.10其他合同文件包括：</w:t>
      </w:r>
      <w:r>
        <w:rPr>
          <w:rFonts w:hint="eastAsia" w:ascii="宋体" w:hAnsi="宋体" w:eastAsia="宋体" w:cs="宋体"/>
          <w:bCs/>
          <w:color w:val="auto"/>
          <w:spacing w:val="0"/>
          <w:sz w:val="21"/>
          <w:szCs w:val="21"/>
          <w:highlight w:val="none"/>
          <w:u w:val="single"/>
          <w:lang w:val="en-US" w:eastAsia="zh-CN" w:bidi="ar"/>
        </w:rPr>
        <w:t>1.发包人与承包人约定的与工程施工有关的具有合同约束力的文件或补充协议；2.采购文件及采购文件修改澄清（含答疑）</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1.1.2 合同当事人及其他相关方</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1.1.2.4监理人：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名    称：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资质类别和等级：；</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联系电话：；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电子信箱：；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通信地址：。</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1.1.2.5 设计人：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名    称：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资质类别和等级：；</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联系电话：；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电子信箱：；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通信地址：。</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1.1.3 工程和设备</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1.1.3.7 作为施工现场组成部分的其他场所包括：</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1.1.3.9 永久占地包括：</w:t>
      </w:r>
      <w:r>
        <w:rPr>
          <w:rFonts w:hint="eastAsia" w:ascii="宋体" w:hAnsi="宋体" w:eastAsia="宋体" w:cs="宋体"/>
          <w:bCs/>
          <w:color w:val="auto"/>
          <w:spacing w:val="0"/>
          <w:sz w:val="21"/>
          <w:szCs w:val="21"/>
          <w:highlight w:val="none"/>
          <w:u w:val="single"/>
          <w:lang w:val="en-US" w:eastAsia="zh-CN" w:bidi="ar"/>
        </w:rPr>
        <w:t>依据设计图纸确定</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1.1.3.10 临时占地包括：</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1.3法律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适用于合同的其他规范性文件：</w:t>
      </w:r>
      <w:r>
        <w:rPr>
          <w:rFonts w:hint="eastAsia" w:ascii="宋体" w:hAnsi="宋体" w:eastAsia="宋体" w:cs="宋体"/>
          <w:bCs/>
          <w:color w:val="auto"/>
          <w:spacing w:val="0"/>
          <w:sz w:val="21"/>
          <w:szCs w:val="21"/>
          <w:highlight w:val="none"/>
          <w:u w:val="single"/>
          <w:lang w:val="en-US" w:eastAsia="zh-CN" w:bidi="ar"/>
        </w:rPr>
        <w:t>《中华人民共和国建筑法》、《中华人民共和国民法典》、《中华人民共和国采购投标法》等与工程建设相关的法律法规及江苏省、镇江市有关工程建设类的规范性文件。</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 标准和规范</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1.4.1适用于工程的标准规范包括：</w:t>
      </w:r>
      <w:r>
        <w:rPr>
          <w:rFonts w:hint="eastAsia" w:ascii="宋体" w:hAnsi="宋体" w:eastAsia="宋体" w:cs="宋体"/>
          <w:bCs/>
          <w:color w:val="auto"/>
          <w:spacing w:val="0"/>
          <w:sz w:val="21"/>
          <w:szCs w:val="21"/>
          <w:highlight w:val="none"/>
          <w:u w:val="single"/>
          <w:lang w:val="en-US" w:eastAsia="zh-CN" w:bidi="ar"/>
        </w:rPr>
        <w:t>现行国家、行业、专业及镇江市的有关标准、规范、规定和条例所阐明的强制性标准。当对同一考核指标国家、行业、专业和镇江市颁布的有关标准、规范产生不一致时，以其颁布的标准、规范较为严格者为准</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1.4.2 发包人提供国外标准、规范的名称：</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发包人提供国外标准、规范的份数：</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发包人提供国外标准、规范的名称：</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1.4.3发包人对工程的技术标准和功能要求的特殊要求：</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 合同文件的优先顺序</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合同文件组成及优先顺序为：</w:t>
      </w:r>
      <w:r>
        <w:rPr>
          <w:rFonts w:hint="eastAsia" w:ascii="宋体" w:hAnsi="宋体" w:eastAsia="宋体" w:cs="宋体"/>
          <w:bCs/>
          <w:color w:val="auto"/>
          <w:spacing w:val="0"/>
          <w:sz w:val="21"/>
          <w:szCs w:val="21"/>
          <w:highlight w:val="none"/>
          <w:u w:val="single"/>
          <w:lang w:val="en-US" w:eastAsia="zh-CN" w:bidi="ar"/>
        </w:rPr>
        <w:t>（1）本合同协议书；（2）中标通知书；（3）投标函；（4）本合同专用条款及其附件；（5）本合同通用条款；（6）技术标准和要求；（7）施工图纸；（8）双方洽商的有效的会议纪要、补充协议；（9）采购文件及采购文件修改澄清（含答疑）；（10）已标价工程量清单及投标文件；（11）其他合同文件</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 图纸和承包人文件</w:t>
      </w:r>
      <w:r>
        <w:rPr>
          <w:rFonts w:hint="eastAsia" w:ascii="宋体" w:hAnsi="Times New Roman" w:eastAsia="宋体" w:cs="宋体"/>
          <w:color w:val="auto"/>
          <w:spacing w:val="0"/>
          <w:sz w:val="21"/>
          <w:szCs w:val="21"/>
          <w:highlight w:val="none"/>
          <w:lang w:val="en-US" w:eastAsia="zh-CN" w:bidi="ar"/>
        </w:rPr>
        <w:tab/>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1.6.1 图纸的提供</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发包人向承包人提供图纸的期限：</w:t>
      </w:r>
      <w:r>
        <w:rPr>
          <w:rFonts w:hint="eastAsia" w:ascii="宋体" w:hAnsi="宋体" w:eastAsia="宋体" w:cs="宋体"/>
          <w:bCs/>
          <w:color w:val="auto"/>
          <w:spacing w:val="0"/>
          <w:sz w:val="21"/>
          <w:szCs w:val="21"/>
          <w:highlight w:val="none"/>
          <w:u w:val="single"/>
          <w:lang w:val="en-US" w:eastAsia="zh-CN" w:bidi="ar"/>
        </w:rPr>
        <w:t>开工之日14天前提供</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发包人向承包人提供图纸的数量：</w:t>
      </w:r>
      <w:r>
        <w:rPr>
          <w:rFonts w:hint="eastAsia" w:ascii="宋体" w:hAnsi="宋体" w:eastAsia="宋体" w:cs="宋体"/>
          <w:bCs/>
          <w:color w:val="auto"/>
          <w:spacing w:val="0"/>
          <w:sz w:val="21"/>
          <w:szCs w:val="21"/>
          <w:highlight w:val="none"/>
          <w:u w:val="single"/>
          <w:lang w:val="en-US" w:eastAsia="zh-CN" w:bidi="ar"/>
        </w:rPr>
        <w:t>施工图纸（蓝图）4套，电子版1套，其他有关资料1套</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发包人向承包人提供图纸的内容：</w:t>
      </w:r>
      <w:r>
        <w:rPr>
          <w:rFonts w:hint="eastAsia" w:ascii="宋体" w:hAnsi="宋体" w:eastAsia="宋体" w:cs="宋体"/>
          <w:bCs/>
          <w:color w:val="auto"/>
          <w:spacing w:val="0"/>
          <w:sz w:val="21"/>
          <w:szCs w:val="21"/>
          <w:highlight w:val="none"/>
          <w:u w:val="single"/>
          <w:lang w:val="en-US" w:eastAsia="zh-CN" w:bidi="ar"/>
        </w:rPr>
        <w:t>全套施工图纸</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1.6.2 承包人在收到发包人提供的图纸后，发现图纸存在差错、遗漏或缺陷的，须在10天内向监理人或者发包人提出，否则，视为发包人提供的图纸正确、完整。</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1.6.4 承包人文件</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需要由承包人提供的文件，包括：</w:t>
      </w:r>
      <w:r>
        <w:rPr>
          <w:rFonts w:hint="eastAsia" w:ascii="宋体" w:hAnsi="宋体" w:eastAsia="宋体" w:cs="宋体"/>
          <w:color w:val="auto"/>
          <w:spacing w:val="0"/>
          <w:sz w:val="21"/>
          <w:szCs w:val="21"/>
          <w:highlight w:val="none"/>
          <w:u w:val="single"/>
          <w:lang w:val="en-US" w:eastAsia="zh-CN" w:bidi="ar"/>
        </w:rPr>
        <w:t>施工组织和施工进度计划、专项施工方案、项目管理机构 名册、已完成工作量、拟完成的月工作量进度计划表、根据工程具体情况编制的加工图、大样图、协调配合图以及上级部门要求提供的其它文件等</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承包人提供的文件的期限为：</w:t>
      </w:r>
      <w:r>
        <w:rPr>
          <w:rFonts w:hint="eastAsia" w:ascii="宋体" w:hAnsi="宋体" w:eastAsia="宋体" w:cs="宋体"/>
          <w:color w:val="auto"/>
          <w:spacing w:val="0"/>
          <w:sz w:val="21"/>
          <w:szCs w:val="21"/>
          <w:highlight w:val="none"/>
          <w:u w:val="single"/>
          <w:lang w:val="en-US" w:eastAsia="zh-CN" w:bidi="ar"/>
        </w:rPr>
        <w:t>开工前提供施工组织和施工进度计划、项目管理机构名册；每月27日前向发包人提供上月26日至本月25日已完成工作量、计划对照表及本月26日至下月25日拟完成的月工作量进度计划表；专项工程实施14天前提供专项施工方案</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承包人提供的文件的数量为：</w:t>
      </w:r>
      <w:r>
        <w:rPr>
          <w:rFonts w:hint="eastAsia" w:ascii="宋体" w:hAnsi="宋体" w:eastAsia="宋体" w:cs="宋体"/>
          <w:bCs/>
          <w:color w:val="auto"/>
          <w:spacing w:val="0"/>
          <w:sz w:val="21"/>
          <w:szCs w:val="21"/>
          <w:highlight w:val="none"/>
          <w:u w:val="single"/>
          <w:lang w:val="en-US" w:eastAsia="zh-CN" w:bidi="ar"/>
        </w:rPr>
        <w:t>提交给监理一式3份，承包人留存1份</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承包人提供的文件的形式为：</w:t>
      </w:r>
      <w:r>
        <w:rPr>
          <w:rFonts w:hint="eastAsia" w:ascii="宋体" w:hAnsi="宋体" w:eastAsia="宋体" w:cs="宋体"/>
          <w:bCs/>
          <w:color w:val="auto"/>
          <w:spacing w:val="0"/>
          <w:sz w:val="21"/>
          <w:szCs w:val="21"/>
          <w:highlight w:val="none"/>
          <w:u w:val="single"/>
          <w:lang w:val="en-US" w:eastAsia="zh-CN" w:bidi="ar"/>
        </w:rPr>
        <w:t>书面形式</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发包人审批承包人文件的期限：</w:t>
      </w:r>
      <w:r>
        <w:rPr>
          <w:rFonts w:hint="eastAsia" w:ascii="宋体" w:hAnsi="宋体" w:eastAsia="宋体" w:cs="宋体"/>
          <w:bCs/>
          <w:color w:val="auto"/>
          <w:spacing w:val="0"/>
          <w:sz w:val="21"/>
          <w:szCs w:val="21"/>
          <w:highlight w:val="none"/>
          <w:u w:val="single"/>
          <w:lang w:val="en-US" w:eastAsia="zh-CN" w:bidi="ar"/>
        </w:rPr>
        <w:t>监理人收到文件后7天内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1.6.5 现场图纸准备</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关于现场图纸准备的约定：</w:t>
      </w:r>
      <w:r>
        <w:rPr>
          <w:rFonts w:hint="eastAsia" w:ascii="宋体" w:hAnsi="宋体" w:eastAsia="宋体" w:cs="宋体"/>
          <w:bCs/>
          <w:color w:val="auto"/>
          <w:spacing w:val="0"/>
          <w:sz w:val="21"/>
          <w:szCs w:val="21"/>
          <w:highlight w:val="none"/>
          <w:u w:val="single"/>
          <w:lang w:val="en-US" w:eastAsia="zh-CN" w:bidi="ar"/>
        </w:rPr>
        <w:t>承包人应在施工现场另外保存一套完整的图纸和承包人文件，供发包人、监理人及有关人员进行工程检查时使用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 联络</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1.7.1发包人和承包人应当在</w:t>
      </w:r>
      <w:r>
        <w:rPr>
          <w:rFonts w:hint="eastAsia" w:ascii="宋体" w:hAnsi="宋体" w:eastAsia="宋体" w:cs="宋体"/>
          <w:bCs/>
          <w:color w:val="auto"/>
          <w:spacing w:val="0"/>
          <w:sz w:val="21"/>
          <w:szCs w:val="21"/>
          <w:highlight w:val="none"/>
          <w:u w:val="single"/>
          <w:lang w:val="en-US" w:eastAsia="zh-CN" w:bidi="ar"/>
        </w:rPr>
        <w:t>7</w:t>
      </w:r>
      <w:r>
        <w:rPr>
          <w:rFonts w:hint="eastAsia" w:ascii="宋体" w:hAnsi="宋体" w:eastAsia="宋体" w:cs="宋体"/>
          <w:color w:val="auto"/>
          <w:spacing w:val="0"/>
          <w:sz w:val="21"/>
          <w:szCs w:val="21"/>
          <w:highlight w:val="none"/>
          <w:lang w:val="en-US" w:eastAsia="zh-CN" w:bidi="ar"/>
        </w:rPr>
        <w:t>天内将与合同有关的通知、批准、证明、证书、指示、指令、要求、请求、同意、意见、确定和决定等书面函件送达对方当事人。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1.7.2 发包人接收文件的地点：</w:t>
      </w:r>
      <w:r>
        <w:rPr>
          <w:rFonts w:hint="eastAsia" w:ascii="宋体" w:hAnsi="宋体" w:eastAsia="宋体" w:cs="宋体"/>
          <w:bCs/>
          <w:color w:val="auto"/>
          <w:spacing w:val="0"/>
          <w:sz w:val="21"/>
          <w:szCs w:val="21"/>
          <w:highlight w:val="none"/>
          <w:u w:val="single"/>
          <w:lang w:val="en-US" w:eastAsia="zh-CN" w:bidi="ar"/>
        </w:rPr>
        <w:t>项目所在地发包人项目部或发包人办公室</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发包人指定的接收人为：。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承包人接收文件的地点：</w:t>
      </w:r>
      <w:r>
        <w:rPr>
          <w:rFonts w:hint="eastAsia" w:ascii="宋体" w:hAnsi="宋体" w:eastAsia="宋体" w:cs="宋体"/>
          <w:bCs/>
          <w:color w:val="auto"/>
          <w:spacing w:val="0"/>
          <w:sz w:val="21"/>
          <w:szCs w:val="21"/>
          <w:highlight w:val="none"/>
          <w:u w:val="single"/>
          <w:lang w:val="en-US" w:eastAsia="zh-CN" w:bidi="ar"/>
        </w:rPr>
        <w:t>项目所在地发包人项目部或发包人办公室</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承包人指定的接收人为：。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监理人接收文件的地点：</w:t>
      </w:r>
      <w:r>
        <w:rPr>
          <w:rFonts w:hint="eastAsia" w:ascii="宋体" w:hAnsi="宋体" w:eastAsia="宋体" w:cs="宋体"/>
          <w:bCs/>
          <w:color w:val="auto"/>
          <w:spacing w:val="0"/>
          <w:sz w:val="21"/>
          <w:szCs w:val="21"/>
          <w:highlight w:val="none"/>
          <w:u w:val="single"/>
          <w:lang w:val="en-US" w:eastAsia="zh-CN" w:bidi="ar"/>
        </w:rPr>
        <w:t>项目所在地发包人项目部或项目所在地监理人办公室</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监理人指定的接收人为：。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1.10 交通运输</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Start w:id="34" w:name="_Toc318581155"/>
      <w:bookmarkStart w:id="35" w:name="_Toc300934943"/>
      <w:bookmarkStart w:id="36" w:name="_Toc304295521"/>
      <w:bookmarkStart w:id="37" w:name="_Toc303539100"/>
      <w:bookmarkStart w:id="38" w:name="_Toc312677986"/>
      <w:r>
        <w:rPr>
          <w:rFonts w:hint="eastAsia" w:ascii="宋体" w:hAnsi="宋体" w:eastAsia="宋体" w:cs="宋体"/>
          <w:color w:val="auto"/>
          <w:spacing w:val="0"/>
          <w:sz w:val="21"/>
          <w:szCs w:val="21"/>
          <w:highlight w:val="none"/>
          <w:lang w:val="en-US" w:eastAsia="zh-CN" w:bidi="ar"/>
        </w:rPr>
        <w:t>.10.1 出入现场的权利</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关于出入现场的权利的约定：施工人员及机械等进入施工现场必须经发包人同意并且办理相关手续后方可进入。</w:t>
      </w:r>
      <w:r>
        <w:rPr>
          <w:rFonts w:hint="eastAsia" w:ascii="宋体" w:hAnsi="宋体" w:eastAsia="宋体" w:cs="宋体"/>
          <w:bCs/>
          <w:color w:val="auto"/>
          <w:spacing w:val="0"/>
          <w:sz w:val="21"/>
          <w:szCs w:val="21"/>
          <w:highlight w:val="none"/>
          <w:u w:val="single"/>
          <w:lang w:val="en-US" w:eastAsia="zh-CN" w:bidi="ar"/>
        </w:rPr>
        <w:t>未经发包人同意不得将材料运出施工场地</w:t>
      </w:r>
      <w:r>
        <w:rPr>
          <w:rFonts w:hint="eastAsia" w:ascii="宋体" w:hAnsi="宋体" w:eastAsia="宋体" w:cs="宋体"/>
          <w:color w:val="auto"/>
          <w:spacing w:val="0"/>
          <w:sz w:val="21"/>
          <w:szCs w:val="21"/>
          <w:highlight w:val="none"/>
          <w:lang w:val="en-US" w:eastAsia="zh-CN" w:bidi="ar"/>
        </w:rPr>
        <w:t>。</w:t>
      </w:r>
      <w:bookmarkEnd w:id="34"/>
      <w:bookmarkEnd w:id="35"/>
      <w:bookmarkEnd w:id="36"/>
      <w:bookmarkEnd w:id="37"/>
      <w:bookmarkEnd w:id="38"/>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Start w:id="39" w:name="_Toc303539101"/>
      <w:bookmarkStart w:id="40" w:name="_Toc300934944"/>
      <w:bookmarkStart w:id="41" w:name="_Toc318581156"/>
      <w:bookmarkStart w:id="42" w:name="_Toc312677987"/>
      <w:bookmarkStart w:id="43" w:name="_Toc304295522"/>
      <w:r>
        <w:rPr>
          <w:rFonts w:hint="eastAsia" w:ascii="宋体" w:hAnsi="宋体" w:eastAsia="宋体" w:cs="宋体"/>
          <w:color w:val="auto"/>
          <w:spacing w:val="0"/>
          <w:sz w:val="21"/>
          <w:szCs w:val="21"/>
          <w:highlight w:val="none"/>
          <w:lang w:val="en-US" w:eastAsia="zh-CN" w:bidi="ar"/>
        </w:rPr>
        <w:t>.10.3 场内交通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关于场外交通和场内交通的边界的约定：</w:t>
      </w:r>
      <w:r>
        <w:rPr>
          <w:rFonts w:hint="eastAsia" w:ascii="宋体" w:hAnsi="宋体" w:eastAsia="宋体" w:cs="宋体"/>
          <w:bCs/>
          <w:color w:val="auto"/>
          <w:spacing w:val="0"/>
          <w:sz w:val="21"/>
          <w:szCs w:val="21"/>
          <w:highlight w:val="none"/>
          <w:u w:val="single"/>
          <w:lang w:val="en-US" w:eastAsia="zh-CN" w:bidi="ar"/>
        </w:rPr>
        <w:t>根据现场实际情况而定</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bCs/>
          <w:color w:val="auto"/>
          <w:spacing w:val="0"/>
          <w:sz w:val="21"/>
          <w:szCs w:val="21"/>
          <w:highlight w:val="none"/>
          <w:u w:val="single"/>
          <w:lang w:val="en-US" w:eastAsia="zh-CN" w:bidi="ar"/>
        </w:rPr>
        <w:t>所有需要使用的场内道路和交通设施由承包人负责修建和拆除，且所有发生的费用已经包含在投标总价中，后期不予调整。</w:t>
      </w:r>
      <w:bookmarkEnd w:id="39"/>
      <w:bookmarkEnd w:id="40"/>
      <w:bookmarkEnd w:id="41"/>
      <w:bookmarkEnd w:id="42"/>
      <w:bookmarkEnd w:id="43"/>
      <w:bookmarkStart w:id="44" w:name="_Toc318581157"/>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1.10.4超大件和超重件的运输</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运输超大件或超重件所需的道路和桥梁临时加固改造费用和其他有关费用由</w:t>
      </w:r>
      <w:r>
        <w:rPr>
          <w:rFonts w:hint="eastAsia" w:ascii="宋体" w:hAnsi="宋体" w:eastAsia="宋体" w:cs="宋体"/>
          <w:bCs/>
          <w:color w:val="auto"/>
          <w:spacing w:val="0"/>
          <w:sz w:val="21"/>
          <w:szCs w:val="21"/>
          <w:highlight w:val="none"/>
          <w:u w:val="single"/>
          <w:lang w:val="en-US" w:eastAsia="zh-CN" w:bidi="ar"/>
        </w:rPr>
        <w:t>承包人</w:t>
      </w:r>
      <w:r>
        <w:rPr>
          <w:rFonts w:hint="eastAsia" w:ascii="宋体" w:hAnsi="宋体" w:eastAsia="宋体" w:cs="宋体"/>
          <w:color w:val="auto"/>
          <w:spacing w:val="0"/>
          <w:sz w:val="21"/>
          <w:szCs w:val="21"/>
          <w:highlight w:val="none"/>
          <w:lang w:val="en-US" w:eastAsia="zh-CN" w:bidi="ar"/>
        </w:rPr>
        <w:t>承担。</w:t>
      </w:r>
      <w:bookmarkEnd w:id="44"/>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 知识产权</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Cs/>
          <w:color w:val="auto"/>
          <w:spacing w:val="0"/>
          <w:sz w:val="21"/>
          <w:szCs w:val="21"/>
          <w:highlight w:val="none"/>
          <w:u w:val="single"/>
          <w:lang w:val="en-US" w:eastAsia="zh-CN" w:bidi="ar"/>
        </w:rPr>
        <w:t>属于发包人</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b/>
          <w:bCs/>
          <w:color w:val="auto"/>
          <w:spacing w:val="0"/>
          <w:sz w:val="21"/>
          <w:szCs w:val="21"/>
          <w:highlight w:val="none"/>
          <w:lang w:val="en-US" w:eastAsia="zh-CN" w:bidi="ar"/>
        </w:rPr>
      </w:pPr>
      <w:r>
        <w:rPr>
          <w:rFonts w:hint="eastAsia" w:ascii="宋体" w:hAnsi="宋体" w:eastAsia="宋体" w:cs="宋体"/>
          <w:b/>
          <w:bCs/>
          <w:color w:val="auto"/>
          <w:spacing w:val="0"/>
          <w:sz w:val="21"/>
          <w:szCs w:val="21"/>
          <w:highlight w:val="none"/>
          <w:lang w:val="en-US" w:eastAsia="zh-CN" w:bidi="ar"/>
        </w:rPr>
        <w:t>承包人必须对发包人提供的图纸及现场相关图像等材料承担保密责任，如承包人外泄，将追究相关责任，并且有权提出解除合同，承包人承担一切经济及其他法律责任。</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关于发包人提供的上述文件的使用限制的要求：</w:t>
      </w:r>
      <w:r>
        <w:rPr>
          <w:rFonts w:hint="eastAsia" w:ascii="宋体" w:hAnsi="宋体" w:eastAsia="宋体" w:cs="宋体"/>
          <w:bCs/>
          <w:color w:val="auto"/>
          <w:spacing w:val="0"/>
          <w:sz w:val="21"/>
          <w:szCs w:val="21"/>
          <w:highlight w:val="none"/>
          <w:u w:val="single"/>
          <w:lang w:val="en-US" w:eastAsia="zh-CN" w:bidi="ar"/>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1.11.2 关于承包人为实施工程所编制文件的著作权的归属：</w:t>
      </w:r>
      <w:r>
        <w:rPr>
          <w:rFonts w:hint="eastAsia" w:ascii="宋体" w:hAnsi="宋体" w:eastAsia="宋体" w:cs="宋体"/>
          <w:bCs/>
          <w:color w:val="auto"/>
          <w:spacing w:val="0"/>
          <w:sz w:val="21"/>
          <w:szCs w:val="21"/>
          <w:highlight w:val="none"/>
          <w:u w:val="single"/>
          <w:lang w:val="en-US" w:eastAsia="zh-CN" w:bidi="ar"/>
        </w:rPr>
        <w:t>除署名权以外的著作权属于发包人</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关于承包人提供的上述文件的使用限制的要求：</w:t>
      </w:r>
      <w:r>
        <w:rPr>
          <w:rFonts w:hint="eastAsia" w:ascii="宋体" w:hAnsi="宋体" w:eastAsia="宋体" w:cs="宋体"/>
          <w:bCs/>
          <w:color w:val="auto"/>
          <w:spacing w:val="0"/>
          <w:sz w:val="21"/>
          <w:szCs w:val="21"/>
          <w:highlight w:val="none"/>
          <w:u w:val="single"/>
          <w:lang w:val="en-US" w:eastAsia="zh-CN" w:bidi="ar"/>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1.11.4 承包人在施工过程中所采用的专利、专有技术、技术秘密的使用费的承担方式：</w:t>
      </w:r>
      <w:r>
        <w:rPr>
          <w:rFonts w:hint="eastAsia" w:ascii="宋体" w:hAnsi="宋体" w:eastAsia="宋体" w:cs="宋体"/>
          <w:bCs/>
          <w:color w:val="auto"/>
          <w:spacing w:val="0"/>
          <w:sz w:val="21"/>
          <w:szCs w:val="21"/>
          <w:highlight w:val="none"/>
          <w:u w:val="single"/>
          <w:lang w:val="en-US" w:eastAsia="zh-CN" w:bidi="ar"/>
        </w:rPr>
        <w:t>已含在合同价中</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1.13工程量清单错误的修正</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出现工程量清单错误时，是否调整合同价格：</w:t>
      </w:r>
      <w:r>
        <w:rPr>
          <w:rFonts w:hint="eastAsia" w:ascii="宋体" w:hAnsi="宋体" w:eastAsia="宋体" w:cs="宋体"/>
          <w:color w:val="auto"/>
          <w:spacing w:val="0"/>
          <w:sz w:val="21"/>
          <w:szCs w:val="21"/>
          <w:highlight w:val="none"/>
          <w:u w:val="single"/>
          <w:lang w:val="en-US" w:eastAsia="zh-CN" w:bidi="ar"/>
        </w:rPr>
        <w:t>详见本专用合同条款第12.1条</w:t>
      </w:r>
      <w:r>
        <w:rPr>
          <w:rFonts w:hint="eastAsia" w:ascii="宋体" w:hAnsi="宋体" w:eastAsia="宋体" w:cs="宋体"/>
          <w:color w:val="auto"/>
          <w:spacing w:val="0"/>
          <w:sz w:val="21"/>
          <w:szCs w:val="21"/>
          <w:highlight w:val="none"/>
          <w:lang w:val="en-US" w:eastAsia="zh-CN" w:bidi="ar"/>
        </w:rPr>
        <w:t>。</w:t>
      </w:r>
      <w:bookmarkStart w:id="45" w:name="_Toc351203634"/>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2</w:t>
      </w:r>
      <w:bookmarkStart w:id="46" w:name="_Toc297048343"/>
      <w:bookmarkStart w:id="47" w:name="_Toc296944496"/>
      <w:bookmarkStart w:id="48" w:name="_Toc296346658"/>
      <w:bookmarkStart w:id="49" w:name="_Toc296891197"/>
      <w:bookmarkStart w:id="50" w:name="_Toc292559867"/>
      <w:bookmarkStart w:id="51" w:name="_Toc292559362"/>
      <w:bookmarkStart w:id="52" w:name="_Toc297120457"/>
      <w:bookmarkStart w:id="53" w:name="_Toc296503157"/>
      <w:bookmarkStart w:id="54" w:name="_Toc296890985"/>
      <w:bookmarkStart w:id="55" w:name="_Toc296347156"/>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发包人</w:t>
      </w:r>
      <w:bookmarkEnd w:id="45"/>
      <w:bookmarkEnd w:id="46"/>
      <w:bookmarkEnd w:id="47"/>
      <w:bookmarkEnd w:id="48"/>
      <w:bookmarkEnd w:id="49"/>
      <w:bookmarkEnd w:id="50"/>
      <w:bookmarkEnd w:id="51"/>
      <w:bookmarkEnd w:id="52"/>
      <w:bookmarkEnd w:id="53"/>
      <w:bookmarkEnd w:id="54"/>
      <w:bookmarkEnd w:id="55"/>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2.2 发包人代表</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发包人代表：</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姓    名：；</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身份证号：；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职    务：；</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联系电话：；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电子信箱：；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通信地址：。</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发包人对发包人代表的授权范围如下：</w:t>
      </w:r>
      <w:r>
        <w:rPr>
          <w:rFonts w:hint="eastAsia" w:ascii="宋体" w:hAnsi="宋体" w:eastAsia="宋体" w:cs="宋体"/>
          <w:bCs/>
          <w:color w:val="auto"/>
          <w:spacing w:val="0"/>
          <w:sz w:val="21"/>
          <w:szCs w:val="21"/>
          <w:highlight w:val="none"/>
          <w:u w:val="single"/>
          <w:lang w:val="en-US" w:eastAsia="zh-CN" w:bidi="ar"/>
        </w:rPr>
        <w:t>代表发包人行使权利和履行义务，依据本合同并在其授权范围内履行其职责。主持开展施工现场的全面工作；对施工过程中的合同执行情况进行检查监督以及对监理工作的检查；根据合同约定的向承包人发出的通知，以书面形式由其本人签字后送交承包人；代表发包人履行工程量、设计变更等签证、分包单位的确认、工期的签证、工程竣工验收报告的确认职责</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2.4 施工现场、施工条件和基础资料的提供</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2.4.1 提供施工现场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关于发包人移交施工现场的期限要求：</w:t>
      </w:r>
      <w:r>
        <w:rPr>
          <w:rFonts w:hint="eastAsia" w:ascii="宋体" w:hAnsi="宋体" w:eastAsia="宋体" w:cs="宋体"/>
          <w:bCs/>
          <w:color w:val="auto"/>
          <w:spacing w:val="0"/>
          <w:sz w:val="21"/>
          <w:szCs w:val="21"/>
          <w:highlight w:val="none"/>
          <w:u w:val="single"/>
          <w:lang w:val="en-US" w:eastAsia="zh-CN" w:bidi="ar"/>
        </w:rPr>
        <w:t>开工日期7天前</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2.4.2 提供施工条件</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关于发包人应负责提供施工所需要的条件，包括：</w:t>
      </w:r>
      <w:r>
        <w:rPr>
          <w:rFonts w:hint="eastAsia" w:ascii="宋体" w:hAnsi="宋体" w:eastAsia="宋体" w:cs="宋体"/>
          <w:bCs/>
          <w:color w:val="auto"/>
          <w:spacing w:val="0"/>
          <w:sz w:val="21"/>
          <w:szCs w:val="21"/>
          <w:highlight w:val="none"/>
          <w:u w:val="single"/>
          <w:lang w:val="en-US" w:eastAsia="zh-CN" w:bidi="ar"/>
        </w:rPr>
        <w:t>由于发包人施工现场场地有限，发包人不提供搭建临时设施的场地及住宿地。承包人需自行安排施工队伍生活住宿的必要设施及场地。（1）施工用水、照明用电、动力用电由承包人挂表计量并承担线损费摊销，单价均按施工同期供水、供电部门的价格计算，结算时发包人按施工同期供水、供电部门的价格扣回；（2）通讯线路不提供，由承包人自行解决并承担相应费用；（3）指定现场施工用水、电接入位置，自指定位置接入施工现场所需的材料、安装等一切费用，由承包人自行解决并承担相应费用，同时施工中发包人不考虑因用电原因（如需自发电或电容量不够）而给承包人的任何额外补偿；（4）</w:t>
      </w:r>
      <w:r>
        <w:rPr>
          <w:rFonts w:hint="eastAsia" w:ascii="宋体" w:hAnsi="宋体" w:eastAsia="宋体" w:cs="宋体"/>
          <w:b/>
          <w:bCs w:val="0"/>
          <w:color w:val="auto"/>
          <w:spacing w:val="0"/>
          <w:sz w:val="21"/>
          <w:szCs w:val="21"/>
          <w:highlight w:val="none"/>
          <w:u w:val="single"/>
          <w:lang w:val="en-US" w:eastAsia="zh-CN" w:bidi="ar"/>
        </w:rPr>
        <w:t>材料、垃圾等临时堆放现场需要搭设的临时围墙（位置由发包人指定），必须牢固稳定，高度不低于2.5米，围墙外表美观、光滑、不可攀爬，顶部安装攀爬倒刺，费用包含在合同价中；</w:t>
      </w:r>
      <w:r>
        <w:rPr>
          <w:rFonts w:hint="eastAsia" w:ascii="宋体" w:hAnsi="宋体" w:eastAsia="宋体" w:cs="宋体"/>
          <w:bCs/>
          <w:color w:val="auto"/>
          <w:spacing w:val="0"/>
          <w:sz w:val="21"/>
          <w:szCs w:val="21"/>
          <w:highlight w:val="none"/>
          <w:u w:val="single"/>
          <w:lang w:val="en-US" w:eastAsia="zh-CN" w:bidi="ar"/>
        </w:rPr>
        <w:t>（5）正常施工所需要的进入施工现场的交通条件已具备</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2.5 资金来源证明及支付担保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发包人提供资金来源证明的期限要求：</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发包人是否提供支付担保：</w:t>
      </w:r>
      <w:r>
        <w:rPr>
          <w:rFonts w:hint="eastAsia" w:ascii="宋体" w:hAnsi="宋体" w:eastAsia="宋体" w:cs="宋体"/>
          <w:bCs/>
          <w:color w:val="auto"/>
          <w:spacing w:val="0"/>
          <w:sz w:val="21"/>
          <w:szCs w:val="21"/>
          <w:highlight w:val="none"/>
          <w:u w:val="single"/>
          <w:lang w:val="en-US" w:eastAsia="zh-CN" w:bidi="ar"/>
        </w:rPr>
        <w:t>否</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发包人提供支付担保的形式：</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Start w:id="56" w:name="_Toc351203635"/>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3</w:t>
      </w:r>
      <w:bookmarkStart w:id="57" w:name="_Toc296347157"/>
      <w:bookmarkStart w:id="58" w:name="_Toc297120458"/>
      <w:bookmarkStart w:id="59" w:name="_Toc292559868"/>
      <w:bookmarkStart w:id="60" w:name="_Toc296944497"/>
      <w:bookmarkStart w:id="61" w:name="_Toc297048344"/>
      <w:bookmarkStart w:id="62" w:name="_Toc296890986"/>
      <w:bookmarkStart w:id="63" w:name="_Toc296503158"/>
      <w:bookmarkStart w:id="64" w:name="_Toc296346659"/>
      <w:bookmarkStart w:id="65" w:name="_Toc296891198"/>
      <w:bookmarkStart w:id="66" w:name="_Toc292559363"/>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承包人</w:t>
      </w:r>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3.1 承包人的一般义务</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（5）承包人提交的竣工资料的内容：</w:t>
      </w:r>
      <w:r>
        <w:rPr>
          <w:rFonts w:hint="eastAsia" w:ascii="宋体" w:hAnsi="宋体" w:eastAsia="宋体" w:cs="宋体"/>
          <w:color w:val="auto"/>
          <w:spacing w:val="0"/>
          <w:sz w:val="21"/>
          <w:szCs w:val="21"/>
          <w:highlight w:val="none"/>
          <w:u w:val="single"/>
          <w:lang w:val="en-US" w:eastAsia="zh-CN" w:bidi="ar"/>
        </w:rPr>
        <w:t>《建设工程文件归档整理规范》规定的内容，并满足市城建档案馆要求的竣工图及单位工程质量检验评定资料等</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承包人需要提交的竣工资料套数：</w:t>
      </w:r>
      <w:r>
        <w:rPr>
          <w:rFonts w:hint="eastAsia" w:ascii="宋体" w:hAnsi="宋体" w:eastAsia="宋体" w:cs="宋体"/>
          <w:bCs/>
          <w:color w:val="auto"/>
          <w:spacing w:val="0"/>
          <w:sz w:val="21"/>
          <w:szCs w:val="21"/>
          <w:highlight w:val="none"/>
          <w:u w:val="single"/>
          <w:lang w:val="en-US" w:eastAsia="zh-CN" w:bidi="ar"/>
        </w:rPr>
        <w:t>4套（含原件2套）</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承包人提交的竣工资料的费用承担：</w:t>
      </w:r>
      <w:r>
        <w:rPr>
          <w:rFonts w:hint="eastAsia" w:ascii="宋体" w:hAnsi="宋体" w:eastAsia="宋体" w:cs="宋体"/>
          <w:bCs/>
          <w:color w:val="auto"/>
          <w:spacing w:val="0"/>
          <w:sz w:val="21"/>
          <w:szCs w:val="21"/>
          <w:highlight w:val="none"/>
          <w:u w:val="single"/>
          <w:lang w:val="en-US" w:eastAsia="zh-CN" w:bidi="ar"/>
        </w:rPr>
        <w:t>由承包人自行承担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承包人提交的竣工资料移交时间：</w:t>
      </w:r>
      <w:r>
        <w:rPr>
          <w:rFonts w:hint="eastAsia" w:ascii="宋体" w:hAnsi="宋体" w:eastAsia="宋体" w:cs="宋体"/>
          <w:bCs/>
          <w:color w:val="auto"/>
          <w:spacing w:val="0"/>
          <w:sz w:val="21"/>
          <w:szCs w:val="21"/>
          <w:highlight w:val="none"/>
          <w:u w:val="single"/>
          <w:lang w:val="en-US" w:eastAsia="zh-CN" w:bidi="ar"/>
        </w:rPr>
        <w:t>与竣工验收申请报告同时提交。工程竣工验收合格后，承包人应在28天内向发包人递交竣工结算报告和完整的结算资料</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承包人提交的竣工资料形式要求：</w:t>
      </w:r>
      <w:r>
        <w:rPr>
          <w:rFonts w:hint="eastAsia" w:ascii="宋体" w:hAnsi="宋体" w:eastAsia="宋体" w:cs="宋体"/>
          <w:color w:val="auto"/>
          <w:spacing w:val="0"/>
          <w:sz w:val="21"/>
          <w:szCs w:val="21"/>
          <w:highlight w:val="none"/>
          <w:u w:val="single"/>
          <w:lang w:val="en-US" w:eastAsia="zh-CN" w:bidi="ar"/>
        </w:rPr>
        <w:t>提供符合甲方有关施工资料要求的纸质文件、电子文件</w:t>
      </w:r>
      <w:r>
        <w:rPr>
          <w:rFonts w:hint="eastAsia" w:ascii="宋体" w:hAnsi="宋体" w:eastAsia="宋体" w:cs="宋体"/>
          <w:bCs/>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lang w:val="en-US" w:eastAsia="zh-CN" w:bidi="ar"/>
        </w:rPr>
        <w:t>承包人应履行的其他义务：</w:t>
      </w:r>
      <w:r>
        <w:rPr>
          <w:rFonts w:hint="eastAsia" w:ascii="宋体" w:hAnsi="Times New Roman" w:eastAsia="宋体" w:cs="宋体"/>
          <w:color w:val="auto"/>
          <w:spacing w:val="0"/>
          <w:sz w:val="21"/>
          <w:szCs w:val="21"/>
          <w:highlight w:val="none"/>
          <w:u w:val="single"/>
          <w:lang w:val="en-US" w:eastAsia="zh-CN" w:bidi="ar"/>
        </w:rPr>
        <w:t>①</w:t>
      </w:r>
      <w:r>
        <w:rPr>
          <w:rFonts w:hint="eastAsia" w:ascii="宋体" w:hAnsi="宋体" w:eastAsia="宋体" w:cs="宋体"/>
          <w:color w:val="auto"/>
          <w:spacing w:val="0"/>
          <w:sz w:val="21"/>
          <w:szCs w:val="21"/>
          <w:highlight w:val="none"/>
          <w:u w:val="single"/>
          <w:lang w:val="en-US" w:eastAsia="zh-CN" w:bidi="ar"/>
        </w:rPr>
        <w:t>承包人根据国家和工程所在地政府有关部门的规定，办理交通、环卫、环保手续，负责协调和处理因施工引起的周边地段民事纠纷，并承担由此发生的费用。</w:t>
      </w:r>
      <w:r>
        <w:rPr>
          <w:rFonts w:hint="eastAsia" w:ascii="宋体" w:hAnsi="Times New Roman" w:eastAsia="宋体" w:cs="宋体"/>
          <w:color w:val="auto"/>
          <w:spacing w:val="0"/>
          <w:sz w:val="21"/>
          <w:szCs w:val="21"/>
          <w:highlight w:val="none"/>
          <w:u w:val="single"/>
          <w:lang w:val="en-US" w:eastAsia="zh-CN" w:bidi="ar"/>
        </w:rPr>
        <w:t>②</w:t>
      </w:r>
      <w:r>
        <w:rPr>
          <w:rFonts w:hint="eastAsia" w:ascii="宋体" w:hAnsi="宋体" w:eastAsia="宋体" w:cs="宋体"/>
          <w:color w:val="auto"/>
          <w:spacing w:val="0"/>
          <w:sz w:val="21"/>
          <w:szCs w:val="21"/>
          <w:highlight w:val="none"/>
          <w:u w:val="single"/>
          <w:lang w:val="en-US" w:eastAsia="zh-CN" w:bidi="ar"/>
        </w:rPr>
        <w:t>负责协调处理施工过程中排污、环保、市容、消防、治安、人口管理等相关手续的办 理以及因施工造成对临近居民的影响所引起的纠纷等，均由承包人负责协调处理。现场生活 污水和生活垃圾必须定期清运，施工现场内雨水、废水、污水必须排入指定的排水沟或排水 井内；保持道路畅通整洁。若污染城市道路和下水管网，则所造成的一切责任和后果均由承 包人承担。</w:t>
      </w:r>
      <w:r>
        <w:rPr>
          <w:rFonts w:hint="eastAsia" w:ascii="宋体" w:hAnsi="Times New Roman" w:eastAsia="宋体" w:cs="宋体"/>
          <w:color w:val="auto"/>
          <w:spacing w:val="0"/>
          <w:sz w:val="21"/>
          <w:szCs w:val="21"/>
          <w:highlight w:val="none"/>
          <w:u w:val="single"/>
          <w:lang w:val="en-US" w:eastAsia="zh-CN" w:bidi="ar"/>
        </w:rPr>
        <w:t>③</w:t>
      </w:r>
      <w:r>
        <w:rPr>
          <w:rFonts w:hint="eastAsia" w:ascii="宋体" w:hAnsi="宋体" w:eastAsia="宋体" w:cs="宋体"/>
          <w:color w:val="auto"/>
          <w:spacing w:val="0"/>
          <w:sz w:val="21"/>
          <w:szCs w:val="21"/>
          <w:highlight w:val="none"/>
          <w:u w:val="single"/>
          <w:lang w:val="en-US" w:eastAsia="zh-CN" w:bidi="ar"/>
        </w:rPr>
        <w:t>已完成工程成品在正式移交发包人前，由承包人负责保护，其费用由承包人承担。</w:t>
      </w:r>
      <w:r>
        <w:rPr>
          <w:rFonts w:hint="eastAsia" w:ascii="宋体" w:hAnsi="Times New Roman" w:eastAsia="宋体" w:cs="宋体"/>
          <w:color w:val="auto"/>
          <w:spacing w:val="0"/>
          <w:sz w:val="21"/>
          <w:szCs w:val="21"/>
          <w:highlight w:val="none"/>
          <w:u w:val="single"/>
          <w:lang w:val="en-US" w:eastAsia="zh-CN" w:bidi="ar"/>
        </w:rPr>
        <w:t>④</w:t>
      </w:r>
      <w:r>
        <w:rPr>
          <w:rFonts w:hint="eastAsia" w:ascii="宋体" w:hAnsi="宋体" w:eastAsia="宋体" w:cs="宋体"/>
          <w:color w:val="auto"/>
          <w:spacing w:val="0"/>
          <w:sz w:val="21"/>
          <w:szCs w:val="21"/>
          <w:highlight w:val="none"/>
          <w:u w:val="single"/>
          <w:lang w:val="en-US" w:eastAsia="zh-CN" w:bidi="ar"/>
        </w:rPr>
        <w:t>承包人有义务根据发包人提供的图纸及有关文件提出合理化建议，以及对于设计中存 在的问题在施工之前的合理时间提出；承包人须无条件接受发包人发出的设计变更，并按设 计变更进行施工。</w:t>
      </w:r>
      <w:r>
        <w:rPr>
          <w:rFonts w:hint="eastAsia" w:ascii="宋体" w:hAnsi="Times New Roman" w:eastAsia="宋体" w:cs="宋体"/>
          <w:color w:val="auto"/>
          <w:spacing w:val="0"/>
          <w:sz w:val="21"/>
          <w:szCs w:val="21"/>
          <w:highlight w:val="none"/>
          <w:u w:val="single"/>
          <w:lang w:val="en-US" w:eastAsia="zh-CN" w:bidi="ar"/>
        </w:rPr>
        <w:t>⑤</w:t>
      </w:r>
      <w:r>
        <w:rPr>
          <w:rFonts w:hint="eastAsia" w:ascii="宋体" w:hAnsi="宋体" w:eastAsia="宋体" w:cs="宋体"/>
          <w:color w:val="auto"/>
          <w:spacing w:val="0"/>
          <w:sz w:val="21"/>
          <w:szCs w:val="21"/>
          <w:highlight w:val="none"/>
          <w:u w:val="single"/>
          <w:lang w:val="en-US" w:eastAsia="zh-CN" w:bidi="ar"/>
        </w:rPr>
        <w:t>负责施工场地原房屋建筑结构和结构内管道、线路、警戒设施的保护，不得破坏原房屋建筑结构和结构内管道、线路、警戒设施的保护，如损坏，恢复费用由承包人负担。</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3.2 项目负责人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3.2.1 项目负责人：</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姓    名：；</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身份证号：；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建造师执业资格等级：；</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建造师注册证书号：；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建造师执业印章号：；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安全生产考核合格证书号：；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联系电话：；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电子信箱：；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通信地址：；</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承包人对项目负责人的授权范围如下：</w:t>
      </w:r>
      <w:r>
        <w:rPr>
          <w:rFonts w:hint="eastAsia" w:ascii="宋体" w:hAnsi="宋体" w:eastAsia="宋体" w:cs="宋体"/>
          <w:bCs/>
          <w:color w:val="auto"/>
          <w:spacing w:val="0"/>
          <w:sz w:val="21"/>
          <w:szCs w:val="21"/>
          <w:highlight w:val="none"/>
          <w:u w:val="single"/>
          <w:lang w:val="en-US" w:eastAsia="zh-CN" w:bidi="ar"/>
        </w:rPr>
        <w:t>代表承包人履行合同。按合同约定组织工程实施；在合同约定范围内主持承包人有关施工、技术、工程进度、现场管理、安全生产、质量检验、竣工交付、结算等方面工作</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关于项目负责人每月在施工现场的时间要求：</w:t>
      </w:r>
      <w:r>
        <w:rPr>
          <w:rFonts w:hint="eastAsia" w:ascii="宋体" w:hAnsi="宋体" w:eastAsia="宋体" w:cs="宋体"/>
          <w:bCs/>
          <w:color w:val="auto"/>
          <w:spacing w:val="0"/>
          <w:sz w:val="21"/>
          <w:szCs w:val="21"/>
          <w:highlight w:val="none"/>
          <w:u w:val="single"/>
          <w:lang w:val="en-US" w:eastAsia="zh-CN" w:bidi="ar"/>
        </w:rPr>
        <w:t>每天不少于8小时，每周不少于5天</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承包人未提交劳动合同，以及没有为项目负责人缴纳社会保险证明的违约责任：</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如未提供发包人有权解除合同，并追究由此带来的发包人的一切损失。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项目负责人未经批准，擅自离开施工现场的违约责任：</w:t>
      </w:r>
      <w:r>
        <w:rPr>
          <w:rFonts w:hint="eastAsia" w:ascii="宋体" w:hAnsi="宋体" w:eastAsia="宋体" w:cs="宋体"/>
          <w:bCs/>
          <w:color w:val="auto"/>
          <w:spacing w:val="0"/>
          <w:sz w:val="21"/>
          <w:szCs w:val="21"/>
          <w:highlight w:val="none"/>
          <w:u w:val="single"/>
          <w:lang w:val="en-US" w:eastAsia="zh-CN" w:bidi="ar"/>
        </w:rPr>
        <w:t>发包人每发现1次处以10000元/天违约金，从工程款中扣抵，并保留解除合同的权利</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3.2.3 承包人擅自更换项目负责人的违约责任：</w:t>
      </w:r>
      <w:r>
        <w:rPr>
          <w:rFonts w:hint="eastAsia" w:ascii="宋体" w:hAnsi="宋体" w:eastAsia="宋体" w:cs="宋体"/>
          <w:bCs/>
          <w:color w:val="auto"/>
          <w:spacing w:val="0"/>
          <w:sz w:val="21"/>
          <w:szCs w:val="21"/>
          <w:highlight w:val="none"/>
          <w:u w:val="single"/>
          <w:lang w:val="en-US" w:eastAsia="zh-CN" w:bidi="ar"/>
        </w:rPr>
        <w:t>承包人在投标时承诺拟派本工程的项目经理不得更换（除发包人要求更换外），并将项目经理相关执业资格证书（注册建造师证书、安全生产考核合格 B证）交予发包人管理，直至工程竣工验收备案。如承包人擅自更换项目负责人处以10万元违约金并保留解除合同的权利；项目经理因刑事犯罪、伤病丧失工作能力等确属不能履行职责需要变更的，须经监理工程师和发包人批准更换，其接替人员的注册执业资格、能力不得低于被替换人员，经发包人确认变更的，每变更1次处以50000元违约金，从工程款中直接扣抵</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3.2.4 承包人无正当理由拒绝更换项目负责人的违约责任：</w:t>
      </w:r>
      <w:r>
        <w:rPr>
          <w:rFonts w:hint="eastAsia" w:ascii="宋体" w:hAnsi="宋体" w:eastAsia="宋体" w:cs="宋体"/>
          <w:bCs/>
          <w:color w:val="auto"/>
          <w:spacing w:val="0"/>
          <w:sz w:val="21"/>
          <w:szCs w:val="21"/>
          <w:highlight w:val="none"/>
          <w:u w:val="single"/>
          <w:lang w:val="en-US" w:eastAsia="zh-CN" w:bidi="ar"/>
        </w:rPr>
        <w:t>发包人有权书面通知承包人更换其认为不称职的项目经理。承包人在接到更换通知后无正当理由拒绝更换的，每次处以10万元违约金，从工程款中直接扣抵且发包人有权解除合同，并追究由此带来的发包人的一切损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3.3 承包人人员</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3.3.1 承包人提交项目管理机构及施工现场管理人员安排报告的期限：</w:t>
      </w:r>
      <w:r>
        <w:rPr>
          <w:rFonts w:hint="eastAsia" w:ascii="宋体" w:hAnsi="宋体" w:eastAsia="宋体" w:cs="宋体"/>
          <w:bCs/>
          <w:color w:val="auto"/>
          <w:spacing w:val="0"/>
          <w:sz w:val="21"/>
          <w:szCs w:val="21"/>
          <w:highlight w:val="none"/>
          <w:u w:val="single"/>
          <w:lang w:val="en-US" w:eastAsia="zh-CN" w:bidi="ar"/>
        </w:rPr>
        <w:t>接到开工通知后7天内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3.3.3 承包人无正当理由拒绝撤换主要施工管理人员的违约责任：</w:t>
      </w:r>
      <w:r>
        <w:rPr>
          <w:rFonts w:hint="eastAsia" w:ascii="宋体" w:hAnsi="宋体" w:eastAsia="宋体" w:cs="宋体"/>
          <w:bCs/>
          <w:color w:val="auto"/>
          <w:spacing w:val="0"/>
          <w:sz w:val="21"/>
          <w:szCs w:val="21"/>
          <w:highlight w:val="none"/>
          <w:u w:val="single"/>
          <w:lang w:val="en-US" w:eastAsia="zh-CN" w:bidi="ar"/>
        </w:rPr>
        <w:t>每次每人每拖延一天处以10000元违约金，从工程款中直接扣抵</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3.3.4 承包人主要施工管理人员离开施工现场的批准要求：</w:t>
      </w:r>
      <w:r>
        <w:rPr>
          <w:rFonts w:hint="eastAsia" w:ascii="宋体" w:hAnsi="宋体" w:eastAsia="宋体" w:cs="宋体"/>
          <w:bCs/>
          <w:color w:val="auto"/>
          <w:spacing w:val="0"/>
          <w:sz w:val="21"/>
          <w:szCs w:val="21"/>
          <w:highlight w:val="none"/>
          <w:u w:val="single"/>
          <w:lang w:val="en-US" w:eastAsia="zh-CN" w:bidi="ar"/>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3.3.5承包人擅自更换主要施工管理人员的违约责任：</w:t>
      </w:r>
      <w:r>
        <w:rPr>
          <w:rFonts w:hint="eastAsia" w:ascii="宋体" w:hAnsi="宋体" w:eastAsia="宋体" w:cs="宋体"/>
          <w:bCs/>
          <w:color w:val="auto"/>
          <w:spacing w:val="0"/>
          <w:sz w:val="21"/>
          <w:szCs w:val="21"/>
          <w:highlight w:val="none"/>
          <w:u w:val="single"/>
          <w:lang w:val="en-US" w:eastAsia="zh-CN" w:bidi="ar"/>
        </w:rPr>
        <w:t>每次每人处以10000元违约金，从工程款中直接扣抵</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承包人主要施工管理人员擅自离开施工现场的违约责任：</w:t>
      </w:r>
      <w:r>
        <w:rPr>
          <w:rFonts w:hint="eastAsia" w:ascii="宋体" w:hAnsi="宋体" w:eastAsia="宋体" w:cs="宋体"/>
          <w:bCs/>
          <w:color w:val="auto"/>
          <w:spacing w:val="0"/>
          <w:sz w:val="21"/>
          <w:szCs w:val="21"/>
          <w:highlight w:val="none"/>
          <w:u w:val="single"/>
          <w:lang w:val="en-US" w:eastAsia="zh-CN" w:bidi="ar"/>
        </w:rPr>
        <w:t>每次每人每天处以10000元违约金，从工程款中直接扣抵，并保留解除合同的权利</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w:t>
      </w:r>
      <w:bookmarkStart w:id="67" w:name="_Toc292559869"/>
      <w:bookmarkStart w:id="68" w:name="_Toc296347158"/>
      <w:bookmarkStart w:id="69" w:name="_Toc296891199"/>
      <w:bookmarkStart w:id="70" w:name="_Toc296944498"/>
      <w:bookmarkStart w:id="71" w:name="_Toc296890987"/>
      <w:bookmarkStart w:id="72" w:name="_Toc296346660"/>
      <w:bookmarkStart w:id="73" w:name="_Toc297216151"/>
      <w:bookmarkStart w:id="74" w:name="_Toc304295523"/>
      <w:bookmarkStart w:id="75" w:name="_Toc296503159"/>
      <w:bookmarkStart w:id="76" w:name="_Toc292559364"/>
      <w:bookmarkStart w:id="77" w:name="_Toc312677988"/>
      <w:bookmarkStart w:id="78" w:name="_Toc297120459"/>
      <w:bookmarkStart w:id="79" w:name="_Toc303539102"/>
      <w:bookmarkStart w:id="80" w:name="_Toc300934945"/>
      <w:bookmarkStart w:id="81" w:name="_Toc297048345"/>
      <w:bookmarkStart w:id="82" w:name="_Toc297123492"/>
      <w:r>
        <w:rPr>
          <w:rFonts w:hint="eastAsia" w:ascii="宋体" w:hAnsi="宋体" w:eastAsia="宋体" w:cs="宋体"/>
          <w:color w:val="auto"/>
          <w:spacing w:val="0"/>
          <w:sz w:val="21"/>
          <w:szCs w:val="21"/>
          <w:highlight w:val="none"/>
          <w:lang w:val="en-US" w:eastAsia="zh-CN" w:bidi="ar"/>
        </w:rPr>
        <w:t>.5 分包</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w:t>
      </w:r>
      <w:bookmarkStart w:id="83" w:name="_Toc303539103"/>
      <w:bookmarkStart w:id="84" w:name="_Toc297048346"/>
      <w:bookmarkStart w:id="85" w:name="_Toc297120460"/>
      <w:bookmarkStart w:id="86" w:name="_Toc292559365"/>
      <w:bookmarkStart w:id="87" w:name="_Toc292559870"/>
      <w:bookmarkStart w:id="88" w:name="_Toc296944499"/>
      <w:bookmarkStart w:id="89" w:name="_Toc297216152"/>
      <w:bookmarkStart w:id="90" w:name="_Toc296346661"/>
      <w:bookmarkStart w:id="91" w:name="_Toc296503160"/>
      <w:bookmarkStart w:id="92" w:name="_Toc297123493"/>
      <w:bookmarkStart w:id="93" w:name="_Toc312677989"/>
      <w:bookmarkStart w:id="94" w:name="_Toc296890988"/>
      <w:bookmarkStart w:id="95" w:name="_Toc296347159"/>
      <w:bookmarkStart w:id="96" w:name="_Toc296891200"/>
      <w:bookmarkStart w:id="97" w:name="_Toc300934946"/>
      <w:bookmarkStart w:id="98" w:name="_Toc304295524"/>
      <w:bookmarkStart w:id="99" w:name="_Toc318581158"/>
      <w:r>
        <w:rPr>
          <w:rFonts w:hint="eastAsia" w:ascii="宋体" w:hAnsi="宋体" w:eastAsia="宋体" w:cs="宋体"/>
          <w:color w:val="auto"/>
          <w:spacing w:val="0"/>
          <w:sz w:val="21"/>
          <w:szCs w:val="21"/>
          <w:highlight w:val="none"/>
          <w:lang w:val="en-US" w:eastAsia="zh-CN" w:bidi="ar"/>
        </w:rPr>
        <w:t>.5.1 分包的一般约定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禁止分包的工程包括：</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主体结构、关键性工作的范围：</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w:t>
      </w:r>
      <w:bookmarkStart w:id="100" w:name="_Toc318581159"/>
      <w:bookmarkStart w:id="101" w:name="_Toc312677990"/>
      <w:r>
        <w:rPr>
          <w:rFonts w:hint="eastAsia" w:ascii="宋体" w:hAnsi="宋体" w:eastAsia="宋体" w:cs="宋体"/>
          <w:color w:val="auto"/>
          <w:spacing w:val="0"/>
          <w:sz w:val="21"/>
          <w:szCs w:val="21"/>
          <w:highlight w:val="none"/>
          <w:lang w:val="en-US" w:eastAsia="zh-CN" w:bidi="ar"/>
        </w:rPr>
        <w:t>.5.2分包的确定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允许分包的专业工程包括：</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其他关于分包的约定：</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3.5.4 分包合同价款</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关于分包合同价款支付的约定：</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100"/>
      <w:bookmarkEnd w:id="101"/>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3.6 工程照管与成品、半成品保护</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承包人负责照管工程及工程相关的材料、工程设备的起始时间：</w:t>
      </w:r>
      <w:r>
        <w:rPr>
          <w:rFonts w:hint="eastAsia" w:ascii="宋体" w:hAnsi="宋体" w:eastAsia="宋体" w:cs="宋体"/>
          <w:color w:val="auto"/>
          <w:spacing w:val="0"/>
          <w:sz w:val="21"/>
          <w:szCs w:val="21"/>
          <w:highlight w:val="none"/>
          <w:u w:val="single"/>
          <w:lang w:val="en-US" w:eastAsia="zh-CN" w:bidi="ar"/>
        </w:rPr>
        <w:t>进场直至验收交付使用前，由承包人负责照管、保护，费用由承包人承担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3.7 履约担保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3.7.1承包人是否提供履约担保：</w:t>
      </w:r>
      <w:r>
        <w:rPr>
          <w:rFonts w:hint="eastAsia" w:ascii="宋体" w:hAnsi="宋体" w:eastAsia="宋体" w:cs="宋体"/>
          <w:bCs/>
          <w:color w:val="auto"/>
          <w:spacing w:val="0"/>
          <w:sz w:val="21"/>
          <w:szCs w:val="21"/>
          <w:highlight w:val="none"/>
          <w:u w:val="single"/>
          <w:lang w:val="en-US" w:eastAsia="zh-CN" w:bidi="ar"/>
        </w:rPr>
        <w:t>是</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u w:val="single"/>
          <w:lang w:val="en-US" w:eastAsia="zh-CN" w:bidi="ar"/>
        </w:rPr>
        <w:t>3.7.2成交价的10%，其中质量5%、工期3%、安全2%。缴纳履约保证金时间：承包人在成交通知书发出之日起7日内。缴纳履约保证金形式：支票、汇票、本票或者金融机构、担保机构出具的保函、履约保证金保险  等非现金形式。</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u w:val="single"/>
          <w:lang w:val="en-US" w:eastAsia="zh-CN" w:bidi="ar"/>
        </w:rPr>
        <w:t>3.7.3履约保证金用以约束承包人在合同履行中的行为，弥补合同执行中由于自身行为可能给发包人带来的各种损失。如果承包人不能够按照规定去做，发包人有权取消本次采购决定。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u w:val="single"/>
          <w:lang w:val="en-US" w:eastAsia="zh-CN" w:bidi="ar"/>
        </w:rPr>
        <w:t>3.7.4履约保证金的退还：合同履行结束，验收合格，承包人提出申请，办理保证金退还手续（无息）。承包人在履约过程中质量、工期、安全任何方面出现不符合合同约定的情况的，发包人有权扣除相应的履约保证金。</w:t>
      </w:r>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bookmarkStart w:id="102" w:name="_Toc351203636"/>
      <w:r>
        <w:rPr>
          <w:rFonts w:hint="default" w:ascii="Times New Roman" w:hAnsi="Times New Roman" w:eastAsia="宋体" w:cs="宋体"/>
          <w:color w:val="auto"/>
          <w:spacing w:val="0"/>
          <w:sz w:val="21"/>
          <w:szCs w:val="21"/>
          <w:highlight w:val="none"/>
          <w:lang w:val="en-US" w:eastAsia="zh-CN" w:bidi="ar"/>
        </w:rPr>
        <w:t>4</w:t>
      </w:r>
      <w:bookmarkStart w:id="103" w:name="_Toc292559366"/>
      <w:bookmarkStart w:id="104" w:name="_Toc296890990"/>
      <w:bookmarkStart w:id="105" w:name="_Toc296347161"/>
      <w:bookmarkStart w:id="106" w:name="_Toc297048348"/>
      <w:bookmarkStart w:id="107" w:name="_Toc292559871"/>
      <w:bookmarkStart w:id="108" w:name="_Toc296346663"/>
      <w:bookmarkStart w:id="109" w:name="_Toc297120462"/>
      <w:bookmarkStart w:id="110" w:name="_Toc296503162"/>
      <w:bookmarkStart w:id="111" w:name="_Toc296944501"/>
      <w:bookmarkStart w:id="112" w:name="_Toc267251413"/>
      <w:bookmarkStart w:id="113" w:name="_Toc296891202"/>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监</w:t>
      </w:r>
      <w:bookmarkEnd w:id="103"/>
      <w:bookmarkEnd w:id="104"/>
      <w:bookmarkEnd w:id="105"/>
      <w:bookmarkEnd w:id="106"/>
      <w:bookmarkEnd w:id="107"/>
      <w:bookmarkEnd w:id="108"/>
      <w:bookmarkEnd w:id="109"/>
      <w:bookmarkEnd w:id="110"/>
      <w:bookmarkEnd w:id="111"/>
      <w:bookmarkEnd w:id="112"/>
      <w:bookmarkEnd w:id="113"/>
      <w:r>
        <w:rPr>
          <w:rFonts w:hint="eastAsia" w:ascii="Times New Roman" w:hAnsi="Times New Roman" w:eastAsia="宋体" w:cs="宋体"/>
          <w:color w:val="auto"/>
          <w:spacing w:val="0"/>
          <w:sz w:val="21"/>
          <w:szCs w:val="21"/>
          <w:highlight w:val="none"/>
          <w:lang w:val="en-US" w:eastAsia="zh-CN" w:bidi="ar"/>
        </w:rPr>
        <w:t>理人</w:t>
      </w:r>
      <w:bookmarkEnd w:id="102"/>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4.1监理人的一般规定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关于监理人的监理内容：</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关于监理人的监理权限：</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关于监理人在施工现场的办公场所、生活场所的提供和费用承担的约定：</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4.2 监理人员</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总监理工程师：</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姓    名：；</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职    务：；</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监理工程师执业资格证书号：；</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联系电话：；</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电子信箱：；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通信地址：；</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关于监理人的其他约定：。</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4.4 商定或确定</w:t>
      </w:r>
      <w:bookmarkStart w:id="114" w:name="_Toc267251418"/>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在发包人和承包人不能通过协商达成一致意见时，发包人授权监理人对以下事项进行确定：</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Start w:id="115" w:name="_Toc351203637"/>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5</w:t>
      </w:r>
      <w:bookmarkEnd w:id="114"/>
      <w:bookmarkStart w:id="116" w:name="_Toc296944502"/>
      <w:bookmarkStart w:id="117" w:name="_Toc292559367"/>
      <w:bookmarkStart w:id="118" w:name="_Toc292559872"/>
      <w:bookmarkStart w:id="119" w:name="_Toc297048349"/>
      <w:bookmarkStart w:id="120" w:name="_Toc297120463"/>
      <w:bookmarkStart w:id="121" w:name="_Toc296503163"/>
      <w:bookmarkStart w:id="122" w:name="_Toc296347162"/>
      <w:bookmarkStart w:id="123" w:name="_Toc296891203"/>
      <w:bookmarkStart w:id="124" w:name="_Toc296890991"/>
      <w:bookmarkStart w:id="125" w:name="_Toc296346664"/>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工程质量</w:t>
      </w:r>
      <w:bookmarkEnd w:id="115"/>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5.1 质量要求</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w:t>
      </w:r>
      <w:bookmarkStart w:id="126" w:name="_Toc297123496"/>
      <w:bookmarkStart w:id="127" w:name="_Toc318581164"/>
      <w:bookmarkStart w:id="128" w:name="_Toc303539106"/>
      <w:bookmarkStart w:id="129" w:name="_Toc297216155"/>
      <w:bookmarkStart w:id="130" w:name="_Toc304295527"/>
      <w:bookmarkStart w:id="131" w:name="_Toc312677997"/>
      <w:bookmarkStart w:id="132" w:name="_Toc300934949"/>
      <w:r>
        <w:rPr>
          <w:rFonts w:hint="eastAsia" w:ascii="宋体" w:hAnsi="宋体" w:eastAsia="宋体" w:cs="宋体"/>
          <w:color w:val="auto"/>
          <w:spacing w:val="0"/>
          <w:sz w:val="21"/>
          <w:szCs w:val="21"/>
          <w:highlight w:val="none"/>
          <w:lang w:val="en-US" w:eastAsia="zh-CN" w:bidi="ar"/>
        </w:rPr>
        <w:t>.1.1 特殊质量标准和要求：</w:t>
      </w:r>
      <w:r>
        <w:rPr>
          <w:rFonts w:hint="eastAsia" w:ascii="宋体" w:hAnsi="宋体" w:eastAsia="宋体" w:cs="宋体"/>
          <w:color w:val="auto"/>
          <w:spacing w:val="0"/>
          <w:sz w:val="21"/>
          <w:szCs w:val="21"/>
          <w:highlight w:val="none"/>
          <w:u w:val="single"/>
          <w:lang w:val="en-US" w:eastAsia="zh-CN" w:bidi="ar"/>
        </w:rPr>
        <w:t>工程质量必须达到国家施工质量验收规范合格标准</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关于工程奖项的约定：</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5.2 质量保证措施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 w:val="24"/>
          <w:szCs w:val="20"/>
          <w:highlight w:val="none"/>
          <w:lang w:val="en-US"/>
        </w:rPr>
      </w:pPr>
      <w:r>
        <w:rPr>
          <w:rFonts w:hint="eastAsia" w:ascii="宋体" w:hAnsi="宋体" w:eastAsia="宋体" w:cs="宋体"/>
          <w:color w:val="auto"/>
          <w:spacing w:val="0"/>
          <w:sz w:val="21"/>
          <w:szCs w:val="21"/>
          <w:highlight w:val="none"/>
          <w:lang w:val="en-US" w:eastAsia="zh-CN" w:bidi="ar"/>
        </w:rPr>
        <w:t xml:space="preserve">5.2.2 </w:t>
      </w:r>
      <w:r>
        <w:rPr>
          <w:rFonts w:hint="eastAsia" w:ascii="宋体" w:hAnsi="宋体" w:eastAsia="宋体" w:cs="宋体"/>
          <w:color w:val="auto"/>
          <w:spacing w:val="0"/>
          <w:sz w:val="21"/>
          <w:szCs w:val="21"/>
          <w:highlight w:val="none"/>
          <w:u w:val="single"/>
          <w:lang w:val="en-US" w:eastAsia="zh-CN" w:bidi="ar"/>
        </w:rPr>
        <w:t>承包人必须严格按照施工图纸、工程技术要求及有关工程施工规范、规格和标准施工，并无条件的接受发包人委托的监理单位全方位、全过程的监督管理。无论监理工程师是 否进行并通过了各项检验，均不解除承包人对自己承包的工程的质量所负的责任。 除非质量问题是由非承包人原因引起的，而此类质量问题承包人须及时通知监理工程师。 质量保证体系：承包人应按照合同规定，必须进行质量管理（QC），承包人应以 GB/T19000 《质量管理与质量保证》为标准，建立并保持一个健全的工程质量保证体系，完善质量管理 制度，建立质量控制流程。 对造成质量未达到约定标准双方都有过错的，按各自责任大小承担损失。具体由双方友好协商，协商不成提交建设行政主管部门进行调解或向南通仲裁委提出仲裁</w:t>
      </w:r>
      <w:r>
        <w:rPr>
          <w:rFonts w:hint="eastAsia" w:ascii="宋体" w:hAnsi="宋体" w:eastAsia="宋体" w:cs="宋体"/>
          <w:color w:val="auto"/>
          <w:spacing w:val="0"/>
          <w:sz w:val="24"/>
          <w:szCs w:val="24"/>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5.3 隐蔽工程检查</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5.3.2承包人提前通知监理人隐蔽工程检查的期限的约定：</w:t>
      </w:r>
      <w:r>
        <w:rPr>
          <w:rFonts w:hint="eastAsia" w:ascii="宋体" w:hAnsi="宋体" w:eastAsia="宋体" w:cs="宋体"/>
          <w:bCs/>
          <w:color w:val="auto"/>
          <w:spacing w:val="0"/>
          <w:sz w:val="21"/>
          <w:szCs w:val="21"/>
          <w:highlight w:val="none"/>
          <w:u w:val="single"/>
          <w:lang w:val="en-US" w:eastAsia="zh-CN" w:bidi="ar"/>
        </w:rPr>
        <w:t>共同检查前48小时书面通知监理人</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监理人不能按时进行检查时，应提前</w:t>
      </w:r>
      <w:r>
        <w:rPr>
          <w:rFonts w:hint="eastAsia" w:ascii="宋体" w:hAnsi="宋体" w:eastAsia="宋体" w:cs="宋体"/>
          <w:bCs/>
          <w:color w:val="auto"/>
          <w:spacing w:val="0"/>
          <w:sz w:val="21"/>
          <w:szCs w:val="21"/>
          <w:highlight w:val="none"/>
          <w:u w:val="single"/>
          <w:lang w:val="en-US" w:eastAsia="zh-CN" w:bidi="ar"/>
        </w:rPr>
        <w:t>24</w:t>
      </w:r>
      <w:r>
        <w:rPr>
          <w:rFonts w:hint="eastAsia" w:ascii="宋体" w:hAnsi="宋体" w:eastAsia="宋体" w:cs="宋体"/>
          <w:color w:val="auto"/>
          <w:spacing w:val="0"/>
          <w:sz w:val="21"/>
          <w:szCs w:val="21"/>
          <w:highlight w:val="none"/>
          <w:lang w:val="en-US" w:eastAsia="zh-CN" w:bidi="ar"/>
        </w:rPr>
        <w:t>小时提交书面延期要求。</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关于延期最长不得超过：</w:t>
      </w:r>
      <w:r>
        <w:rPr>
          <w:rFonts w:hint="eastAsia" w:ascii="宋体" w:hAnsi="宋体" w:eastAsia="宋体" w:cs="宋体"/>
          <w:bCs/>
          <w:color w:val="auto"/>
          <w:spacing w:val="0"/>
          <w:sz w:val="21"/>
          <w:szCs w:val="21"/>
          <w:highlight w:val="none"/>
          <w:u w:val="single"/>
          <w:lang w:val="en-US" w:eastAsia="zh-CN" w:bidi="ar"/>
        </w:rPr>
        <w:t>48</w:t>
      </w:r>
      <w:r>
        <w:rPr>
          <w:rFonts w:hint="eastAsia" w:ascii="宋体" w:hAnsi="宋体" w:eastAsia="宋体" w:cs="宋体"/>
          <w:color w:val="auto"/>
          <w:spacing w:val="0"/>
          <w:sz w:val="21"/>
          <w:szCs w:val="21"/>
          <w:highlight w:val="none"/>
          <w:lang w:val="en-US" w:eastAsia="zh-CN" w:bidi="ar"/>
        </w:rPr>
        <w:t>小时。</w:t>
      </w:r>
      <w:bookmarkStart w:id="133" w:name="_Toc351203638"/>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6. </w:t>
      </w:r>
      <w:r>
        <w:rPr>
          <w:rFonts w:hint="eastAsia" w:ascii="Times New Roman" w:hAnsi="Times New Roman" w:eastAsia="宋体" w:cs="宋体"/>
          <w:color w:val="auto"/>
          <w:spacing w:val="0"/>
          <w:sz w:val="21"/>
          <w:szCs w:val="21"/>
          <w:highlight w:val="none"/>
          <w:lang w:val="en-US" w:eastAsia="zh-CN" w:bidi="ar"/>
        </w:rPr>
        <w:t>安全文明施工与环境保护</w:t>
      </w:r>
      <w:bookmarkEnd w:id="133"/>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6.1安全文明施工</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 w:val="24"/>
          <w:szCs w:val="20"/>
          <w:highlight w:val="none"/>
          <w:lang w:val="en-US"/>
        </w:rPr>
      </w:pPr>
      <w:r>
        <w:rPr>
          <w:rFonts w:hint="eastAsia" w:ascii="宋体" w:hAnsi="宋体" w:eastAsia="宋体" w:cs="宋体"/>
          <w:color w:val="auto"/>
          <w:spacing w:val="0"/>
          <w:sz w:val="21"/>
          <w:szCs w:val="21"/>
          <w:highlight w:val="none"/>
          <w:lang w:val="en-US" w:eastAsia="zh-CN" w:bidi="ar"/>
        </w:rPr>
        <w:t>6.1.1 项目安全生产的达标目标及相应事项的约定：</w:t>
      </w:r>
      <w:r>
        <w:rPr>
          <w:rFonts w:hint="eastAsia" w:ascii="宋体" w:hAnsi="宋体" w:eastAsia="宋体" w:cs="宋体"/>
          <w:color w:val="auto"/>
          <w:spacing w:val="0"/>
          <w:sz w:val="21"/>
          <w:szCs w:val="21"/>
          <w:highlight w:val="none"/>
          <w:u w:val="single"/>
          <w:lang w:val="en-US" w:eastAsia="zh-CN" w:bidi="ar"/>
        </w:rPr>
        <w:t>要求达到《建筑施工安全检查标准》（JGJ59-2011）标准</w:t>
      </w:r>
      <w:r>
        <w:rPr>
          <w:rFonts w:hint="eastAsia" w:ascii="宋体" w:hAnsi="宋体" w:eastAsia="宋体" w:cs="宋体"/>
          <w:color w:val="auto"/>
          <w:spacing w:val="0"/>
          <w:sz w:val="24"/>
          <w:szCs w:val="24"/>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6.1.4 关于治安保卫的特别约定：</w:t>
      </w:r>
      <w:r>
        <w:rPr>
          <w:rFonts w:hint="eastAsia" w:ascii="宋体" w:hAnsi="宋体" w:eastAsia="宋体" w:cs="宋体"/>
          <w:color w:val="auto"/>
          <w:spacing w:val="0"/>
          <w:sz w:val="21"/>
          <w:szCs w:val="21"/>
          <w:highlight w:val="none"/>
          <w:u w:val="single"/>
          <w:lang w:val="en-US" w:eastAsia="zh-CN" w:bidi="ar"/>
        </w:rPr>
        <w:t>按通用条款有关规定执行。</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关于编制施工场地治安管理计划的约定：</w:t>
      </w:r>
      <w:r>
        <w:rPr>
          <w:rFonts w:hint="eastAsia" w:ascii="宋体" w:hAnsi="宋体" w:eastAsia="宋体" w:cs="宋体"/>
          <w:color w:val="auto"/>
          <w:spacing w:val="0"/>
          <w:sz w:val="21"/>
          <w:szCs w:val="21"/>
          <w:highlight w:val="none"/>
          <w:u w:val="single"/>
          <w:lang w:val="en-US" w:eastAsia="zh-CN" w:bidi="ar"/>
        </w:rPr>
        <w:t>按通用条款有关规定执行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6.1.5 文明施工</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合同当事人对文明施工的要求：</w:t>
      </w:r>
      <w:r>
        <w:rPr>
          <w:rFonts w:hint="eastAsia" w:ascii="宋体" w:hAnsi="宋体" w:eastAsia="宋体" w:cs="宋体"/>
          <w:bCs/>
          <w:color w:val="auto"/>
          <w:spacing w:val="0"/>
          <w:sz w:val="21"/>
          <w:szCs w:val="21"/>
          <w:highlight w:val="none"/>
          <w:u w:val="single"/>
          <w:lang w:val="en-US" w:eastAsia="zh-CN" w:bidi="ar"/>
        </w:rPr>
        <w:t>必须按照工程所在地有关部门要求执行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6.1.6 关于安全文明施工费支付比例和支付期限的约定：</w:t>
      </w:r>
      <w:bookmarkEnd w:id="126"/>
      <w:bookmarkEnd w:id="127"/>
      <w:bookmarkEnd w:id="128"/>
      <w:bookmarkEnd w:id="129"/>
      <w:bookmarkEnd w:id="130"/>
      <w:bookmarkEnd w:id="131"/>
      <w:bookmarkEnd w:id="132"/>
      <w:bookmarkStart w:id="134" w:name="_Toc351203639"/>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7. </w:t>
      </w:r>
      <w:r>
        <w:rPr>
          <w:rFonts w:hint="eastAsia" w:ascii="Times New Roman" w:hAnsi="Times New Roman" w:eastAsia="宋体" w:cs="宋体"/>
          <w:color w:val="auto"/>
          <w:spacing w:val="0"/>
          <w:sz w:val="21"/>
          <w:szCs w:val="21"/>
          <w:highlight w:val="none"/>
          <w:lang w:val="en-US" w:eastAsia="zh-CN" w:bidi="ar"/>
        </w:rPr>
        <w:t>工期和进度</w:t>
      </w:r>
      <w:bookmarkEnd w:id="134"/>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7.1 施工组织设计</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7.1.1 合同当事人约定的施工组织设计应包括的其他内容：</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7.1.2 施工组织设计的提交和修改</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承包人提交详细施工组织设计的期限的约定：</w:t>
      </w:r>
      <w:r>
        <w:rPr>
          <w:rFonts w:hint="eastAsia" w:ascii="宋体" w:hAnsi="宋体" w:eastAsia="宋体" w:cs="宋体"/>
          <w:bCs/>
          <w:color w:val="auto"/>
          <w:spacing w:val="0"/>
          <w:sz w:val="21"/>
          <w:szCs w:val="21"/>
          <w:highlight w:val="none"/>
          <w:u w:val="single"/>
          <w:lang w:val="en-US" w:eastAsia="zh-CN" w:bidi="ar"/>
        </w:rPr>
        <w:t>开工日期7天前</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发包人和监理人在收到详细的施工组织设计后确认或提出修改意见的期限：</w:t>
      </w:r>
      <w:r>
        <w:rPr>
          <w:rFonts w:hint="eastAsia" w:ascii="宋体" w:hAnsi="宋体" w:eastAsia="宋体" w:cs="宋体"/>
          <w:bCs/>
          <w:color w:val="auto"/>
          <w:spacing w:val="0"/>
          <w:sz w:val="21"/>
          <w:szCs w:val="21"/>
          <w:highlight w:val="none"/>
          <w:u w:val="single"/>
          <w:lang w:val="en-US" w:eastAsia="zh-CN" w:bidi="ar"/>
        </w:rPr>
        <w:t>7天内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w:t>
      </w:r>
      <w:bookmarkStart w:id="135" w:name="_Toc312677479"/>
      <w:bookmarkStart w:id="136" w:name="_Toc303539123"/>
      <w:bookmarkStart w:id="137" w:name="_Toc304295541"/>
      <w:bookmarkStart w:id="138" w:name="_Toc297123514"/>
      <w:bookmarkStart w:id="139" w:name="_Toc300934966"/>
      <w:bookmarkStart w:id="140" w:name="_Toc312678005"/>
      <w:bookmarkStart w:id="141" w:name="_Toc297216173"/>
      <w:r>
        <w:rPr>
          <w:rFonts w:hint="eastAsia" w:ascii="宋体" w:hAnsi="宋体" w:eastAsia="宋体" w:cs="宋体"/>
          <w:color w:val="auto"/>
          <w:spacing w:val="0"/>
          <w:sz w:val="21"/>
          <w:szCs w:val="21"/>
          <w:highlight w:val="none"/>
          <w:lang w:val="en-US" w:eastAsia="zh-CN" w:bidi="ar"/>
        </w:rPr>
        <w:t>.2 施工进度计划</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7.2.2 施工进度计划的修订</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发包人和监理人在收到修订的施工进度计划后确认或提出修改意见的期限：</w:t>
      </w:r>
      <w:r>
        <w:rPr>
          <w:rFonts w:hint="eastAsia" w:ascii="宋体" w:hAnsi="宋体" w:eastAsia="宋体" w:cs="宋体"/>
          <w:bCs/>
          <w:color w:val="auto"/>
          <w:spacing w:val="0"/>
          <w:sz w:val="21"/>
          <w:szCs w:val="21"/>
          <w:highlight w:val="none"/>
          <w:u w:val="single"/>
          <w:lang w:val="en-US" w:eastAsia="zh-CN" w:bidi="ar"/>
        </w:rPr>
        <w:t>7天内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7.3 开工</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7.3.1 开工准备</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关于承包人提交工程开工报审表的期限：</w:t>
      </w:r>
      <w:r>
        <w:rPr>
          <w:rFonts w:hint="eastAsia" w:ascii="宋体" w:hAnsi="宋体" w:eastAsia="宋体" w:cs="宋体"/>
          <w:bCs/>
          <w:color w:val="auto"/>
          <w:spacing w:val="0"/>
          <w:sz w:val="21"/>
          <w:szCs w:val="21"/>
          <w:highlight w:val="none"/>
          <w:u w:val="single"/>
          <w:lang w:val="en-US" w:eastAsia="zh-CN" w:bidi="ar"/>
        </w:rPr>
        <w:t>在工程准备工作完成后，计划开工日期7天前提交开工报审表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关于发包人应完成的其他开工准备工作及期限：</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关于承包人应完成的其他开工准备工作及期限：</w:t>
      </w:r>
      <w:r>
        <w:rPr>
          <w:rFonts w:hint="eastAsia" w:ascii="宋体" w:hAnsi="宋体" w:eastAsia="宋体" w:cs="宋体"/>
          <w:bCs/>
          <w:color w:val="auto"/>
          <w:spacing w:val="0"/>
          <w:sz w:val="21"/>
          <w:szCs w:val="21"/>
          <w:highlight w:val="none"/>
          <w:u w:val="single"/>
          <w:lang w:val="en-US" w:eastAsia="zh-CN" w:bidi="ar"/>
        </w:rPr>
        <w:t>在合同签订后7日内管理人员进场， 及设备进场，正式开工。</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7.3.2开工通知</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因发包人原因造成监理人未能在计划开工日期之日起</w:t>
      </w:r>
      <w:r>
        <w:rPr>
          <w:rFonts w:hint="eastAsia" w:ascii="宋体" w:hAnsi="宋体" w:eastAsia="宋体" w:cs="宋体"/>
          <w:bCs/>
          <w:color w:val="auto"/>
          <w:spacing w:val="0"/>
          <w:sz w:val="21"/>
          <w:szCs w:val="21"/>
          <w:highlight w:val="none"/>
          <w:u w:val="single"/>
          <w:lang w:val="en-US" w:eastAsia="zh-CN" w:bidi="ar"/>
        </w:rPr>
        <w:t>90</w:t>
      </w:r>
      <w:r>
        <w:rPr>
          <w:rFonts w:hint="eastAsia" w:ascii="宋体" w:hAnsi="宋体" w:eastAsia="宋体" w:cs="宋体"/>
          <w:color w:val="auto"/>
          <w:spacing w:val="0"/>
          <w:sz w:val="21"/>
          <w:szCs w:val="21"/>
          <w:highlight w:val="none"/>
          <w:lang w:val="en-US" w:eastAsia="zh-CN" w:bidi="ar"/>
        </w:rPr>
        <w:t>天内发出开工通知的，承包人有权提出价格调整要求，或者解除合同。</w:t>
      </w:r>
      <w:bookmarkEnd w:id="135"/>
      <w:bookmarkEnd w:id="136"/>
      <w:bookmarkEnd w:id="137"/>
      <w:bookmarkEnd w:id="138"/>
      <w:bookmarkEnd w:id="139"/>
      <w:bookmarkEnd w:id="140"/>
      <w:bookmarkEnd w:id="14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7.4 测量放线</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7.4.1发包人通过监理人向承包人提供测量基准点、基准线和水准点及其书面资料的期限：</w:t>
      </w:r>
      <w:r>
        <w:rPr>
          <w:rFonts w:hint="eastAsia" w:ascii="宋体" w:hAnsi="宋体" w:eastAsia="宋体" w:cs="宋体"/>
          <w:color w:val="auto"/>
          <w:spacing w:val="0"/>
          <w:sz w:val="21"/>
          <w:szCs w:val="21"/>
          <w:highlight w:val="none"/>
          <w:u w:val="single"/>
          <w:lang w:val="en-US" w:eastAsia="zh-CN" w:bidi="ar"/>
        </w:rPr>
        <w:t>以书面形式交给承包人，并于开工前进行现场交验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w:t>
      </w:r>
      <w:bookmarkStart w:id="142" w:name="_Toc297216175"/>
      <w:bookmarkStart w:id="143" w:name="_Toc300934968"/>
      <w:bookmarkStart w:id="144" w:name="_Toc312677484"/>
      <w:bookmarkStart w:id="145" w:name="_Toc304295546"/>
      <w:bookmarkStart w:id="146" w:name="_Toc303539125"/>
      <w:bookmarkStart w:id="147" w:name="_Toc297123516"/>
      <w:bookmarkStart w:id="148" w:name="_Toc312678010"/>
      <w:r>
        <w:rPr>
          <w:rFonts w:hint="eastAsia" w:ascii="宋体" w:hAnsi="宋体" w:eastAsia="宋体" w:cs="宋体"/>
          <w:color w:val="auto"/>
          <w:spacing w:val="0"/>
          <w:sz w:val="21"/>
          <w:szCs w:val="21"/>
          <w:highlight w:val="none"/>
          <w:lang w:val="en-US" w:eastAsia="zh-CN" w:bidi="ar"/>
        </w:rPr>
        <w:t>.5 工期延误</w:t>
      </w:r>
      <w:bookmarkEnd w:id="142"/>
      <w:bookmarkEnd w:id="143"/>
      <w:bookmarkEnd w:id="144"/>
      <w:bookmarkEnd w:id="145"/>
      <w:bookmarkEnd w:id="146"/>
      <w:bookmarkEnd w:id="147"/>
      <w:bookmarkEnd w:id="148"/>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7.5.1 因发包人原因导致工期延误</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（7）因发包人原因导致工期延误的其他情形：</w:t>
      </w:r>
      <w:r>
        <w:rPr>
          <w:rFonts w:hint="eastAsia" w:ascii="宋体" w:hAnsi="宋体" w:eastAsia="宋体" w:cs="宋体"/>
          <w:bCs/>
          <w:color w:val="auto"/>
          <w:spacing w:val="0"/>
          <w:sz w:val="21"/>
          <w:szCs w:val="21"/>
          <w:highlight w:val="none"/>
          <w:u w:val="single"/>
          <w:lang w:val="en-US" w:eastAsia="zh-CN" w:bidi="ar"/>
        </w:rPr>
        <w:t>因发包人原因和国家行政要求的停工（非承包人原因），承包人必须按照相关规定，提供相关资料报监理工程师，经监理工程师及发包人审核并签证后，工期可顺延。但发包人不支付停工期间的窝工及机械停滞等产生的任何费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w:t>
      </w:r>
      <w:bookmarkStart w:id="149" w:name="_Toc312677486"/>
      <w:bookmarkStart w:id="150" w:name="_Toc312678012"/>
      <w:bookmarkStart w:id="151" w:name="_Toc318581169"/>
      <w:bookmarkStart w:id="152" w:name="_Toc297216177"/>
      <w:bookmarkStart w:id="153" w:name="_Toc297123518"/>
      <w:bookmarkStart w:id="154" w:name="_Toc304295548"/>
      <w:bookmarkStart w:id="155" w:name="_Toc300934970"/>
      <w:bookmarkStart w:id="156" w:name="_Toc303539127"/>
      <w:r>
        <w:rPr>
          <w:rFonts w:hint="eastAsia" w:ascii="宋体" w:hAnsi="宋体" w:eastAsia="宋体" w:cs="宋体"/>
          <w:color w:val="auto"/>
          <w:spacing w:val="0"/>
          <w:sz w:val="21"/>
          <w:szCs w:val="21"/>
          <w:highlight w:val="none"/>
          <w:lang w:val="en-US" w:eastAsia="zh-CN" w:bidi="ar"/>
        </w:rPr>
        <w:t>.5.2 因承包人原因导致工期延误</w:t>
      </w:r>
      <w:bookmarkEnd w:id="149"/>
      <w:bookmarkEnd w:id="150"/>
      <w:bookmarkEnd w:id="15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因</w:t>
      </w:r>
      <w:bookmarkStart w:id="157" w:name="_Toc318581170"/>
      <w:bookmarkStart w:id="158" w:name="_Toc312678013"/>
      <w:bookmarkStart w:id="159" w:name="_Toc312677487"/>
      <w:r>
        <w:rPr>
          <w:rFonts w:hint="eastAsia" w:ascii="宋体" w:hAnsi="宋体" w:eastAsia="宋体" w:cs="宋体"/>
          <w:color w:val="auto"/>
          <w:spacing w:val="0"/>
          <w:sz w:val="21"/>
          <w:szCs w:val="21"/>
          <w:highlight w:val="none"/>
          <w:lang w:val="en-US" w:eastAsia="zh-CN" w:bidi="ar"/>
        </w:rPr>
        <w:t>承包人原因造成工期延误，逾期竣工违约金的计算方法为：</w:t>
      </w:r>
      <w:r>
        <w:rPr>
          <w:rFonts w:hint="eastAsia" w:ascii="宋体" w:hAnsi="宋体" w:eastAsia="宋体" w:cs="宋体"/>
          <w:bCs/>
          <w:color w:val="auto"/>
          <w:spacing w:val="0"/>
          <w:sz w:val="21"/>
          <w:szCs w:val="21"/>
          <w:highlight w:val="none"/>
          <w:u w:val="single"/>
          <w:lang w:val="en-US" w:eastAsia="zh-CN" w:bidi="ar"/>
        </w:rPr>
        <w:t>违约金为10000元/天向发包人支付逾期竣工违约金，当工期延误达到15天时，发包人有权要求承包人退场，并赔偿发包人一切损失。</w:t>
      </w:r>
      <w:bookmarkEnd w:id="152"/>
      <w:bookmarkEnd w:id="153"/>
      <w:bookmarkEnd w:id="154"/>
      <w:bookmarkEnd w:id="155"/>
      <w:bookmarkEnd w:id="156"/>
      <w:bookmarkEnd w:id="157"/>
      <w:bookmarkEnd w:id="158"/>
      <w:bookmarkEnd w:id="15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因承包人原因造成工期延误，逾</w:t>
      </w:r>
      <w:bookmarkStart w:id="160" w:name="_Toc318581171"/>
      <w:bookmarkStart w:id="161" w:name="_Toc312678014"/>
      <w:r>
        <w:rPr>
          <w:rFonts w:hint="eastAsia" w:ascii="宋体" w:hAnsi="宋体" w:eastAsia="宋体" w:cs="宋体"/>
          <w:color w:val="auto"/>
          <w:spacing w:val="0"/>
          <w:sz w:val="21"/>
          <w:szCs w:val="21"/>
          <w:highlight w:val="none"/>
          <w:lang w:val="en-US" w:eastAsia="zh-CN" w:bidi="ar"/>
        </w:rPr>
        <w:t>期竣工违约金的上限：</w:t>
      </w:r>
      <w:r>
        <w:rPr>
          <w:rFonts w:hint="eastAsia" w:ascii="宋体" w:hAnsi="宋体" w:eastAsia="宋体" w:cs="宋体"/>
          <w:bCs/>
          <w:color w:val="auto"/>
          <w:spacing w:val="0"/>
          <w:sz w:val="21"/>
          <w:szCs w:val="21"/>
          <w:highlight w:val="none"/>
          <w:u w:val="single"/>
          <w:lang w:val="en-US" w:eastAsia="zh-CN" w:bidi="ar"/>
        </w:rPr>
        <w:t>总额不超过合同价款的20%</w:t>
      </w:r>
      <w:r>
        <w:rPr>
          <w:rFonts w:hint="eastAsia" w:ascii="宋体" w:hAnsi="宋体" w:eastAsia="宋体" w:cs="宋体"/>
          <w:color w:val="auto"/>
          <w:spacing w:val="0"/>
          <w:sz w:val="21"/>
          <w:szCs w:val="21"/>
          <w:highlight w:val="none"/>
          <w:lang w:val="en-US" w:eastAsia="zh-CN" w:bidi="ar"/>
        </w:rPr>
        <w:t>。</w:t>
      </w:r>
      <w:bookmarkEnd w:id="160"/>
      <w:bookmarkEnd w:id="16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w:t>
      </w:r>
      <w:bookmarkStart w:id="162" w:name="_Toc304295549"/>
      <w:bookmarkStart w:id="163" w:name="_Toc300934971"/>
      <w:bookmarkStart w:id="164" w:name="_Toc312678015"/>
      <w:bookmarkStart w:id="165" w:name="_Toc297216178"/>
      <w:bookmarkStart w:id="166" w:name="_Toc297123519"/>
      <w:bookmarkStart w:id="167" w:name="_Toc303539128"/>
      <w:r>
        <w:rPr>
          <w:rFonts w:hint="eastAsia" w:ascii="宋体" w:hAnsi="宋体" w:eastAsia="宋体" w:cs="宋体"/>
          <w:color w:val="auto"/>
          <w:spacing w:val="0"/>
          <w:sz w:val="21"/>
          <w:szCs w:val="21"/>
          <w:highlight w:val="none"/>
          <w:lang w:val="en-US" w:eastAsia="zh-CN" w:bidi="ar"/>
        </w:rPr>
        <w:t>.6 不</w:t>
      </w:r>
      <w:bookmarkEnd w:id="162"/>
      <w:bookmarkEnd w:id="163"/>
      <w:bookmarkEnd w:id="164"/>
      <w:bookmarkEnd w:id="165"/>
      <w:bookmarkEnd w:id="166"/>
      <w:bookmarkEnd w:id="167"/>
      <w:r>
        <w:rPr>
          <w:rFonts w:hint="eastAsia" w:ascii="宋体" w:hAnsi="宋体" w:eastAsia="宋体" w:cs="宋体"/>
          <w:color w:val="auto"/>
          <w:spacing w:val="0"/>
          <w:sz w:val="21"/>
          <w:szCs w:val="21"/>
          <w:highlight w:val="none"/>
          <w:lang w:val="en-US" w:eastAsia="zh-CN" w:bidi="ar"/>
        </w:rPr>
        <w:t>利物质条件</w:t>
      </w:r>
      <w:bookmarkStart w:id="168" w:name="_Toc303539129"/>
      <w:bookmarkStart w:id="169" w:name="_Toc312678016"/>
      <w:bookmarkStart w:id="170" w:name="_Toc297216179"/>
      <w:bookmarkStart w:id="171" w:name="_Toc304295550"/>
      <w:bookmarkStart w:id="172" w:name="_Toc318581172"/>
      <w:bookmarkStart w:id="173" w:name="_Toc300934972"/>
      <w:bookmarkStart w:id="174" w:name="_Toc29712352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不利物质条件的其他情形和有关约定：</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bookmarkEnd w:id="168"/>
      <w:bookmarkEnd w:id="169"/>
      <w:bookmarkEnd w:id="170"/>
      <w:bookmarkEnd w:id="171"/>
      <w:bookmarkEnd w:id="172"/>
      <w:bookmarkEnd w:id="173"/>
      <w:bookmarkEnd w:id="174"/>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w:t>
      </w:r>
      <w:bookmarkStart w:id="175" w:name="_Toc312678017"/>
      <w:bookmarkStart w:id="176" w:name="_Toc303539130"/>
      <w:bookmarkStart w:id="177" w:name="_Toc304295551"/>
      <w:bookmarkStart w:id="178" w:name="_Toc297216180"/>
      <w:bookmarkStart w:id="179" w:name="_Toc300934973"/>
      <w:bookmarkStart w:id="180" w:name="_Toc297123521"/>
      <w:r>
        <w:rPr>
          <w:rFonts w:hint="eastAsia" w:ascii="宋体" w:hAnsi="宋体" w:eastAsia="宋体" w:cs="宋体"/>
          <w:color w:val="auto"/>
          <w:spacing w:val="0"/>
          <w:sz w:val="21"/>
          <w:szCs w:val="21"/>
          <w:highlight w:val="none"/>
          <w:lang w:val="en-US" w:eastAsia="zh-CN" w:bidi="ar"/>
        </w:rPr>
        <w:t>.7异常恶劣的气候条件</w:t>
      </w:r>
      <w:bookmarkEnd w:id="175"/>
      <w:bookmarkEnd w:id="176"/>
      <w:bookmarkEnd w:id="177"/>
      <w:bookmarkEnd w:id="178"/>
      <w:bookmarkEnd w:id="179"/>
      <w:bookmarkEnd w:id="18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发包人和承包人同意以下情形视为异常恶劣的气候条件：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r>
        <w:rPr>
          <w:rFonts w:hint="eastAsia" w:ascii="宋体" w:hAnsi="宋体" w:eastAsia="宋体" w:cs="宋体"/>
          <w:bCs/>
          <w:color w:val="auto"/>
          <w:spacing w:val="0"/>
          <w:sz w:val="21"/>
          <w:szCs w:val="21"/>
          <w:highlight w:val="none"/>
          <w:u w:val="single"/>
          <w:lang w:val="en-US" w:eastAsia="zh-CN" w:bidi="ar"/>
        </w:rPr>
        <w:t>6级以上持续24小时的大风</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w:t>
      </w:r>
      <w:r>
        <w:rPr>
          <w:rFonts w:hint="eastAsia" w:ascii="宋体" w:hAnsi="宋体" w:eastAsia="宋体" w:cs="宋体"/>
          <w:bCs/>
          <w:color w:val="auto"/>
          <w:spacing w:val="0"/>
          <w:sz w:val="21"/>
          <w:szCs w:val="21"/>
          <w:highlight w:val="none"/>
          <w:u w:val="single"/>
          <w:lang w:val="en-US" w:eastAsia="zh-CN" w:bidi="ar"/>
        </w:rPr>
        <w:t>持续降雨24小时且降雨量200mm以上；下雪为100mm以上</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w:t>
      </w:r>
      <w:r>
        <w:rPr>
          <w:rFonts w:hint="eastAsia" w:ascii="宋体" w:hAnsi="宋体" w:eastAsia="宋体" w:cs="宋体"/>
          <w:bCs/>
          <w:color w:val="auto"/>
          <w:spacing w:val="0"/>
          <w:sz w:val="21"/>
          <w:szCs w:val="21"/>
          <w:highlight w:val="none"/>
          <w:u w:val="single"/>
          <w:lang w:val="en-US" w:eastAsia="zh-CN" w:bidi="ar"/>
        </w:rPr>
        <w:t>40℃及以上持续24小时的高温</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7.9 提前竣工的奖励</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7.9.2提前竣工的奖励：</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bookmarkStart w:id="181" w:name="_Toc351203640"/>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8. </w:t>
      </w:r>
      <w:r>
        <w:rPr>
          <w:rFonts w:hint="eastAsia" w:ascii="Times New Roman" w:hAnsi="Times New Roman" w:eastAsia="宋体" w:cs="宋体"/>
          <w:color w:val="auto"/>
          <w:spacing w:val="0"/>
          <w:sz w:val="21"/>
          <w:szCs w:val="21"/>
          <w:highlight w:val="none"/>
          <w:lang w:val="en-US" w:eastAsia="zh-CN" w:bidi="ar"/>
        </w:rPr>
        <w:t>材料与设备</w:t>
      </w:r>
      <w:bookmarkEnd w:id="116"/>
      <w:bookmarkEnd w:id="117"/>
      <w:bookmarkEnd w:id="118"/>
      <w:bookmarkEnd w:id="119"/>
      <w:bookmarkEnd w:id="120"/>
      <w:bookmarkEnd w:id="121"/>
      <w:bookmarkEnd w:id="122"/>
      <w:bookmarkEnd w:id="123"/>
      <w:bookmarkEnd w:id="124"/>
      <w:bookmarkEnd w:id="125"/>
      <w:bookmarkEnd w:id="18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w:t>
      </w:r>
      <w:bookmarkStart w:id="182" w:name="_Toc297123527"/>
      <w:bookmarkStart w:id="183" w:name="_Toc304295556"/>
      <w:bookmarkStart w:id="184" w:name="_Toc297048353"/>
      <w:bookmarkStart w:id="185" w:name="_Toc297120467"/>
      <w:bookmarkStart w:id="186" w:name="_Toc297216186"/>
      <w:bookmarkStart w:id="187" w:name="_Toc296347166"/>
      <w:bookmarkStart w:id="188" w:name="_Toc296890995"/>
      <w:bookmarkStart w:id="189" w:name="_Toc312677493"/>
      <w:bookmarkStart w:id="190" w:name="_Toc312678019"/>
      <w:bookmarkStart w:id="191" w:name="_Toc280868654"/>
      <w:bookmarkStart w:id="192" w:name="_Toc300934979"/>
      <w:bookmarkStart w:id="193" w:name="_Toc303539136"/>
      <w:bookmarkStart w:id="194" w:name="_Toc292559877"/>
      <w:bookmarkStart w:id="195" w:name="_Toc296503167"/>
      <w:bookmarkStart w:id="196" w:name="_Toc296891207"/>
      <w:bookmarkStart w:id="197" w:name="_Toc292559372"/>
      <w:bookmarkStart w:id="198" w:name="_Toc296346668"/>
      <w:bookmarkStart w:id="199" w:name="_Toc296944506"/>
      <w:bookmarkStart w:id="200" w:name="_Toc280868655"/>
      <w:bookmarkStart w:id="201" w:name="_Toc280868656"/>
      <w:bookmarkStart w:id="202" w:name="_Toc267251424"/>
      <w:r>
        <w:rPr>
          <w:rFonts w:hint="eastAsia" w:ascii="宋体" w:hAnsi="宋体" w:eastAsia="宋体" w:cs="宋体"/>
          <w:color w:val="auto"/>
          <w:spacing w:val="0"/>
          <w:sz w:val="21"/>
          <w:szCs w:val="21"/>
          <w:highlight w:val="none"/>
          <w:lang w:val="en-US" w:eastAsia="zh-CN" w:bidi="ar"/>
        </w:rPr>
        <w:t>.4材料与工程设备的保管与使用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8</w:t>
      </w:r>
      <w:bookmarkStart w:id="203" w:name="_Toc292559373"/>
      <w:bookmarkStart w:id="204" w:name="_Toc292559878"/>
      <w:bookmarkStart w:id="205" w:name="_Toc296890996"/>
      <w:bookmarkStart w:id="206" w:name="_Toc318581173"/>
      <w:bookmarkStart w:id="207" w:name="_Toc296347167"/>
      <w:bookmarkStart w:id="208" w:name="_Toc304295557"/>
      <w:bookmarkStart w:id="209" w:name="_Toc312678020"/>
      <w:bookmarkStart w:id="210" w:name="_Toc296944507"/>
      <w:bookmarkStart w:id="211" w:name="_Toc296503168"/>
      <w:bookmarkStart w:id="212" w:name="_Toc296346669"/>
      <w:bookmarkStart w:id="213" w:name="_Toc300934980"/>
      <w:bookmarkStart w:id="214" w:name="_Toc312677494"/>
      <w:bookmarkStart w:id="215" w:name="_Toc296891208"/>
      <w:bookmarkStart w:id="216" w:name="_Toc297216187"/>
      <w:bookmarkStart w:id="217" w:name="_Toc297123528"/>
      <w:bookmarkStart w:id="218" w:name="_Toc297048354"/>
      <w:bookmarkStart w:id="219" w:name="_Toc303539137"/>
      <w:bookmarkStart w:id="220" w:name="_Toc297120468"/>
      <w:r>
        <w:rPr>
          <w:rFonts w:hint="eastAsia" w:ascii="宋体" w:hAnsi="宋体" w:eastAsia="宋体" w:cs="宋体"/>
          <w:color w:val="auto"/>
          <w:spacing w:val="0"/>
          <w:sz w:val="21"/>
          <w:szCs w:val="21"/>
          <w:highlight w:val="none"/>
          <w:lang w:val="en-US" w:eastAsia="zh-CN" w:bidi="ar"/>
        </w:rPr>
        <w:t>.4.1发包人供应的材料设备的保管费用的承担：</w:t>
      </w:r>
      <w:r>
        <w:rPr>
          <w:rFonts w:hint="eastAsia" w:ascii="宋体" w:hAnsi="宋体" w:eastAsia="宋体" w:cs="宋体"/>
          <w:bCs/>
          <w:color w:val="auto"/>
          <w:spacing w:val="0"/>
          <w:sz w:val="21"/>
          <w:szCs w:val="21"/>
          <w:highlight w:val="none"/>
          <w:u w:val="single"/>
          <w:lang w:val="en-US" w:eastAsia="zh-CN" w:bidi="ar"/>
        </w:rPr>
        <w:t>如有，由承包人承担。</w:t>
      </w:r>
      <w:bookmarkEnd w:id="203"/>
      <w:bookmarkEnd w:id="204"/>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8.6 样品</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8.6.1 样品的报送与封存</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bCs/>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lang w:val="en-US" w:eastAsia="zh-CN" w:bidi="ar"/>
        </w:rPr>
        <w:t>需要承包人报送样品的材料或工程设备，样品的种类、名称、规格、数量要求：</w:t>
      </w:r>
      <w:r>
        <w:rPr>
          <w:rFonts w:hint="eastAsia" w:ascii="宋体" w:hAnsi="宋体" w:eastAsia="宋体" w:cs="宋体"/>
          <w:bCs/>
          <w:color w:val="auto"/>
          <w:spacing w:val="0"/>
          <w:sz w:val="21"/>
          <w:szCs w:val="21"/>
          <w:highlight w:val="none"/>
          <w:u w:val="single"/>
          <w:lang w:val="en-US" w:eastAsia="zh-CN" w:bidi="ar"/>
        </w:rPr>
        <w:t>材料、设备采购应根据本采购文件、设计技术文件和国家有关规定的具体要求进行采购，合同签订后，应按照采购人要求提供拟采购的设备清单一览表，设备应满足采购文件要求，若不能满足采购文件要求的，应无条件更换；进场7日内承包人向发包人提交主要材料品牌及规格表，一经确认在施工中不得任意改变。如遇特殊情况需更改，应按原批准手续，办理监理、发包人的审批认可手续。但使用的材料生产厂家应达到发包人指定的厂家的水平。所有材料应有合格证、质保书，并经监理方、发包人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货合同（允许屏蔽价格）以及材料、设备的产地和原产厂家证明、产品合格证书、质保书、性能检测报告、现场见证取样试验报告，经监理方抽样检查并与封样进行对比，核对无误并经监理、发包人签字确认后方可进场用于施工。发包人对材料质量有疑问时，有权随时要求复试，复试不合格由承包人承担一切损失及费用，复试合格测试费用由发包人支付。承包人若使用不符合合同约定的材料施工，一经发现，发包人或监理人员有权制止使用，甚至要求其返工、停工或改变材料供应方式，直至终止合同；无论发包人、监理人员是否发现和制止，由于使用不符合合同约定的材料、设备施工后所引起的一切责任均由承包人自负。因承包人未能及时付款造成材料供应不及时，延误工期10天以上，发包人有权改变材料供应方式，直至终止合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8.8 施工设备和临时设施</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8.8.1 承包人提供的施工设备和临时设施</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关于修建临时设施费用承担的约定：</w:t>
      </w:r>
      <w:r>
        <w:rPr>
          <w:rFonts w:hint="eastAsia" w:ascii="宋体" w:hAnsi="宋体" w:eastAsia="宋体" w:cs="宋体"/>
          <w:bCs/>
          <w:color w:val="auto"/>
          <w:spacing w:val="0"/>
          <w:sz w:val="21"/>
          <w:szCs w:val="21"/>
          <w:highlight w:val="none"/>
          <w:u w:val="single"/>
          <w:lang w:val="en-US" w:eastAsia="zh-CN" w:bidi="ar"/>
        </w:rPr>
        <w:t>承包人自行承担</w:t>
      </w:r>
      <w:r>
        <w:rPr>
          <w:rFonts w:hint="eastAsia" w:ascii="宋体" w:hAnsi="宋体" w:eastAsia="宋体" w:cs="宋体"/>
          <w:color w:val="auto"/>
          <w:spacing w:val="0"/>
          <w:sz w:val="21"/>
          <w:szCs w:val="21"/>
          <w:highlight w:val="none"/>
          <w:lang w:val="en-US" w:eastAsia="zh-CN" w:bidi="ar"/>
        </w:rPr>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Toc351203641"/>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9</w:t>
      </w:r>
      <w:bookmarkEnd w:id="200"/>
      <w:bookmarkEnd w:id="201"/>
      <w:bookmarkEnd w:id="202"/>
      <w:bookmarkStart w:id="222" w:name="_Toc297216192"/>
      <w:bookmarkStart w:id="223" w:name="_Toc297123533"/>
      <w:bookmarkStart w:id="224" w:name="_Toc312677495"/>
      <w:bookmarkStart w:id="225" w:name="_Toc312678021"/>
      <w:bookmarkStart w:id="226" w:name="_Toc304295559"/>
      <w:bookmarkStart w:id="227" w:name="_Toc300934982"/>
      <w:bookmarkStart w:id="228" w:name="_Toc303539139"/>
      <w:bookmarkStart w:id="229" w:name="_Toc297120473"/>
      <w:bookmarkStart w:id="230" w:name="_Toc296346674"/>
      <w:bookmarkStart w:id="231" w:name="_Toc267251427"/>
      <w:bookmarkStart w:id="232" w:name="_Toc296944512"/>
      <w:bookmarkStart w:id="233" w:name="_Toc296347172"/>
      <w:bookmarkStart w:id="234" w:name="_Toc292559883"/>
      <w:bookmarkStart w:id="235" w:name="_Toc267251428"/>
      <w:bookmarkStart w:id="236" w:name="_Toc296891213"/>
      <w:bookmarkStart w:id="237" w:name="_Toc297048359"/>
      <w:bookmarkStart w:id="238" w:name="_Toc292559378"/>
      <w:bookmarkStart w:id="239" w:name="_Toc296503173"/>
      <w:bookmarkStart w:id="240" w:name="_Toc296891001"/>
      <w:r>
        <w:rPr>
          <w:rFonts w:hint="default" w:ascii="Times New Roman" w:hAnsi="Times New Roman" w:eastAsia="宋体" w:cs="宋体"/>
          <w:color w:val="auto"/>
          <w:spacing w:val="0"/>
          <w:sz w:val="21"/>
          <w:szCs w:val="21"/>
          <w:highlight w:val="none"/>
          <w:lang w:val="en-US" w:eastAsia="zh-CN" w:bidi="ar"/>
        </w:rPr>
        <w:t xml:space="preserve">. </w:t>
      </w:r>
      <w:r>
        <w:rPr>
          <w:rFonts w:hint="eastAsia" w:ascii="Times New Roman" w:hAnsi="Times New Roman" w:eastAsia="宋体" w:cs="宋体"/>
          <w:color w:val="auto"/>
          <w:spacing w:val="0"/>
          <w:sz w:val="21"/>
          <w:szCs w:val="21"/>
          <w:highlight w:val="none"/>
          <w:lang w:val="en-US" w:eastAsia="zh-CN" w:bidi="ar"/>
        </w:rPr>
        <w:t>试验与检验</w:t>
      </w:r>
      <w:bookmarkEnd w:id="221"/>
      <w:bookmarkEnd w:id="222"/>
      <w:bookmarkEnd w:id="223"/>
      <w:bookmarkEnd w:id="224"/>
      <w:bookmarkEnd w:id="225"/>
      <w:bookmarkEnd w:id="226"/>
      <w:bookmarkEnd w:id="227"/>
      <w:bookmarkEnd w:id="228"/>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9</w:t>
      </w:r>
      <w:bookmarkStart w:id="241" w:name="_Toc312678022"/>
      <w:bookmarkStart w:id="242" w:name="_Toc312677496"/>
      <w:bookmarkStart w:id="243" w:name="_Toc300934983"/>
      <w:bookmarkStart w:id="244" w:name="_Toc297123534"/>
      <w:bookmarkStart w:id="245" w:name="_Toc303539140"/>
      <w:bookmarkStart w:id="246" w:name="_Toc297216193"/>
      <w:bookmarkStart w:id="247" w:name="_Toc304295560"/>
      <w:r>
        <w:rPr>
          <w:rFonts w:hint="eastAsia" w:ascii="宋体" w:hAnsi="宋体" w:eastAsia="宋体" w:cs="宋体"/>
          <w:color w:val="auto"/>
          <w:spacing w:val="0"/>
          <w:sz w:val="21"/>
          <w:szCs w:val="21"/>
          <w:highlight w:val="none"/>
          <w:lang w:val="en-US" w:eastAsia="zh-CN" w:bidi="ar"/>
        </w:rPr>
        <w:t>.1试验设备与试验人员</w:t>
      </w:r>
      <w:bookmarkEnd w:id="241"/>
      <w:bookmarkEnd w:id="242"/>
      <w:bookmarkEnd w:id="243"/>
      <w:bookmarkEnd w:id="244"/>
      <w:bookmarkEnd w:id="245"/>
      <w:bookmarkEnd w:id="246"/>
      <w:bookmarkEnd w:id="247"/>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9</w:t>
      </w:r>
      <w:bookmarkStart w:id="248" w:name="_Toc303539141"/>
      <w:bookmarkStart w:id="249" w:name="_Toc304295561"/>
      <w:bookmarkStart w:id="250" w:name="_Toc312678023"/>
      <w:bookmarkStart w:id="251" w:name="_Toc300934984"/>
      <w:bookmarkStart w:id="252" w:name="_Toc297216194"/>
      <w:bookmarkStart w:id="253" w:name="_Toc297123535"/>
      <w:bookmarkStart w:id="254" w:name="_Toc312677497"/>
      <w:bookmarkStart w:id="255" w:name="_Toc318581174"/>
      <w:r>
        <w:rPr>
          <w:rFonts w:hint="eastAsia" w:ascii="宋体" w:hAnsi="宋体" w:eastAsia="宋体" w:cs="宋体"/>
          <w:color w:val="auto"/>
          <w:spacing w:val="0"/>
          <w:sz w:val="21"/>
          <w:szCs w:val="21"/>
          <w:highlight w:val="none"/>
          <w:lang w:val="en-US" w:eastAsia="zh-CN" w:bidi="ar"/>
        </w:rPr>
        <w:t>.1.2 试验设备</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施工现场需要配置的试验场所：</w:t>
      </w:r>
      <w:bookmarkEnd w:id="248"/>
      <w:bookmarkEnd w:id="249"/>
      <w:bookmarkEnd w:id="250"/>
      <w:bookmarkEnd w:id="251"/>
      <w:bookmarkEnd w:id="252"/>
      <w:bookmarkEnd w:id="253"/>
      <w:bookmarkEnd w:id="254"/>
      <w:bookmarkStart w:id="256" w:name="_Toc312678024"/>
      <w:bookmarkStart w:id="257" w:name="_Toc303539142"/>
      <w:bookmarkStart w:id="258" w:name="_Toc312677498"/>
      <w:bookmarkStart w:id="259" w:name="_Toc304295562"/>
      <w:bookmarkStart w:id="260" w:name="_Toc297216195"/>
      <w:bookmarkStart w:id="261" w:name="_Toc300934985"/>
      <w:bookmarkStart w:id="262" w:name="_Toc297123536"/>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施工现场需要配备的试验设备：</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施工现场需要具备的其他试验条件：</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9.4 现场工艺试验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现场工艺试验的有关约定：</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bookmarkEnd w:id="255"/>
      <w:bookmarkEnd w:id="256"/>
      <w:bookmarkEnd w:id="257"/>
      <w:bookmarkEnd w:id="258"/>
      <w:bookmarkEnd w:id="259"/>
      <w:bookmarkEnd w:id="260"/>
      <w:bookmarkEnd w:id="261"/>
      <w:bookmarkEnd w:id="262"/>
      <w:bookmarkStart w:id="263" w:name="_Toc351203642"/>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1</w:t>
      </w:r>
      <w:bookmarkEnd w:id="229"/>
      <w:bookmarkEnd w:id="230"/>
      <w:bookmarkEnd w:id="231"/>
      <w:bookmarkEnd w:id="232"/>
      <w:bookmarkEnd w:id="233"/>
      <w:bookmarkEnd w:id="234"/>
      <w:bookmarkEnd w:id="235"/>
      <w:bookmarkEnd w:id="236"/>
      <w:bookmarkEnd w:id="237"/>
      <w:bookmarkEnd w:id="238"/>
      <w:bookmarkEnd w:id="239"/>
      <w:bookmarkEnd w:id="240"/>
      <w:bookmarkStart w:id="264" w:name="_Toc292559903"/>
      <w:bookmarkStart w:id="265" w:name="_Toc292559398"/>
      <w:bookmarkStart w:id="266" w:name="_Toc304295566"/>
      <w:bookmarkStart w:id="267" w:name="_Toc296891233"/>
      <w:bookmarkStart w:id="268" w:name="_Toc300934989"/>
      <w:bookmarkStart w:id="269" w:name="_Toc296347192"/>
      <w:bookmarkStart w:id="270" w:name="_Toc296891021"/>
      <w:bookmarkStart w:id="271" w:name="_Toc297123540"/>
      <w:bookmarkStart w:id="272" w:name="_Toc296944532"/>
      <w:bookmarkStart w:id="273" w:name="_Toc296346694"/>
      <w:bookmarkStart w:id="274" w:name="_Toc297216199"/>
      <w:bookmarkStart w:id="275" w:name="_Toc303539146"/>
      <w:bookmarkStart w:id="276" w:name="_Toc297120493"/>
      <w:bookmarkStart w:id="277" w:name="_Toc312678025"/>
      <w:bookmarkStart w:id="278" w:name="_Toc312677499"/>
      <w:bookmarkStart w:id="279" w:name="_Toc296503193"/>
      <w:bookmarkStart w:id="280" w:name="_Toc297048379"/>
      <w:bookmarkStart w:id="281" w:name="_Toc267251439"/>
      <w:bookmarkStart w:id="282" w:name="_Toc267251433"/>
      <w:bookmarkStart w:id="283" w:name="_Toc267251440"/>
      <w:bookmarkStart w:id="284" w:name="_Toc267251441"/>
      <w:bookmarkStart w:id="285" w:name="_Toc267251437"/>
      <w:bookmarkStart w:id="286" w:name="_Toc267251435"/>
      <w:bookmarkStart w:id="287" w:name="_Toc267251442"/>
      <w:r>
        <w:rPr>
          <w:rFonts w:hint="default" w:ascii="Times New Roman" w:hAnsi="Times New Roman" w:eastAsia="宋体" w:cs="宋体"/>
          <w:color w:val="auto"/>
          <w:spacing w:val="0"/>
          <w:sz w:val="21"/>
          <w:szCs w:val="21"/>
          <w:highlight w:val="none"/>
          <w:lang w:val="en-US" w:eastAsia="zh-CN" w:bidi="ar"/>
        </w:rPr>
        <w:t xml:space="preserve">0. </w:t>
      </w:r>
      <w:r>
        <w:rPr>
          <w:rFonts w:hint="eastAsia" w:ascii="Times New Roman" w:hAnsi="Times New Roman" w:eastAsia="宋体" w:cs="宋体"/>
          <w:color w:val="auto"/>
          <w:spacing w:val="0"/>
          <w:sz w:val="21"/>
          <w:szCs w:val="21"/>
          <w:highlight w:val="none"/>
          <w:lang w:val="en-US" w:eastAsia="zh-CN" w:bidi="ar"/>
        </w:rPr>
        <w:t>变更</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Start w:id="288" w:name="_Toc296944533"/>
      <w:bookmarkStart w:id="289" w:name="_Toc297123541"/>
      <w:bookmarkStart w:id="290" w:name="_Toc312678026"/>
      <w:bookmarkStart w:id="291" w:name="_Toc304295567"/>
      <w:bookmarkStart w:id="292" w:name="_Toc296346695"/>
      <w:bookmarkStart w:id="293" w:name="_Toc292559399"/>
      <w:bookmarkStart w:id="294" w:name="_Toc297048380"/>
      <w:bookmarkStart w:id="295" w:name="_Toc296891234"/>
      <w:bookmarkStart w:id="296" w:name="_Toc300934990"/>
      <w:bookmarkStart w:id="297" w:name="_Toc303539147"/>
      <w:bookmarkStart w:id="298" w:name="_Toc296503194"/>
      <w:bookmarkStart w:id="299" w:name="_Toc296347193"/>
      <w:bookmarkStart w:id="300" w:name="_Toc297216200"/>
      <w:bookmarkStart w:id="301" w:name="_Toc296891022"/>
      <w:bookmarkStart w:id="302" w:name="_Toc297120494"/>
      <w:bookmarkStart w:id="303" w:name="_Toc312677500"/>
      <w:bookmarkStart w:id="304" w:name="_Toc292559904"/>
      <w:r>
        <w:rPr>
          <w:rFonts w:hint="eastAsia" w:ascii="宋体" w:hAnsi="宋体" w:eastAsia="宋体" w:cs="宋体"/>
          <w:color w:val="auto"/>
          <w:spacing w:val="0"/>
          <w:sz w:val="21"/>
          <w:szCs w:val="21"/>
          <w:highlight w:val="none"/>
          <w:lang w:val="en-US" w:eastAsia="zh-CN" w:bidi="ar"/>
        </w:rPr>
        <w:t>0.1变更的范围</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关于变更的范围的约定：</w:t>
      </w:r>
      <w:r>
        <w:rPr>
          <w:rFonts w:hint="eastAsia" w:ascii="宋体" w:hAnsi="宋体" w:eastAsia="宋体" w:cs="宋体"/>
          <w:color w:val="auto"/>
          <w:spacing w:val="0"/>
          <w:sz w:val="21"/>
          <w:szCs w:val="21"/>
          <w:highlight w:val="none"/>
          <w:u w:val="single"/>
          <w:lang w:val="en-US" w:eastAsia="zh-CN" w:bidi="ar"/>
        </w:rPr>
        <w:t>本工程所需的变更必须书面向发包人申请，经同意后才能向设计申请变更。</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10.4 变更估价</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10.4.1 变更估价原则</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u w:val="single"/>
          <w:lang w:val="en-US" w:eastAsia="zh-CN" w:bidi="ar"/>
        </w:rPr>
        <w:t>（1）变更合同价款按下列方式进行：按12.1款执行。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5" w:name="_Toc296891237"/>
      <w:bookmarkStart w:id="306" w:name="_Toc296503197"/>
      <w:bookmarkStart w:id="307" w:name="_Toc292559907"/>
      <w:bookmarkStart w:id="308" w:name="_Toc292559402"/>
      <w:bookmarkStart w:id="309" w:name="_Toc296347196"/>
      <w:bookmarkStart w:id="310" w:name="_Toc297120497"/>
      <w:bookmarkStart w:id="311" w:name="_Toc297216203"/>
      <w:bookmarkStart w:id="312" w:name="_Toc296346698"/>
      <w:bookmarkStart w:id="313" w:name="_Toc296944536"/>
      <w:bookmarkStart w:id="314" w:name="_Toc303539150"/>
      <w:bookmarkStart w:id="315" w:name="_Toc296891025"/>
      <w:bookmarkStart w:id="316" w:name="_Toc297123544"/>
      <w:bookmarkStart w:id="317" w:name="_Toc297048383"/>
      <w:bookmarkStart w:id="318" w:name="_Toc300934993"/>
      <w:bookmarkStart w:id="319" w:name="_Toc304295570"/>
      <w:bookmarkStart w:id="320" w:name="_Toc312677503"/>
      <w:bookmarkStart w:id="321" w:name="_Toc312678029"/>
      <w:r>
        <w:rPr>
          <w:rFonts w:hint="eastAsia" w:ascii="宋体" w:hAnsi="宋体" w:eastAsia="宋体" w:cs="宋体"/>
          <w:color w:val="auto"/>
          <w:spacing w:val="0"/>
          <w:sz w:val="21"/>
          <w:szCs w:val="21"/>
          <w:highlight w:val="none"/>
          <w:lang w:val="en-US" w:eastAsia="zh-CN" w:bidi="ar"/>
        </w:rPr>
        <w:t>0.5承</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22" w:name="_Toc303539151"/>
      <w:bookmarkStart w:id="323" w:name="_Toc300934994"/>
      <w:bookmarkStart w:id="324" w:name="_Toc297120503"/>
      <w:bookmarkStart w:id="325" w:name="_Toc297216204"/>
      <w:bookmarkStart w:id="326" w:name="_Toc296944542"/>
      <w:bookmarkStart w:id="327" w:name="_Toc292559408"/>
      <w:bookmarkStart w:id="328" w:name="_Toc296347202"/>
      <w:bookmarkStart w:id="329" w:name="_Toc296503203"/>
      <w:bookmarkStart w:id="330" w:name="_Toc296891243"/>
      <w:bookmarkStart w:id="331" w:name="_Toc297123545"/>
      <w:bookmarkStart w:id="332" w:name="_Toc296346704"/>
      <w:bookmarkStart w:id="333" w:name="_Toc296891031"/>
      <w:bookmarkStart w:id="334" w:name="_Toc292559913"/>
      <w:bookmarkStart w:id="335" w:name="_Toc297048389"/>
      <w:r>
        <w:rPr>
          <w:rFonts w:hint="eastAsia" w:ascii="宋体" w:hAnsi="宋体" w:eastAsia="宋体" w:cs="宋体"/>
          <w:color w:val="auto"/>
          <w:spacing w:val="0"/>
          <w:sz w:val="21"/>
          <w:szCs w:val="21"/>
          <w:highlight w:val="none"/>
          <w:lang w:val="en-US" w:eastAsia="zh-CN" w:bidi="ar"/>
        </w:rPr>
        <w:t>包人的合理化建议</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监理人审查承包人合理化建议的期限：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发包人审批承包人合理化建议的期限：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w:t>
      </w:r>
      <w:bookmarkStart w:id="336" w:name="_Toc300934995"/>
      <w:bookmarkStart w:id="337" w:name="_Toc297216205"/>
      <w:bookmarkStart w:id="338" w:name="_Toc297048390"/>
      <w:bookmarkStart w:id="339" w:name="_Toc296891032"/>
      <w:bookmarkStart w:id="340" w:name="_Toc297123546"/>
      <w:bookmarkStart w:id="341" w:name="_Toc303539152"/>
      <w:bookmarkStart w:id="342" w:name="_Toc312678030"/>
      <w:bookmarkStart w:id="343" w:name="_Toc304295571"/>
      <w:bookmarkStart w:id="344" w:name="_Toc297120504"/>
      <w:bookmarkStart w:id="345" w:name="_Toc296944543"/>
      <w:bookmarkStart w:id="346" w:name="_Toc318581175"/>
      <w:bookmarkStart w:id="347" w:name="_Toc312677504"/>
      <w:bookmarkStart w:id="348" w:name="_Toc296347203"/>
      <w:bookmarkStart w:id="349" w:name="_Toc292559409"/>
      <w:bookmarkStart w:id="350" w:name="_Toc296346705"/>
      <w:bookmarkStart w:id="351" w:name="_Toc292559914"/>
      <w:bookmarkStart w:id="352" w:name="_Toc296891244"/>
      <w:bookmarkStart w:id="353" w:name="_Toc296503204"/>
      <w:r>
        <w:rPr>
          <w:rFonts w:hint="eastAsia" w:ascii="宋体" w:hAnsi="宋体" w:eastAsia="宋体" w:cs="宋体"/>
          <w:color w:val="auto"/>
          <w:spacing w:val="0"/>
          <w:sz w:val="21"/>
          <w:szCs w:val="21"/>
          <w:highlight w:val="none"/>
          <w:lang w:val="en-US" w:eastAsia="zh-CN" w:bidi="ar"/>
        </w:rPr>
        <w:t>包人提出的合理化建议降低了合同价格或者提高了工程经济效益的奖励的方法和金额为：</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Start w:id="354" w:name="_Toc296503199"/>
      <w:bookmarkStart w:id="355" w:name="_Toc297123548"/>
      <w:bookmarkStart w:id="356" w:name="_Toc296944538"/>
      <w:bookmarkStart w:id="357" w:name="_Toc292559909"/>
      <w:bookmarkStart w:id="358" w:name="_Toc296346700"/>
      <w:bookmarkStart w:id="359" w:name="_Toc296891239"/>
      <w:bookmarkStart w:id="360" w:name="_Toc292559404"/>
      <w:bookmarkStart w:id="361" w:name="_Toc297048385"/>
      <w:bookmarkStart w:id="362" w:name="_Toc297216207"/>
      <w:bookmarkStart w:id="363" w:name="_Toc312677507"/>
      <w:bookmarkStart w:id="364" w:name="_Toc297120499"/>
      <w:bookmarkStart w:id="365" w:name="_Toc300934997"/>
      <w:bookmarkStart w:id="366" w:name="_Toc304295574"/>
      <w:bookmarkStart w:id="367" w:name="_Toc296347198"/>
      <w:bookmarkStart w:id="368" w:name="_Toc312678033"/>
      <w:bookmarkStart w:id="369" w:name="_Toc296891027"/>
      <w:bookmarkStart w:id="370" w:name="_Toc303539154"/>
      <w:r>
        <w:rPr>
          <w:rFonts w:hint="eastAsia" w:ascii="宋体" w:hAnsi="宋体" w:eastAsia="宋体" w:cs="宋体"/>
          <w:color w:val="auto"/>
          <w:spacing w:val="0"/>
          <w:sz w:val="21"/>
          <w:szCs w:val="21"/>
          <w:highlight w:val="none"/>
          <w:lang w:val="en-US" w:eastAsia="zh-CN" w:bidi="ar"/>
        </w:rPr>
        <w:t>0.7 暂估价</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暂</w:t>
      </w:r>
      <w:bookmarkStart w:id="371" w:name="_Toc318581176"/>
      <w:bookmarkStart w:id="372" w:name="_Toc312678034"/>
      <w:bookmarkStart w:id="373" w:name="_Toc312677508"/>
      <w:r>
        <w:rPr>
          <w:rFonts w:hint="eastAsia" w:ascii="宋体" w:hAnsi="宋体" w:eastAsia="宋体" w:cs="宋体"/>
          <w:color w:val="auto"/>
          <w:spacing w:val="0"/>
          <w:sz w:val="21"/>
          <w:szCs w:val="21"/>
          <w:highlight w:val="none"/>
          <w:lang w:val="en-US" w:eastAsia="zh-CN" w:bidi="ar"/>
        </w:rPr>
        <w:t>估价材料和工程设备的明细详见清单。</w:t>
      </w:r>
      <w:bookmarkEnd w:id="371"/>
      <w:bookmarkEnd w:id="372"/>
      <w:bookmarkEnd w:id="373"/>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Start w:id="374" w:name="_Toc312677509"/>
      <w:bookmarkStart w:id="375" w:name="_Toc312678035"/>
      <w:bookmarkStart w:id="376" w:name="_Toc318581177"/>
      <w:r>
        <w:rPr>
          <w:rFonts w:hint="eastAsia" w:ascii="宋体" w:hAnsi="宋体" w:eastAsia="宋体" w:cs="宋体"/>
          <w:color w:val="auto"/>
          <w:spacing w:val="0"/>
          <w:sz w:val="21"/>
          <w:szCs w:val="21"/>
          <w:highlight w:val="none"/>
          <w:lang w:val="en-US" w:eastAsia="zh-CN" w:bidi="ar"/>
        </w:rPr>
        <w:t>0.7.1 依法必须招标的暂估价项目</w:t>
      </w:r>
      <w:bookmarkEnd w:id="374"/>
      <w:bookmarkEnd w:id="375"/>
      <w:bookmarkEnd w:id="376"/>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对于依法必须招标的暂估价项目的确认和批准采取第</w:t>
      </w:r>
      <w:r>
        <w:rPr>
          <w:rFonts w:hint="eastAsia" w:ascii="宋体" w:hAnsi="宋体" w:eastAsia="宋体" w:cs="宋体"/>
          <w:bCs/>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种方式确定。</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10.7.2 不属于依法必须招标的暂估价项目</w:t>
      </w:r>
    </w:p>
    <w:p>
      <w:pPr>
        <w:keepNext w:val="0"/>
        <w:keepLines w:val="0"/>
        <w:pageBreakBefore w:val="0"/>
        <w:spacing w:line="360" w:lineRule="auto"/>
        <w:ind w:firstLine="420"/>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对于不属于依法必须招标的暂估价项目的确认和批准采取以下方式确定：</w:t>
      </w:r>
      <w:r>
        <w:rPr>
          <w:rFonts w:hint="eastAsia" w:ascii="宋体" w:hAnsi="宋体" w:eastAsia="宋体" w:cs="宋体"/>
          <w:color w:val="auto"/>
          <w:spacing w:val="0"/>
          <w:highlight w:val="none"/>
          <w:lang w:val="zh-CN"/>
        </w:rPr>
        <w:t>暂估价部分为乙供甲控，样品和报价必须得到甲方确认方可采购，如果乙方提供的样品或者货物以及报价不能满足甲方要求或者不能得到甲方认可，甲方市场调研后可将具体采购需求及采购意见提供给乙方，乙方按照甲方要求组织采购，必要时，甲方可自行组织采购。按照双方认可的价格结算。</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第3种方式：承包人直接实施的暂估价项目</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承包人直接实施的暂估价项目的约定：。</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10.8 暂列金额</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合同当事人关于暂列金额使用的约定：</w:t>
      </w:r>
      <w:r>
        <w:rPr>
          <w:rFonts w:hint="eastAsia" w:ascii="宋体" w:hAnsi="宋体" w:eastAsia="宋体" w:cs="宋体"/>
          <w:bCs/>
          <w:color w:val="auto"/>
          <w:spacing w:val="0"/>
          <w:sz w:val="21"/>
          <w:szCs w:val="21"/>
          <w:highlight w:val="none"/>
          <w:u w:val="single"/>
          <w:lang w:val="en-US" w:eastAsia="zh-CN" w:bidi="ar"/>
        </w:rPr>
        <w:t>暂列金额应按照发包人的要求使用，发包人的要求应通过监理人发出</w:t>
      </w:r>
      <w:r>
        <w:rPr>
          <w:rFonts w:hint="eastAsia" w:ascii="宋体" w:hAnsi="宋体" w:eastAsia="宋体" w:cs="宋体"/>
          <w:color w:val="auto"/>
          <w:spacing w:val="0"/>
          <w:sz w:val="21"/>
          <w:szCs w:val="21"/>
          <w:highlight w:val="none"/>
          <w:lang w:val="en-US" w:eastAsia="zh-CN" w:bidi="ar"/>
        </w:rPr>
        <w:t>。</w:t>
      </w:r>
      <w:bookmarkStart w:id="377" w:name="_Toc351203643"/>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11. </w:t>
      </w:r>
      <w:r>
        <w:rPr>
          <w:rFonts w:hint="eastAsia" w:ascii="Times New Roman" w:hAnsi="Times New Roman" w:eastAsia="宋体" w:cs="宋体"/>
          <w:color w:val="auto"/>
          <w:spacing w:val="0"/>
          <w:sz w:val="21"/>
          <w:szCs w:val="21"/>
          <w:highlight w:val="none"/>
          <w:lang w:val="en-US" w:eastAsia="zh-CN" w:bidi="ar"/>
        </w:rPr>
        <w:t>价格调整</w:t>
      </w:r>
      <w:bookmarkEnd w:id="377"/>
      <w:bookmarkStart w:id="378" w:name="_Toc304295577"/>
      <w:bookmarkStart w:id="379" w:name="_Toc297048387"/>
      <w:bookmarkStart w:id="380" w:name="_Toc296347200"/>
      <w:bookmarkStart w:id="381" w:name="_Toc296503201"/>
      <w:bookmarkStart w:id="382" w:name="_Toc300935000"/>
      <w:bookmarkStart w:id="383" w:name="_Toc303539157"/>
      <w:bookmarkStart w:id="384" w:name="_Toc296891029"/>
      <w:bookmarkStart w:id="385" w:name="_Toc297216209"/>
      <w:bookmarkStart w:id="386" w:name="_Toc296891241"/>
      <w:bookmarkStart w:id="387" w:name="_Toc297120501"/>
      <w:bookmarkStart w:id="388" w:name="_Toc296944540"/>
      <w:bookmarkStart w:id="389" w:name="_Toc296346702"/>
      <w:bookmarkStart w:id="390" w:name="_Toc312678039"/>
      <w:bookmarkStart w:id="391" w:name="_Toc297123550"/>
      <w:bookmarkStart w:id="392" w:name="_Toc292559406"/>
      <w:bookmarkStart w:id="393" w:name="_Toc29255991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11.1 市场价格波动引起的调整</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市场价格波动是否调整合同价格的约定：</w:t>
      </w:r>
      <w:r>
        <w:rPr>
          <w:rFonts w:hint="eastAsia" w:ascii="宋体" w:hAnsi="宋体" w:eastAsia="宋体" w:cs="宋体"/>
          <w:color w:val="auto"/>
          <w:spacing w:val="0"/>
          <w:sz w:val="21"/>
          <w:szCs w:val="21"/>
          <w:highlight w:val="none"/>
          <w:u w:val="single"/>
          <w:lang w:val="en-US" w:eastAsia="zh-CN" w:bidi="ar"/>
        </w:rPr>
        <w:t xml:space="preserve">不予调整 </w:t>
      </w:r>
      <w:r>
        <w:rPr>
          <w:rFonts w:hint="eastAsia" w:ascii="宋体" w:hAnsi="宋体" w:eastAsia="宋体" w:cs="宋体"/>
          <w:color w:val="auto"/>
          <w:spacing w:val="0"/>
          <w:sz w:val="21"/>
          <w:szCs w:val="21"/>
          <w:highlight w:val="none"/>
          <w:lang w:val="en-US" w:eastAsia="zh-CN" w:bidi="ar"/>
        </w:rPr>
        <w:t>。</w:t>
      </w:r>
      <w:bookmarkEnd w:id="281"/>
      <w:bookmarkEnd w:id="282"/>
      <w:bookmarkEnd w:id="283"/>
      <w:bookmarkEnd w:id="284"/>
      <w:bookmarkEnd w:id="285"/>
      <w:bookmarkEnd w:id="286"/>
      <w:bookmarkStart w:id="394" w:name="_Toc296347204"/>
      <w:bookmarkStart w:id="395" w:name="_Toc297048391"/>
      <w:bookmarkStart w:id="396" w:name="_Toc296891245"/>
      <w:bookmarkStart w:id="397" w:name="_Toc296891033"/>
      <w:bookmarkStart w:id="398" w:name="_Toc292559410"/>
      <w:bookmarkStart w:id="399" w:name="_Toc292559915"/>
      <w:bookmarkStart w:id="400" w:name="_Toc297120505"/>
      <w:bookmarkStart w:id="401" w:name="_Toc296346706"/>
      <w:bookmarkStart w:id="402" w:name="_Toc296503205"/>
      <w:bookmarkStart w:id="403" w:name="_Toc296944544"/>
      <w:bookmarkStart w:id="404" w:name="_Toc297123552"/>
      <w:bookmarkStart w:id="405" w:name="_Toc351203644"/>
      <w:bookmarkStart w:id="406" w:name="_Toc297216211"/>
      <w:bookmarkStart w:id="407" w:name="_Toc300935002"/>
      <w:bookmarkStart w:id="408" w:name="_Toc312678040"/>
      <w:bookmarkStart w:id="409" w:name="_Toc303539159"/>
      <w:bookmarkStart w:id="410" w:name="_Toc304295579"/>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12. </w:t>
      </w:r>
      <w:bookmarkEnd w:id="394"/>
      <w:bookmarkEnd w:id="395"/>
      <w:bookmarkEnd w:id="396"/>
      <w:bookmarkEnd w:id="397"/>
      <w:bookmarkEnd w:id="398"/>
      <w:bookmarkEnd w:id="399"/>
      <w:bookmarkEnd w:id="400"/>
      <w:bookmarkEnd w:id="401"/>
      <w:bookmarkEnd w:id="402"/>
      <w:bookmarkEnd w:id="403"/>
      <w:r>
        <w:rPr>
          <w:rFonts w:hint="eastAsia" w:ascii="Times New Roman" w:hAnsi="Times New Roman" w:eastAsia="宋体" w:cs="宋体"/>
          <w:color w:val="auto"/>
          <w:spacing w:val="0"/>
          <w:sz w:val="21"/>
          <w:szCs w:val="21"/>
          <w:highlight w:val="none"/>
          <w:lang w:val="en-US" w:eastAsia="zh-CN" w:bidi="ar"/>
        </w:rPr>
        <w:t>合同价格、计量与支付</w:t>
      </w:r>
      <w:bookmarkEnd w:id="404"/>
      <w:bookmarkEnd w:id="405"/>
      <w:bookmarkEnd w:id="406"/>
      <w:bookmarkEnd w:id="407"/>
      <w:bookmarkEnd w:id="408"/>
      <w:bookmarkEnd w:id="409"/>
      <w:bookmarkEnd w:id="410"/>
      <w:bookmarkStart w:id="411" w:name="_Toc292559916"/>
      <w:bookmarkStart w:id="412" w:name="_Toc292559411"/>
      <w:bookmarkStart w:id="413" w:name="_Toc267251461"/>
      <w:bookmarkStart w:id="414" w:name="_Toc296891034"/>
      <w:bookmarkStart w:id="415" w:name="_Toc297048392"/>
      <w:bookmarkStart w:id="416" w:name="_Toc296346707"/>
      <w:bookmarkStart w:id="417" w:name="_Toc296347205"/>
      <w:bookmarkStart w:id="418" w:name="_Toc296891246"/>
      <w:bookmarkStart w:id="419" w:name="_Toc296503206"/>
      <w:bookmarkStart w:id="420" w:name="_Toc296944545"/>
      <w:bookmarkStart w:id="421" w:name="_Toc297120506"/>
      <w:bookmarkStart w:id="422" w:name="_Toc304295580"/>
      <w:bookmarkStart w:id="423" w:name="_Toc297123553"/>
      <w:bookmarkStart w:id="424" w:name="_Toc300935003"/>
      <w:bookmarkStart w:id="425" w:name="_Toc297216212"/>
      <w:bookmarkStart w:id="426" w:name="_Toc312678041"/>
      <w:bookmarkStart w:id="427" w:name="_Toc30353916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12.1 合</w:t>
      </w:r>
      <w:bookmarkEnd w:id="411"/>
      <w:bookmarkEnd w:id="412"/>
      <w:bookmarkEnd w:id="413"/>
      <w:r>
        <w:rPr>
          <w:rFonts w:hint="eastAsia" w:ascii="宋体" w:hAnsi="宋体" w:eastAsia="宋体" w:cs="宋体"/>
          <w:color w:val="auto"/>
          <w:spacing w:val="0"/>
          <w:sz w:val="21"/>
          <w:szCs w:val="21"/>
          <w:highlight w:val="none"/>
          <w:lang w:val="en-US" w:eastAsia="zh-CN" w:bidi="ar"/>
        </w:rPr>
        <w:t>同价</w:t>
      </w:r>
      <w:bookmarkEnd w:id="414"/>
      <w:bookmarkEnd w:id="415"/>
      <w:bookmarkEnd w:id="416"/>
      <w:bookmarkEnd w:id="417"/>
      <w:bookmarkEnd w:id="418"/>
      <w:bookmarkEnd w:id="419"/>
      <w:bookmarkEnd w:id="420"/>
      <w:bookmarkEnd w:id="421"/>
      <w:r>
        <w:rPr>
          <w:rFonts w:hint="eastAsia" w:ascii="宋体" w:hAnsi="宋体" w:eastAsia="宋体" w:cs="宋体"/>
          <w:color w:val="auto"/>
          <w:spacing w:val="0"/>
          <w:sz w:val="21"/>
          <w:szCs w:val="21"/>
          <w:highlight w:val="none"/>
          <w:lang w:val="en-US" w:eastAsia="zh-CN" w:bidi="ar"/>
        </w:rPr>
        <w:t>格形式</w:t>
      </w:r>
      <w:bookmarkEnd w:id="422"/>
      <w:bookmarkEnd w:id="423"/>
      <w:bookmarkEnd w:id="424"/>
      <w:bookmarkEnd w:id="425"/>
      <w:bookmarkEnd w:id="426"/>
      <w:bookmarkEnd w:id="427"/>
    </w:p>
    <w:p>
      <w:pPr>
        <w:keepNext w:val="0"/>
        <w:keepLines w:val="0"/>
        <w:pageBreakBefore w:val="0"/>
        <w:spacing w:after="0" w:line="360" w:lineRule="auto"/>
        <w:ind w:firstLine="420"/>
        <w:rPr>
          <w:rFonts w:hint="eastAsia" w:ascii="宋体" w:hAnsi="宋体" w:cs="宋体"/>
          <w:b/>
          <w:color w:val="auto"/>
          <w:spacing w:val="0"/>
          <w:sz w:val="21"/>
          <w:szCs w:val="21"/>
          <w:highlight w:val="none"/>
          <w:lang w:eastAsia="zh-CN"/>
        </w:rPr>
      </w:pPr>
      <w:r>
        <w:rPr>
          <w:rFonts w:hint="eastAsia" w:ascii="宋体" w:hAnsi="宋体" w:cs="宋体"/>
          <w:color w:val="auto"/>
          <w:spacing w:val="0"/>
          <w:sz w:val="21"/>
          <w:szCs w:val="21"/>
          <w:highlight w:val="none"/>
          <w:lang w:eastAsia="zh-CN"/>
        </w:rPr>
        <w:t>本合同采用固定单价合同。</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lang w:eastAsia="zh-CN"/>
        </w:rPr>
        <w:t>综合单价包含的风险范围：</w:t>
      </w:r>
      <w:r>
        <w:rPr>
          <w:rFonts w:hint="eastAsia" w:ascii="宋体" w:hAnsi="宋体" w:cs="宋体"/>
          <w:color w:val="auto"/>
          <w:spacing w:val="0"/>
          <w:sz w:val="21"/>
          <w:szCs w:val="21"/>
          <w:highlight w:val="none"/>
          <w:u w:val="single"/>
          <w:lang w:eastAsia="zh-CN"/>
        </w:rPr>
        <w:t>（1）承包人施工技术、管理、组织、措施的风险；（2）磋商文件（含答疑）、工程量清单（含编制说明）、合同文件等明示或暗示的风险；（3）合同约定的价格调整幅度范围内的市场风险；（4）承包人响应报价偏离或遗漏的风险；（5）主要材料、机械台班、燃油动力费等政策调整；（6）对工程量清单的认可、施工期间的市场风险。实施过程中工程量较设计的图纸有变化，工程量按实调整，综合单价不变。（7）以项为单位的单价措施费不调整，相关的管理费用按申请文件费率执行；（8）有经验的承包商可以预见的其他风险。</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风险费用的计算方法：</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（1）承包人报价时已充分考虑风险范围并计算风险费用计入了报价。</w:t>
      </w:r>
    </w:p>
    <w:p>
      <w:pPr>
        <w:keepNext w:val="0"/>
        <w:keepLines w:val="0"/>
        <w:pageBreakBefore w:val="0"/>
        <w:spacing w:after="0" w:line="360" w:lineRule="auto"/>
        <w:ind w:firstLine="420"/>
        <w:rPr>
          <w:rFonts w:hint="eastAsia" w:ascii="宋体" w:hAnsi="宋体" w:cs="宋体"/>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2）措施项目是指为完成工程项目施工，发生于该工程施工前和施工过程中技术、生活、安全等方面的非工程实体项目。本工程措施项目费包括脚手架费用（含超高费）、垂直运输费、甲供材料设备的施工现场保管费、甲供及乙供材料和设备的场内二次搬运费、建筑垃圾的清理外运费、非发包人所为8小时以内的临时停水停电费用，包括各级政府相关管理部门对施工现场进行的有关建筑工程安全防护、文明施工的各种检查而发生的费用、技术措施费、临时设施费、大型机械设备进出场及安拆费（含设备基础费用、吊装线路路基加固费用等）、赶工措施费、材料及机械设备的租赁费、工程用水加压措施费、白天及夜间照明及夜间施工增加费、承包人进入现场的开办费用、高压线防护措施费、防噪音措施费、防污染措施费、环境保护费、已完工程及设备保护费、检验试验费、磋商文件和合同条款中包括的其他所有费用，以及承包人考虑应增加的其它措施费等。</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本工程以项为单位的单价措施费已以包干形式计入合同价，无论在报价中是否单独列出均由承包人承担，结算时与分部分项工程量变化、设计变更、现场签证无关，不再调整。总价措施费中的调整费率以签约合同价为准，其中不可竞争费率以发包人工程量清单为准，不得调整。</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（4）风险范围以外合同价款调整方法：</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①新增工程量清单项目的项目特征与响应报价中项目相同的，按响应报价的综合单价计算。</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②新增工程量清单项目的项目特征与响应报价中项目类似的，综合单价按类似项目在《建设工程工程量清单计价规范》GB50500-2013、《江苏省建筑与装饰工程计价定额》、《江苏省安装工程计价定额》（2014）中的人工、材料、机械台班耗用量、类似项目投标报价时的人工、机械台班单价、管理费、利润等费用标准及材料价格（无响应价的材料按施工时期的南通市造价管理部门发布的信息指导价的响应下浮率计取，无信息指导价的，双方协商确定）计算，作为结算单价。其相应综合单价及材料价格由承包人提出，经监理人、跟踪审计、项目管理单位和发包人审核后确定。上述“与响应报价中项目类似的”新增项目，指与响应分部分项工程量清单项目编码一至九位完全相同的新增的分部分项工程。</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③响应报价中没有综合单价的新的工程量清单项目，新增综合单价按《建设工程工程量清单计价规范》GB50500-2013、《江苏省建筑与装饰工程计价定额》（2014）、《江苏省安装工程计价定额》（2014）中的人工、材料、机械台班耗用量，响应报价时的人工、机械台班单价、材料价格（无响应价的材料按施工时期的南通市造价管理部门发布的信息指导价的响应下浮率计取，无信息指导价的，双方协商确定），并按照响应报价时相应的管理费和利润的取费标准，经监理人、跟踪审计、项目管理单位和发包人审核后确定，作为结算单价。</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响应下浮率=[1-（建筑安装工程费成交价-暂列金-暂估价）/（建筑安装工程费控制价-暂列金-暂估价）]*100%。</w:t>
      </w:r>
    </w:p>
    <w:p>
      <w:pPr>
        <w:keepNext w:val="0"/>
        <w:keepLines w:val="0"/>
        <w:pageBreakBefore w:val="0"/>
        <w:spacing w:after="0" w:line="360" w:lineRule="auto"/>
        <w:ind w:firstLine="420"/>
        <w:rPr>
          <w:rFonts w:hint="eastAsia" w:ascii="宋体" w:hAnsi="宋体" w:cs="宋体"/>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④新增综合单价及材料价格由承包人提出，经监理人、跟踪审计、项目管理单位审核后报发包人确定。如果承包人响应报价存在不平衡报价（响应单价与市场合理价格偏离超过 30%），发包人有权对不合理价格进行调整，一切损失及责任由承包人承担。</w:t>
      </w:r>
    </w:p>
    <w:p>
      <w:pPr>
        <w:keepNext w:val="0"/>
        <w:keepLines w:val="0"/>
        <w:pageBreakBefore w:val="0"/>
        <w:spacing w:after="0" w:line="360" w:lineRule="auto"/>
        <w:ind w:firstLine="420"/>
        <w:rPr>
          <w:rFonts w:hint="eastAsia" w:ascii="宋体" w:hAnsi="宋体" w:cs="宋体"/>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⑤施工期各类政策性风险，包括但不限于安全、文明施工、质量、环保、市容、城管、人工费等按政策调整；</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承包人同意以发包人委托的专业第三方审计单位的审核、审计结果作为本项目价款结算依据。</w:t>
      </w:r>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2.</w:t>
      </w:r>
      <w:r>
        <w:rPr>
          <w:rFonts w:hint="eastAsia" w:ascii="Times New Roman" w:hAnsi="Times New Roman" w:eastAsia="宋体" w:cs="宋体"/>
          <w:color w:val="auto"/>
          <w:spacing w:val="0"/>
          <w:sz w:val="21"/>
          <w:szCs w:val="21"/>
          <w:highlight w:val="none"/>
          <w:lang w:val="en-US" w:eastAsia="zh-CN" w:bidi="ar"/>
        </w:rPr>
        <w:t>总价合同。</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bookmarkStart w:id="428" w:name="_Toc312678042"/>
      <w:bookmarkStart w:id="429" w:name="_Toc303539161"/>
      <w:bookmarkStart w:id="430" w:name="_Toc297216213"/>
      <w:bookmarkStart w:id="431" w:name="_Toc304295581"/>
      <w:bookmarkStart w:id="432" w:name="_Toc297123554"/>
      <w:bookmarkStart w:id="433" w:name="_Toc300935004"/>
      <w:bookmarkStart w:id="434" w:name="_Toc297120507"/>
      <w:bookmarkStart w:id="435" w:name="_Toc292559917"/>
      <w:bookmarkStart w:id="436" w:name="_Toc296891247"/>
      <w:bookmarkStart w:id="437" w:name="_Toc296347206"/>
      <w:bookmarkStart w:id="438" w:name="_Toc296503207"/>
      <w:bookmarkStart w:id="439" w:name="_Toc296944546"/>
      <w:bookmarkStart w:id="440" w:name="_Toc297048393"/>
      <w:bookmarkStart w:id="441" w:name="_Toc296891035"/>
      <w:bookmarkStart w:id="442" w:name="_Toc296346708"/>
      <w:bookmarkStart w:id="443" w:name="_Toc292559412"/>
      <w:r>
        <w:rPr>
          <w:rFonts w:hint="eastAsia" w:ascii="宋体" w:hAnsi="宋体" w:cs="宋体"/>
          <w:color w:val="auto"/>
          <w:spacing w:val="0"/>
          <w:sz w:val="21"/>
          <w:szCs w:val="21"/>
          <w:highlight w:val="none"/>
          <w:lang w:eastAsia="zh-CN"/>
        </w:rPr>
        <w:t>总价包含的风险范围：</w:t>
      </w:r>
      <w:r>
        <w:rPr>
          <w:rFonts w:hint="eastAsia" w:ascii="宋体" w:hAnsi="宋体" w:cs="宋体"/>
          <w:color w:val="auto"/>
          <w:spacing w:val="0"/>
          <w:sz w:val="21"/>
          <w:szCs w:val="21"/>
          <w:highlight w:val="none"/>
          <w:u w:val="single"/>
          <w:lang w:eastAsia="zh-CN"/>
        </w:rPr>
        <w:t xml:space="preserve"> / 。</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lang w:eastAsia="zh-CN"/>
        </w:rPr>
        <w:t>风险费用的计算方法：</w:t>
      </w:r>
      <w:r>
        <w:rPr>
          <w:rFonts w:hint="eastAsia" w:ascii="宋体" w:hAnsi="宋体" w:cs="宋体"/>
          <w:color w:val="auto"/>
          <w:spacing w:val="0"/>
          <w:sz w:val="21"/>
          <w:szCs w:val="21"/>
          <w:highlight w:val="none"/>
          <w:u w:val="single"/>
          <w:lang w:eastAsia="zh-CN"/>
        </w:rPr>
        <w:t xml:space="preserve"> / 。</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u w:val="single"/>
          <w:lang w:eastAsia="zh-CN"/>
        </w:rPr>
        <w:t>风</w:t>
      </w:r>
      <w:r>
        <w:rPr>
          <w:rFonts w:hint="eastAsia" w:ascii="宋体" w:hAnsi="宋体" w:cs="宋体"/>
          <w:color w:val="auto"/>
          <w:spacing w:val="0"/>
          <w:sz w:val="21"/>
          <w:szCs w:val="21"/>
          <w:highlight w:val="none"/>
          <w:lang w:eastAsia="zh-CN"/>
        </w:rPr>
        <w:t>险范围以外合同价格的调整方法：</w:t>
      </w:r>
      <w:r>
        <w:rPr>
          <w:rFonts w:hint="eastAsia" w:ascii="宋体" w:hAnsi="宋体" w:cs="宋体"/>
          <w:color w:val="auto"/>
          <w:spacing w:val="0"/>
          <w:sz w:val="21"/>
          <w:szCs w:val="21"/>
          <w:highlight w:val="none"/>
          <w:u w:val="single"/>
          <w:lang w:eastAsia="zh-CN"/>
        </w:rPr>
        <w:t xml:space="preserve"> / 。</w:t>
      </w:r>
    </w:p>
    <w:p>
      <w:pPr>
        <w:keepNext w:val="0"/>
        <w:keepLines w:val="0"/>
        <w:pageBreakBefore w:val="0"/>
        <w:spacing w:after="0" w:line="360" w:lineRule="auto"/>
        <w:ind w:firstLine="420"/>
        <w:rPr>
          <w:rFonts w:hint="eastAsia" w:ascii="宋体" w:hAnsi="宋体" w:cs="宋体"/>
          <w:b/>
          <w:color w:val="auto"/>
          <w:spacing w:val="0"/>
          <w:sz w:val="21"/>
          <w:szCs w:val="21"/>
          <w:highlight w:val="none"/>
          <w:u w:val="single"/>
          <w:lang w:eastAsia="zh-CN"/>
        </w:rPr>
      </w:pPr>
      <w:r>
        <w:rPr>
          <w:rFonts w:hint="eastAsia" w:ascii="宋体" w:hAnsi="宋体" w:cs="宋体"/>
          <w:color w:val="auto"/>
          <w:spacing w:val="0"/>
          <w:sz w:val="21"/>
          <w:szCs w:val="21"/>
          <w:highlight w:val="none"/>
          <w:lang w:eastAsia="zh-CN"/>
        </w:rPr>
        <w:t>3、其他价格方式：</w:t>
      </w:r>
      <w:r>
        <w:rPr>
          <w:rFonts w:hint="eastAsia" w:ascii="宋体" w:hAnsi="宋体" w:cs="宋体"/>
          <w:color w:val="auto"/>
          <w:spacing w:val="0"/>
          <w:sz w:val="21"/>
          <w:szCs w:val="21"/>
          <w:highlight w:val="none"/>
          <w:u w:val="single"/>
          <w:lang w:eastAsia="zh-CN"/>
        </w:rPr>
        <w:t xml:space="preserve"> /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12.2 预付款</w:t>
      </w:r>
      <w:bookmarkEnd w:id="428"/>
      <w:bookmarkEnd w:id="429"/>
      <w:bookmarkEnd w:id="430"/>
      <w:bookmarkEnd w:id="431"/>
      <w:bookmarkEnd w:id="432"/>
      <w:bookmarkEnd w:id="433"/>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12.2.1 预付款的支付</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预付款支付比例或金额：</w:t>
      </w:r>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预付款支付期限：</w:t>
      </w:r>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预付款扣回的方式：</w:t>
      </w:r>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12.2.2 预付款担保</w:t>
      </w:r>
      <w:bookmarkEnd w:id="434"/>
      <w:bookmarkEnd w:id="435"/>
      <w:bookmarkEnd w:id="436"/>
      <w:bookmarkEnd w:id="437"/>
      <w:bookmarkEnd w:id="438"/>
      <w:bookmarkEnd w:id="439"/>
      <w:bookmarkEnd w:id="440"/>
      <w:bookmarkEnd w:id="441"/>
      <w:bookmarkEnd w:id="442"/>
      <w:bookmarkEnd w:id="443"/>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承包人提交预付款担保的期限：</w:t>
      </w:r>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预付款担保的形式为：</w:t>
      </w:r>
      <w:r>
        <w:rPr>
          <w:rFonts w:hint="eastAsia" w:ascii="宋体" w:hAnsi="宋体" w:eastAsia="宋体" w:cs="宋体"/>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 计量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12.3.1 计量原则</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工程量计算规则：</w:t>
      </w:r>
      <w:r>
        <w:rPr>
          <w:rFonts w:hint="eastAsia" w:ascii="宋体" w:hAnsi="宋体" w:eastAsia="宋体" w:cs="宋体"/>
          <w:bCs/>
          <w:color w:val="auto"/>
          <w:spacing w:val="0"/>
          <w:sz w:val="21"/>
          <w:szCs w:val="21"/>
          <w:highlight w:val="none"/>
          <w:u w:val="single"/>
          <w:lang w:val="en-US" w:eastAsia="zh-CN" w:bidi="ar"/>
        </w:rPr>
        <w:t>按苏建价（2014）448号《省住房城乡建设厅关于〈建设工程工程量清单计价规范〉（GB50500-2013）及其9本工程量计算规范的贯彻意见》执行。其中模板工程量的计量以实际接触面积为准</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12.3.2 计量周期</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关于计量周期的约定：</w:t>
      </w:r>
      <w:r>
        <w:rPr>
          <w:rFonts w:hint="eastAsia" w:ascii="宋体" w:hAnsi="宋体" w:eastAsia="宋体" w:cs="宋体"/>
          <w:color w:val="auto"/>
          <w:spacing w:val="0"/>
          <w:sz w:val="21"/>
          <w:szCs w:val="21"/>
          <w:highlight w:val="none"/>
          <w:u w:val="single"/>
          <w:lang w:val="en-US" w:eastAsia="zh-CN" w:bidi="ar"/>
        </w:rPr>
        <w:t>按月计量，每月27日前提供本月已完工程量完成情况报告</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12.3.3 单价合同的计量</w:t>
      </w:r>
    </w:p>
    <w:p>
      <w:pPr>
        <w:keepNext w:val="0"/>
        <w:keepLines w:val="0"/>
        <w:pageBreakBefore w:val="0"/>
        <w:spacing w:after="0" w:line="360" w:lineRule="auto"/>
        <w:ind w:firstLine="420"/>
        <w:rPr>
          <w:rFonts w:hint="eastAsia" w:ascii="宋体" w:hAnsi="宋体" w:cs="宋体"/>
          <w:b/>
          <w:color w:val="auto"/>
          <w:spacing w:val="0"/>
          <w:sz w:val="21"/>
          <w:szCs w:val="21"/>
          <w:highlight w:val="none"/>
          <w:lang w:eastAsia="zh-CN"/>
        </w:rPr>
      </w:pPr>
      <w:r>
        <w:rPr>
          <w:rFonts w:hint="eastAsia" w:ascii="宋体" w:hAnsi="宋体" w:cs="宋体"/>
          <w:color w:val="auto"/>
          <w:spacing w:val="0"/>
          <w:sz w:val="21"/>
          <w:szCs w:val="21"/>
          <w:highlight w:val="none"/>
          <w:lang w:eastAsia="zh-CN"/>
        </w:rPr>
        <w:t>关于单价合同计量的约定：</w:t>
      </w:r>
      <w:r>
        <w:rPr>
          <w:rFonts w:hint="eastAsia" w:ascii="宋体" w:hAnsi="宋体" w:cs="宋体"/>
          <w:color w:val="auto"/>
          <w:spacing w:val="0"/>
          <w:sz w:val="21"/>
          <w:szCs w:val="21"/>
          <w:highlight w:val="none"/>
          <w:u w:val="single"/>
          <w:lang w:eastAsia="zh-CN"/>
        </w:rPr>
        <w:t>执行通用条款。</w:t>
      </w:r>
    </w:p>
    <w:p>
      <w:pPr>
        <w:keepNext w:val="0"/>
        <w:keepLines w:val="0"/>
        <w:pageBreakBefore w:val="0"/>
        <w:spacing w:after="0" w:line="360" w:lineRule="auto"/>
        <w:ind w:firstLine="420"/>
        <w:rPr>
          <w:rFonts w:hint="eastAsia" w:ascii="宋体" w:hAnsi="宋体" w:cs="宋体"/>
          <w:b/>
          <w:color w:val="auto"/>
          <w:spacing w:val="0"/>
          <w:sz w:val="21"/>
          <w:szCs w:val="21"/>
          <w:highlight w:val="none"/>
          <w:lang w:eastAsia="zh-CN"/>
        </w:rPr>
      </w:pPr>
      <w:r>
        <w:rPr>
          <w:rFonts w:hint="eastAsia" w:ascii="宋体" w:hAnsi="宋体" w:cs="宋体"/>
          <w:color w:val="auto"/>
          <w:spacing w:val="0"/>
          <w:sz w:val="21"/>
          <w:szCs w:val="21"/>
          <w:highlight w:val="none"/>
          <w:lang w:eastAsia="zh-CN"/>
        </w:rPr>
        <w:t>12.3.4总价合同的计量</w:t>
      </w:r>
    </w:p>
    <w:p>
      <w:pPr>
        <w:keepNext w:val="0"/>
        <w:keepLines w:val="0"/>
        <w:pageBreakBefore w:val="0"/>
        <w:spacing w:after="0" w:line="360" w:lineRule="auto"/>
        <w:ind w:firstLine="420"/>
        <w:rPr>
          <w:rFonts w:hint="eastAsia" w:ascii="宋体" w:hAnsi="宋体" w:cs="宋体"/>
          <w:b/>
          <w:color w:val="auto"/>
          <w:spacing w:val="0"/>
          <w:sz w:val="21"/>
          <w:szCs w:val="21"/>
          <w:highlight w:val="none"/>
          <w:lang w:eastAsia="zh-CN"/>
        </w:rPr>
      </w:pPr>
      <w:r>
        <w:rPr>
          <w:rFonts w:hint="eastAsia" w:ascii="宋体" w:hAnsi="宋体" w:cs="宋体"/>
          <w:color w:val="auto"/>
          <w:spacing w:val="0"/>
          <w:sz w:val="21"/>
          <w:szCs w:val="21"/>
          <w:highlight w:val="none"/>
          <w:lang w:eastAsia="zh-CN"/>
        </w:rPr>
        <w:t>关于总价合同计量的约定：</w:t>
      </w:r>
      <w:r>
        <w:rPr>
          <w:rFonts w:hint="eastAsia" w:ascii="宋体" w:hAnsi="宋体" w:cs="宋体"/>
          <w:color w:val="auto"/>
          <w:spacing w:val="0"/>
          <w:sz w:val="21"/>
          <w:szCs w:val="21"/>
          <w:highlight w:val="none"/>
          <w:u w:val="single"/>
          <w:lang w:eastAsia="zh-CN"/>
        </w:rPr>
        <w:t xml:space="preserve"> /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12.3.5总价合同采用支付分解表计量支付的，是否适用第12.3.4 项〔总价合同的计量〕约定进行计量：</w:t>
      </w:r>
      <w:r>
        <w:rPr>
          <w:rFonts w:hint="eastAsia" w:ascii="宋体" w:hAnsi="宋体" w:eastAsia="宋体" w:cs="宋体"/>
          <w:color w:val="auto"/>
          <w:spacing w:val="0"/>
          <w:sz w:val="24"/>
          <w:szCs w:val="24"/>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12.3.6 其他价格形式合同的计量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其他价格形式的计量方式和程序：</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12.4 工程进度款支付</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bookmarkStart w:id="444" w:name="_Toc297123556"/>
      <w:bookmarkStart w:id="445" w:name="_Toc296503211"/>
      <w:bookmarkStart w:id="446" w:name="_Toc296891251"/>
      <w:bookmarkStart w:id="447" w:name="_Toc292559416"/>
      <w:bookmarkStart w:id="448" w:name="_Toc297120511"/>
      <w:bookmarkStart w:id="449" w:name="_Toc297048397"/>
      <w:bookmarkStart w:id="450" w:name="_Toc300935006"/>
      <w:bookmarkStart w:id="451" w:name="_Toc292559921"/>
      <w:bookmarkStart w:id="452" w:name="_Toc296891039"/>
      <w:bookmarkStart w:id="453" w:name="_Toc296347210"/>
      <w:bookmarkStart w:id="454" w:name="_Toc303539163"/>
      <w:bookmarkStart w:id="455" w:name="_Toc297216215"/>
      <w:bookmarkStart w:id="456" w:name="_Toc296944550"/>
      <w:bookmarkStart w:id="457" w:name="_Toc296346712"/>
      <w:r>
        <w:rPr>
          <w:rFonts w:hint="eastAsia" w:ascii="宋体" w:hAnsi="宋体" w:eastAsia="宋体" w:cs="宋体"/>
          <w:color w:val="auto"/>
          <w:spacing w:val="0"/>
          <w:sz w:val="21"/>
          <w:szCs w:val="21"/>
          <w:highlight w:val="none"/>
          <w:lang w:val="en-US" w:eastAsia="zh-CN" w:bidi="ar"/>
        </w:rPr>
        <w:t>12.4.1 付款周期</w:t>
      </w:r>
    </w:p>
    <w:p>
      <w:pPr>
        <w:pStyle w:val="26"/>
        <w:keepNext w:val="0"/>
        <w:keepLines w:val="0"/>
        <w:pageBreakBefore w:val="0"/>
        <w:widowControl/>
        <w:suppressLineNumbers w:val="0"/>
        <w:spacing w:before="0" w:beforeAutospacing="0" w:after="0" w:afterAutospacing="0" w:line="360" w:lineRule="auto"/>
        <w:ind w:left="420" w:right="360"/>
        <w:rPr>
          <w:rFonts w:hint="eastAsia" w:ascii="宋体" w:hAnsi="Calibri"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eastAsia="zh-CN"/>
        </w:rPr>
        <w:t>关于付款周期的约定：</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u w:val="single"/>
          <w:lang w:val="en-US" w:eastAsia="zh-CN" w:bidi="ar"/>
        </w:rPr>
      </w:pPr>
      <w:r>
        <w:rPr>
          <w:rFonts w:hint="eastAsia" w:ascii="宋体" w:hAnsi="宋体" w:eastAsia="宋体" w:cs="宋体"/>
          <w:color w:val="auto"/>
          <w:spacing w:val="0"/>
          <w:sz w:val="21"/>
          <w:szCs w:val="21"/>
          <w:highlight w:val="none"/>
          <w:u w:val="single"/>
          <w:lang w:val="en-US" w:eastAsia="zh-CN" w:bidi="ar"/>
        </w:rPr>
        <w:t>（1）本项目按工程进度付款。</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Times New Roman" w:eastAsia="宋体" w:cs="宋体"/>
          <w:color w:val="auto"/>
          <w:spacing w:val="0"/>
          <w:szCs w:val="21"/>
          <w:highlight w:val="none"/>
          <w:u w:val="single"/>
          <w:lang w:val="en-US" w:eastAsia="zh-CN"/>
        </w:rPr>
        <w:t>（2）</w:t>
      </w:r>
      <w:r>
        <w:rPr>
          <w:rFonts w:hint="eastAsia" w:ascii="宋体" w:hAnsi="Times New Roman" w:eastAsia="宋体" w:cs="宋体"/>
          <w:color w:val="auto"/>
          <w:spacing w:val="0"/>
          <w:szCs w:val="21"/>
          <w:highlight w:val="none"/>
          <w:u w:val="single"/>
          <w:lang w:val="en-US"/>
        </w:rPr>
        <w:t>签订合同</w:t>
      </w:r>
      <w:r>
        <w:rPr>
          <w:rFonts w:hint="eastAsia" w:ascii="宋体" w:hAnsi="Times New Roman" w:eastAsia="宋体" w:cs="宋体"/>
          <w:color w:val="auto"/>
          <w:spacing w:val="0"/>
          <w:szCs w:val="21"/>
          <w:highlight w:val="none"/>
          <w:u w:val="single"/>
          <w:lang w:val="en-US" w:eastAsia="zh-CN"/>
        </w:rPr>
        <w:t>、提交履约保证金、进场后</w:t>
      </w:r>
      <w:r>
        <w:rPr>
          <w:rFonts w:hint="eastAsia" w:ascii="宋体" w:hAnsi="Times New Roman" w:eastAsia="宋体" w:cs="宋体"/>
          <w:color w:val="auto"/>
          <w:spacing w:val="0"/>
          <w:szCs w:val="21"/>
          <w:highlight w:val="none"/>
          <w:u w:val="single"/>
          <w:lang w:val="en-US"/>
        </w:rPr>
        <w:t>14天内支付合同价款的</w:t>
      </w:r>
      <w:r>
        <w:rPr>
          <w:rFonts w:hint="eastAsia" w:ascii="宋体" w:hAnsi="Times New Roman" w:eastAsia="宋体" w:cs="宋体"/>
          <w:color w:val="auto"/>
          <w:spacing w:val="0"/>
          <w:szCs w:val="21"/>
          <w:highlight w:val="none"/>
          <w:u w:val="single"/>
          <w:lang w:val="en-US" w:eastAsia="zh-CN"/>
        </w:rPr>
        <w:t>2</w:t>
      </w:r>
      <w:r>
        <w:rPr>
          <w:rFonts w:hint="eastAsia" w:ascii="宋体" w:hAnsi="Times New Roman" w:eastAsia="宋体" w:cs="宋体"/>
          <w:color w:val="auto"/>
          <w:spacing w:val="0"/>
          <w:szCs w:val="21"/>
          <w:highlight w:val="none"/>
          <w:u w:val="single"/>
          <w:lang w:val="en-US"/>
        </w:rPr>
        <w:t>0%；</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Times New Roman" w:eastAsia="宋体" w:cs="宋体"/>
          <w:color w:val="auto"/>
          <w:spacing w:val="0"/>
          <w:szCs w:val="21"/>
          <w:highlight w:val="none"/>
          <w:u w:val="single"/>
          <w:lang w:val="en-US" w:eastAsia="zh-CN"/>
        </w:rPr>
        <w:t>（3）装修部分验收合格、</w:t>
      </w:r>
      <w:r>
        <w:rPr>
          <w:rFonts w:hint="eastAsia" w:ascii="宋体" w:hAnsi="Times New Roman" w:eastAsia="宋体" w:cs="宋体"/>
          <w:color w:val="auto"/>
          <w:spacing w:val="0"/>
          <w:szCs w:val="21"/>
          <w:highlight w:val="none"/>
          <w:u w:val="single"/>
          <w:lang w:val="en-US"/>
        </w:rPr>
        <w:t>主要设备进场经验收合格后14天内支付合同价款的</w:t>
      </w:r>
      <w:r>
        <w:rPr>
          <w:rFonts w:hint="eastAsia" w:ascii="宋体" w:hAnsi="Times New Roman" w:eastAsia="宋体" w:cs="宋体"/>
          <w:color w:val="auto"/>
          <w:spacing w:val="0"/>
          <w:szCs w:val="21"/>
          <w:highlight w:val="none"/>
          <w:u w:val="single"/>
          <w:lang w:val="en-US" w:eastAsia="zh-CN"/>
        </w:rPr>
        <w:t>6</w:t>
      </w:r>
      <w:r>
        <w:rPr>
          <w:rFonts w:hint="eastAsia" w:ascii="宋体" w:hAnsi="Times New Roman" w:eastAsia="宋体" w:cs="宋体"/>
          <w:color w:val="auto"/>
          <w:spacing w:val="0"/>
          <w:szCs w:val="21"/>
          <w:highlight w:val="none"/>
          <w:u w:val="single"/>
          <w:lang w:val="en-US"/>
        </w:rPr>
        <w:t>0%；</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Times New Roman" w:eastAsia="宋体" w:cs="宋体"/>
          <w:color w:val="auto"/>
          <w:spacing w:val="0"/>
          <w:szCs w:val="21"/>
          <w:highlight w:val="none"/>
          <w:u w:val="single"/>
          <w:lang w:val="en-US" w:eastAsia="zh-CN"/>
        </w:rPr>
        <w:t>（4）</w:t>
      </w:r>
      <w:r>
        <w:rPr>
          <w:rFonts w:hint="eastAsia" w:ascii="宋体" w:hAnsi="Times New Roman" w:eastAsia="宋体" w:cs="宋体"/>
          <w:color w:val="auto"/>
          <w:spacing w:val="0"/>
          <w:szCs w:val="21"/>
          <w:highlight w:val="none"/>
          <w:u w:val="single"/>
          <w:lang w:val="en-US"/>
        </w:rPr>
        <w:t>安装调试完毕验收合格付至审计价款的</w:t>
      </w:r>
      <w:r>
        <w:rPr>
          <w:rFonts w:hint="eastAsia" w:ascii="宋体" w:hAnsi="Times New Roman" w:eastAsia="宋体" w:cs="宋体"/>
          <w:color w:val="auto"/>
          <w:spacing w:val="0"/>
          <w:szCs w:val="21"/>
          <w:highlight w:val="none"/>
          <w:u w:val="single"/>
          <w:lang w:val="en-US" w:eastAsia="zh-CN"/>
        </w:rPr>
        <w:t>100</w:t>
      </w:r>
      <w:r>
        <w:rPr>
          <w:rFonts w:hint="eastAsia" w:ascii="宋体" w:hAnsi="Times New Roman" w:eastAsia="宋体" w:cs="宋体"/>
          <w:color w:val="auto"/>
          <w:spacing w:val="0"/>
          <w:szCs w:val="21"/>
          <w:highlight w:val="none"/>
          <w:u w:val="single"/>
          <w:lang w:val="en-US"/>
        </w:rPr>
        <w:t>%，</w:t>
      </w:r>
      <w:r>
        <w:rPr>
          <w:rFonts w:hint="eastAsia" w:ascii="宋体" w:hAnsi="Times New Roman" w:eastAsia="宋体" w:cs="宋体"/>
          <w:color w:val="auto"/>
          <w:spacing w:val="0"/>
          <w:szCs w:val="21"/>
          <w:highlight w:val="none"/>
          <w:u w:val="single"/>
          <w:lang w:val="en-US" w:eastAsia="zh-CN"/>
        </w:rPr>
        <w:t>同时提交审计价款的3%作为质保金，</w:t>
      </w:r>
      <w:r>
        <w:rPr>
          <w:rFonts w:hint="eastAsia" w:ascii="宋体" w:hAnsi="Times New Roman" w:eastAsia="宋体" w:cs="宋体"/>
          <w:color w:val="auto"/>
          <w:spacing w:val="0"/>
          <w:szCs w:val="21"/>
          <w:highlight w:val="none"/>
          <w:u w:val="single"/>
          <w:lang w:val="en-US"/>
        </w:rPr>
        <w:t>自验收合格之日起</w:t>
      </w:r>
      <w:r>
        <w:rPr>
          <w:rFonts w:hint="eastAsia" w:ascii="宋体" w:hAnsi="Times New Roman" w:eastAsia="宋体" w:cs="宋体"/>
          <w:color w:val="auto"/>
          <w:spacing w:val="0"/>
          <w:szCs w:val="21"/>
          <w:highlight w:val="none"/>
          <w:u w:val="single"/>
          <w:lang w:val="en-US" w:eastAsia="zh-CN"/>
        </w:rPr>
        <w:t>三</w:t>
      </w:r>
      <w:r>
        <w:rPr>
          <w:rFonts w:hint="eastAsia" w:ascii="宋体" w:hAnsi="Times New Roman" w:eastAsia="宋体" w:cs="宋体"/>
          <w:color w:val="auto"/>
          <w:spacing w:val="0"/>
          <w:szCs w:val="21"/>
          <w:highlight w:val="none"/>
          <w:u w:val="single"/>
          <w:lang w:val="en-US"/>
        </w:rPr>
        <w:t>年内服务无质量问题，</w:t>
      </w:r>
      <w:r>
        <w:rPr>
          <w:rFonts w:hint="eastAsia" w:ascii="宋体" w:hAnsi="Times New Roman" w:eastAsia="宋体" w:cs="宋体"/>
          <w:color w:val="auto"/>
          <w:spacing w:val="0"/>
          <w:szCs w:val="21"/>
          <w:highlight w:val="none"/>
          <w:u w:val="single"/>
          <w:lang w:val="en-US" w:eastAsia="zh-CN"/>
        </w:rPr>
        <w:t>退还质保金（无息）</w:t>
      </w:r>
      <w:r>
        <w:rPr>
          <w:rFonts w:hint="eastAsia" w:ascii="宋体" w:hAnsi="Times New Roman" w:eastAsia="宋体" w:cs="宋体"/>
          <w:color w:val="auto"/>
          <w:spacing w:val="0"/>
          <w:szCs w:val="21"/>
          <w:highlight w:val="none"/>
          <w:u w:val="single"/>
          <w:lang w:val="en-US"/>
        </w:rPr>
        <w:t>。如在保修期内有质量问题经维修后保修期顺延。</w:t>
      </w:r>
    </w:p>
    <w:p>
      <w:pPr>
        <w:pStyle w:val="26"/>
        <w:keepNext w:val="0"/>
        <w:keepLines w:val="0"/>
        <w:pageBreakBefore w:val="0"/>
        <w:widowControl/>
        <w:spacing w:before="0" w:beforeAutospacing="0" w:after="0" w:afterAutospacing="0" w:line="360" w:lineRule="auto"/>
        <w:ind w:left="0" w:right="360" w:firstLine="420"/>
        <w:rPr>
          <w:rFonts w:hint="eastAsia" w:ascii="宋体" w:hAnsi="Calibri"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rPr>
        <w:t xml:space="preserve">12.4.2 </w:t>
      </w:r>
      <w:r>
        <w:rPr>
          <w:rFonts w:hint="eastAsia" w:ascii="宋体" w:hAnsi="宋体" w:eastAsia="宋体" w:cs="宋体"/>
          <w:color w:val="auto"/>
          <w:spacing w:val="0"/>
          <w:sz w:val="21"/>
          <w:szCs w:val="21"/>
          <w:highlight w:val="none"/>
          <w:lang w:eastAsia="zh-CN"/>
        </w:rPr>
        <w:t>进度付款申请单的编制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关于进度付款申请单编制的约定：</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eastAsia" w:ascii="宋体" w:hAnsi="宋体" w:eastAsia="宋体" w:cs="宋体"/>
          <w:color w:val="auto"/>
          <w:spacing w:val="0"/>
          <w:sz w:val="21"/>
          <w:szCs w:val="21"/>
          <w:highlight w:val="none"/>
          <w:lang w:val="en-US" w:eastAsia="zh-CN" w:bidi="ar"/>
        </w:rPr>
        <w:t>2.4.3 进度付款申请单的提交</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（1）单价合同进度付款申请单提交的约定：</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（2）总价合同进度付款申请单提交的约定：</w:t>
      </w:r>
      <w:r>
        <w:rPr>
          <w:rFonts w:hint="eastAsia" w:ascii="宋体" w:hAnsi="宋体" w:eastAsia="宋体" w:cs="宋体"/>
          <w:bCs/>
          <w:color w:val="auto"/>
          <w:spacing w:val="0"/>
          <w:sz w:val="21"/>
          <w:szCs w:val="21"/>
          <w:highlight w:val="none"/>
          <w:u w:val="single"/>
          <w:lang w:val="en-US" w:eastAsia="zh-CN" w:bidi="ar"/>
        </w:rPr>
        <w:t>按付款节点提供</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（3）其他价格形式合同进度付款申请单提交的约定：</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12.4.4 进度款审核和支付</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（1）监理人审查并报送发包人的期限：</w:t>
      </w:r>
      <w:r>
        <w:rPr>
          <w:rFonts w:hint="eastAsia" w:ascii="宋体" w:hAnsi="宋体" w:eastAsia="宋体" w:cs="宋体"/>
          <w:bCs/>
          <w:color w:val="auto"/>
          <w:spacing w:val="0"/>
          <w:sz w:val="21"/>
          <w:szCs w:val="21"/>
          <w:highlight w:val="none"/>
          <w:u w:val="single"/>
          <w:lang w:val="en-US" w:eastAsia="zh-CN" w:bidi="ar"/>
        </w:rPr>
        <w:t>按通用条款执行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发包人完成审批并签发进度款支付证书的期限：</w:t>
      </w:r>
      <w:r>
        <w:rPr>
          <w:rFonts w:hint="eastAsia" w:ascii="宋体" w:hAnsi="宋体" w:eastAsia="宋体" w:cs="宋体"/>
          <w:bCs/>
          <w:color w:val="auto"/>
          <w:spacing w:val="0"/>
          <w:sz w:val="21"/>
          <w:szCs w:val="21"/>
          <w:highlight w:val="none"/>
          <w:u w:val="single"/>
          <w:lang w:val="en-US" w:eastAsia="zh-CN" w:bidi="ar"/>
        </w:rPr>
        <w:t>按通用条款执行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（2）发包人支付进度款的期限：</w:t>
      </w:r>
      <w:r>
        <w:rPr>
          <w:rFonts w:hint="eastAsia" w:ascii="宋体" w:hAnsi="宋体" w:eastAsia="宋体" w:cs="宋体"/>
          <w:bCs/>
          <w:color w:val="auto"/>
          <w:spacing w:val="0"/>
          <w:sz w:val="21"/>
          <w:szCs w:val="21"/>
          <w:highlight w:val="none"/>
          <w:u w:val="single"/>
          <w:lang w:val="en-US" w:eastAsia="zh-CN" w:bidi="ar"/>
        </w:rPr>
        <w:t>按通用条款执行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发包人逾期支付进度款的违约金的计算方式：</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12.4.6 支付分解表的编制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2.总价合同支付分解表的编制与审批：</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3.单价合同的总价项目支付分解表的编制与审批：</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287"/>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spacing w:val="0"/>
          <w:szCs w:val="21"/>
          <w:highlight w:val="none"/>
          <w:lang w:val="en-US"/>
        </w:rPr>
      </w:pPr>
      <w:bookmarkStart w:id="458" w:name="_Toc296891047"/>
      <w:bookmarkStart w:id="459" w:name="_Toc292559929"/>
      <w:bookmarkStart w:id="460" w:name="_Toc297216223"/>
      <w:bookmarkStart w:id="461" w:name="_Toc296346720"/>
      <w:bookmarkStart w:id="462" w:name="_Toc351203645"/>
      <w:bookmarkStart w:id="463" w:name="_Toc297123564"/>
      <w:bookmarkStart w:id="464" w:name="_Toc296503219"/>
      <w:bookmarkStart w:id="465" w:name="_Toc300935015"/>
      <w:bookmarkStart w:id="466" w:name="_Toc296944558"/>
      <w:bookmarkStart w:id="467" w:name="_Toc312678053"/>
      <w:bookmarkStart w:id="468" w:name="_Toc297120519"/>
      <w:bookmarkStart w:id="469" w:name="_Toc297048405"/>
      <w:bookmarkStart w:id="470" w:name="_Toc304295593"/>
      <w:bookmarkStart w:id="471" w:name="_Toc303539172"/>
      <w:bookmarkStart w:id="472" w:name="_Toc292559424"/>
      <w:bookmarkStart w:id="473" w:name="_Toc296891259"/>
      <w:bookmarkStart w:id="474" w:name="_Toc296347218"/>
      <w:r>
        <w:rPr>
          <w:rFonts w:hint="eastAsia" w:ascii="宋体" w:hAnsi="宋体" w:eastAsia="宋体" w:cs="宋体"/>
          <w:color w:val="auto"/>
          <w:spacing w:val="0"/>
          <w:sz w:val="21"/>
          <w:szCs w:val="21"/>
          <w:highlight w:val="none"/>
          <w:lang w:val="en-US" w:eastAsia="zh-CN" w:bidi="ar"/>
        </w:rPr>
        <w:t>13.验收和工程试车</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13.1 分部分项工程验收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13.1.2监理人不能按时进行验收时，应提前</w:t>
      </w:r>
      <w:r>
        <w:rPr>
          <w:rFonts w:hint="eastAsia" w:ascii="宋体" w:hAnsi="宋体" w:eastAsia="宋体" w:cs="宋体"/>
          <w:bCs/>
          <w:color w:val="auto"/>
          <w:spacing w:val="0"/>
          <w:sz w:val="21"/>
          <w:szCs w:val="21"/>
          <w:highlight w:val="none"/>
          <w:u w:val="single"/>
          <w:lang w:val="en-US" w:eastAsia="zh-CN" w:bidi="ar"/>
        </w:rPr>
        <w:t>24</w:t>
      </w:r>
      <w:r>
        <w:rPr>
          <w:rFonts w:hint="eastAsia" w:ascii="宋体" w:hAnsi="宋体" w:eastAsia="宋体" w:cs="宋体"/>
          <w:color w:val="auto"/>
          <w:spacing w:val="0"/>
          <w:sz w:val="21"/>
          <w:szCs w:val="21"/>
          <w:highlight w:val="none"/>
          <w:lang w:val="en-US" w:eastAsia="zh-CN" w:bidi="ar"/>
        </w:rPr>
        <w:t>小时提交书面延期要求。</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
          <w:bCs w:val="0"/>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关于延期最长不得超过：</w:t>
      </w:r>
      <w:r>
        <w:rPr>
          <w:rFonts w:hint="eastAsia" w:ascii="宋体" w:hAnsi="宋体" w:eastAsia="宋体" w:cs="宋体"/>
          <w:bCs/>
          <w:color w:val="auto"/>
          <w:spacing w:val="0"/>
          <w:sz w:val="21"/>
          <w:szCs w:val="21"/>
          <w:highlight w:val="none"/>
          <w:u w:val="single"/>
          <w:lang w:val="en-US" w:eastAsia="zh-CN" w:bidi="ar"/>
        </w:rPr>
        <w:t>48</w:t>
      </w:r>
      <w:r>
        <w:rPr>
          <w:rFonts w:hint="eastAsia" w:ascii="宋体" w:hAnsi="宋体" w:eastAsia="宋体" w:cs="宋体"/>
          <w:color w:val="auto"/>
          <w:spacing w:val="0"/>
          <w:sz w:val="21"/>
          <w:szCs w:val="21"/>
          <w:highlight w:val="none"/>
          <w:lang w:val="en-US" w:eastAsia="zh-CN" w:bidi="ar"/>
        </w:rPr>
        <w:t>小时。</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bookmarkStart w:id="475" w:name="_Toc312678056"/>
      <w:bookmarkStart w:id="476" w:name="_Toc296346724"/>
      <w:bookmarkStart w:id="477" w:name="_Toc296944562"/>
      <w:bookmarkStart w:id="478" w:name="_Toc297120523"/>
      <w:bookmarkStart w:id="479" w:name="_Toc292559933"/>
      <w:bookmarkStart w:id="480" w:name="_Toc303539173"/>
      <w:bookmarkStart w:id="481" w:name="_Toc296891263"/>
      <w:bookmarkStart w:id="482" w:name="_Toc297123565"/>
      <w:bookmarkStart w:id="483" w:name="_Toc304295596"/>
      <w:bookmarkStart w:id="484" w:name="_Toc297216224"/>
      <w:bookmarkStart w:id="485" w:name="_Toc296347222"/>
      <w:bookmarkStart w:id="486" w:name="_Toc300935016"/>
      <w:bookmarkStart w:id="487" w:name="_Toc296503223"/>
      <w:bookmarkStart w:id="488" w:name="_Toc292559428"/>
      <w:bookmarkStart w:id="489" w:name="_Toc297048409"/>
      <w:bookmarkStart w:id="490" w:name="_Toc296891051"/>
      <w:bookmarkStart w:id="491" w:name="_Toc267251470"/>
      <w:bookmarkStart w:id="492" w:name="_Toc267251474"/>
      <w:bookmarkStart w:id="493" w:name="_Toc267251476"/>
      <w:bookmarkStart w:id="494" w:name="_Toc267251472"/>
      <w:bookmarkStart w:id="495" w:name="_Toc267251471"/>
      <w:bookmarkStart w:id="496" w:name="_Toc267251475"/>
      <w:bookmarkStart w:id="497" w:name="_Toc267251473"/>
      <w:r>
        <w:rPr>
          <w:rFonts w:hint="eastAsia" w:ascii="宋体" w:hAnsi="宋体" w:eastAsia="宋体" w:cs="宋体"/>
          <w:color w:val="auto"/>
          <w:spacing w:val="0"/>
          <w:sz w:val="21"/>
          <w:szCs w:val="21"/>
          <w:highlight w:val="none"/>
          <w:lang w:val="en-US" w:eastAsia="zh-CN" w:bidi="ar"/>
        </w:rPr>
        <w:t>13.2 竣工验收</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bookmarkStart w:id="498" w:name="_Toc280868704"/>
      <w:bookmarkStart w:id="499" w:name="_Toc280868705"/>
      <w:bookmarkStart w:id="500" w:name="_Toc280868706"/>
      <w:bookmarkStart w:id="501" w:name="_Toc280868707"/>
      <w:bookmarkStart w:id="502" w:name="_Toc280868708"/>
      <w:bookmarkStart w:id="503" w:name="_Toc280868709"/>
      <w:r>
        <w:rPr>
          <w:rFonts w:hint="eastAsia" w:ascii="宋体" w:hAnsi="宋体" w:eastAsia="宋体" w:cs="宋体"/>
          <w:color w:val="auto"/>
          <w:spacing w:val="0"/>
          <w:sz w:val="21"/>
          <w:szCs w:val="21"/>
          <w:highlight w:val="none"/>
          <w:lang w:val="en-US" w:eastAsia="zh-CN" w:bidi="ar"/>
        </w:rPr>
        <w:t>13.2.2竣工验收程序</w:t>
      </w:r>
      <w:bookmarkEnd w:id="498"/>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关于竣工验收程序的约定：</w:t>
      </w:r>
      <w:r>
        <w:rPr>
          <w:rFonts w:hint="eastAsia" w:ascii="宋体" w:hAnsi="宋体" w:eastAsia="宋体" w:cs="宋体"/>
          <w:color w:val="auto"/>
          <w:spacing w:val="0"/>
          <w:sz w:val="21"/>
          <w:szCs w:val="21"/>
          <w:highlight w:val="none"/>
          <w:u w:val="single"/>
          <w:lang w:val="en-US" w:eastAsia="zh-CN" w:bidi="ar"/>
        </w:rPr>
        <w:t>按通用条款执行</w:t>
      </w:r>
      <w:r>
        <w:rPr>
          <w:rFonts w:hint="eastAsia" w:ascii="宋体" w:hAnsi="宋体" w:eastAsia="宋体" w:cs="宋体"/>
          <w:bCs/>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发包人不按照本项约定组织竣工验收、颁发工程接收证书的违约金的计算方法：</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499"/>
    </w:p>
    <w:p>
      <w:pPr>
        <w:keepNext w:val="0"/>
        <w:keepLines w:val="0"/>
        <w:pageBreakBefore w:val="0"/>
        <w:widowControl w:val="0"/>
        <w:suppressLineNumbers w:val="0"/>
        <w:spacing w:before="0" w:beforeAutospacing="0" w:after="0" w:afterAutospacing="0" w:line="360" w:lineRule="auto"/>
        <w:ind w:left="0" w:right="0" w:firstLine="480"/>
        <w:jc w:val="left"/>
        <w:rPr>
          <w:rFonts w:hint="eastAsia" w:ascii="宋体" w:hAnsi="Times New Roman" w:eastAsia="宋体" w:cs="宋体"/>
          <w:color w:val="auto"/>
          <w:spacing w:val="0"/>
          <w:sz w:val="24"/>
          <w:szCs w:val="20"/>
          <w:highlight w:val="none"/>
          <w:lang w:val="en-US"/>
        </w:rPr>
      </w:pPr>
      <w:r>
        <w:rPr>
          <w:rFonts w:hint="eastAsia" w:ascii="宋体" w:hAnsi="宋体" w:eastAsia="宋体" w:cs="宋体"/>
          <w:color w:val="auto"/>
          <w:spacing w:val="0"/>
          <w:sz w:val="24"/>
          <w:szCs w:val="24"/>
          <w:highlight w:val="none"/>
          <w:lang w:val="en-US" w:eastAsia="zh-CN" w:bidi="ar"/>
        </w:rPr>
        <w:t xml:space="preserve">13.2.3 </w:t>
      </w:r>
      <w:r>
        <w:rPr>
          <w:rFonts w:hint="eastAsia" w:ascii="宋体" w:hAnsi="宋体" w:eastAsia="宋体" w:cs="宋体"/>
          <w:color w:val="auto"/>
          <w:spacing w:val="0"/>
          <w:sz w:val="21"/>
          <w:szCs w:val="21"/>
          <w:highlight w:val="none"/>
          <w:u w:val="single"/>
          <w:lang w:val="en-US" w:eastAsia="zh-CN" w:bidi="ar"/>
        </w:rPr>
        <w:t>竣工日期以竣工验收报告签署的最后日期为准</w:t>
      </w:r>
      <w:r>
        <w:rPr>
          <w:rFonts w:hint="eastAsia" w:ascii="宋体" w:hAnsi="宋体" w:eastAsia="宋体" w:cs="宋体"/>
          <w:color w:val="auto"/>
          <w:spacing w:val="0"/>
          <w:sz w:val="24"/>
          <w:szCs w:val="24"/>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13.2.5移交、接收全部与部分工程</w:t>
      </w:r>
      <w:bookmarkEnd w:id="50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承包人向发包人移交工程的期限：</w:t>
      </w:r>
      <w:r>
        <w:rPr>
          <w:rFonts w:hint="eastAsia" w:ascii="宋体" w:hAnsi="宋体" w:eastAsia="宋体" w:cs="宋体"/>
          <w:bCs/>
          <w:color w:val="auto"/>
          <w:spacing w:val="0"/>
          <w:sz w:val="21"/>
          <w:szCs w:val="21"/>
          <w:highlight w:val="none"/>
          <w:u w:val="single"/>
          <w:lang w:val="en-US" w:eastAsia="zh-CN" w:bidi="ar"/>
        </w:rPr>
        <w:t>自竣工验收合格之日起20天内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发包人未按本合同约定接收全部或部分工程的，违约金的计算方法为：</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bookmarkEnd w:id="50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承包人未按时移交工程的，违约金的计算方法为：</w:t>
      </w:r>
      <w:r>
        <w:rPr>
          <w:rFonts w:hint="eastAsia" w:ascii="宋体" w:hAnsi="宋体" w:eastAsia="宋体" w:cs="宋体"/>
          <w:bCs/>
          <w:color w:val="auto"/>
          <w:spacing w:val="0"/>
          <w:sz w:val="21"/>
          <w:szCs w:val="21"/>
          <w:highlight w:val="none"/>
          <w:u w:val="single"/>
          <w:lang w:val="en-US" w:eastAsia="zh-CN" w:bidi="ar"/>
        </w:rPr>
        <w:t>如承包人不能及时拆除或清理，对于占用的范围发包人将收取1000元/平方米/天的租金，发包人有权派人强行拆除并清理，造成的费用和损失由承包人承担</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13.3 工程试车</w:t>
      </w:r>
      <w:bookmarkEnd w:id="502"/>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13.3.1 试车程序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工程试车内容：。</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（1）单机无负荷试车费用由承担；</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（2）无负荷联动试车费用由承担。</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13.3.3 投料试车</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关于投料试车相关事项的约定：</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13.6 竣工退场</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13.6.1 竣工退场</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 w:val="24"/>
          <w:szCs w:val="20"/>
          <w:highlight w:val="none"/>
          <w:lang w:val="en-US"/>
        </w:rPr>
      </w:pPr>
      <w:r>
        <w:rPr>
          <w:rFonts w:hint="eastAsia" w:ascii="宋体" w:hAnsi="宋体" w:eastAsia="宋体" w:cs="宋体"/>
          <w:color w:val="auto"/>
          <w:spacing w:val="0"/>
          <w:sz w:val="21"/>
          <w:szCs w:val="21"/>
          <w:highlight w:val="none"/>
          <w:lang w:val="en-US" w:eastAsia="zh-CN" w:bidi="ar"/>
        </w:rPr>
        <w:t>承包人完成竣工退场的期限：</w:t>
      </w:r>
      <w:r>
        <w:rPr>
          <w:rFonts w:hint="eastAsia" w:ascii="宋体" w:hAnsi="宋体" w:eastAsia="宋体" w:cs="宋体"/>
          <w:color w:val="auto"/>
          <w:spacing w:val="0"/>
          <w:sz w:val="21"/>
          <w:szCs w:val="21"/>
          <w:highlight w:val="none"/>
          <w:u w:val="single"/>
          <w:lang w:val="en-US" w:eastAsia="zh-CN" w:bidi="ar"/>
        </w:rPr>
        <w:t>承包人须在工程竣工验收7天前拆除现场所有临时设施。承担所有建筑垃圾及剩余材料清运出现场的费用，并得到发包人认可。工程竣工验收后（发包人批准的除外），承包人的管理、施工人员，材料、设备必须在十天内全部退出现场；建筑、生活垃圾应随时清理出现场，确保场地清洁。人员全部撤离现场 后仍然有配合监理和审计工作的义务，并能及时处理现场事务</w:t>
      </w:r>
      <w:r>
        <w:rPr>
          <w:rFonts w:hint="eastAsia" w:ascii="宋体" w:hAnsi="宋体" w:eastAsia="宋体" w:cs="宋体"/>
          <w:color w:val="auto"/>
          <w:spacing w:val="0"/>
          <w:sz w:val="24"/>
          <w:szCs w:val="24"/>
          <w:highlight w:val="none"/>
          <w:lang w:val="en-US" w:eastAsia="zh-CN" w:bidi="ar"/>
        </w:rPr>
        <w:t>。</w:t>
      </w:r>
      <w:bookmarkStart w:id="504" w:name="_Toc351203646"/>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14. </w:t>
      </w:r>
      <w:r>
        <w:rPr>
          <w:rFonts w:hint="eastAsia" w:ascii="Times New Roman" w:hAnsi="Times New Roman" w:eastAsia="宋体" w:cs="宋体"/>
          <w:color w:val="auto"/>
          <w:spacing w:val="0"/>
          <w:sz w:val="21"/>
          <w:szCs w:val="21"/>
          <w:highlight w:val="none"/>
          <w:lang w:val="en-US" w:eastAsia="zh-CN" w:bidi="ar"/>
        </w:rPr>
        <w:t>竣工结算</w:t>
      </w:r>
      <w:bookmarkEnd w:id="504"/>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14.1 竣工付款申请</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承包人提交竣工付款申请单的期限：</w:t>
      </w:r>
      <w:r>
        <w:rPr>
          <w:rFonts w:hint="eastAsia" w:ascii="宋体" w:hAnsi="宋体" w:eastAsia="宋体" w:cs="宋体"/>
          <w:bCs/>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竣工付款申请单应包括的内容：</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14.2 竣工结算审核</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发包人审批竣工付款申请单的期限：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发包人完成竣工付款的期限：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发包人逾期支付竣工付款的违约金的计算方式：不计。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关于竣工付款证书异议部分复核的方式和程序：按通用条款执行。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14.4 最终结清</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14.4.1 最终结清申请单</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承包人提交最终结清申请单的份数：</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承包人提交最终结算申请单的期限：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14.4.2 最终结清证书和支付</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（1）发包人完成最终结清申请单的审批并颁发最终结清证书的期限：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（2）发包人完成支付的期限：</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bCs/>
          <w:color w:val="auto"/>
          <w:spacing w:val="0"/>
          <w:sz w:val="21"/>
          <w:szCs w:val="21"/>
          <w:highlight w:val="none"/>
          <w:lang w:val="en-US" w:eastAsia="zh-CN" w:bidi="ar"/>
        </w:rPr>
        <w:t>。</w:t>
      </w:r>
      <w:bookmarkEnd w:id="491"/>
      <w:bookmarkEnd w:id="492"/>
      <w:bookmarkEnd w:id="493"/>
      <w:bookmarkEnd w:id="494"/>
      <w:bookmarkEnd w:id="495"/>
      <w:bookmarkEnd w:id="496"/>
      <w:bookmarkEnd w:id="497"/>
      <w:bookmarkEnd w:id="503"/>
      <w:bookmarkStart w:id="505" w:name="_Toc351203647"/>
      <w:bookmarkStart w:id="506" w:name="_Toc267251483"/>
      <w:bookmarkStart w:id="507" w:name="_Toc267251484"/>
      <w:bookmarkStart w:id="508" w:name="_Toc267251482"/>
      <w:bookmarkStart w:id="509" w:name="_Toc267251485"/>
      <w:bookmarkStart w:id="510" w:name="_Toc267251490"/>
      <w:bookmarkStart w:id="511" w:name="_Toc267251489"/>
      <w:bookmarkStart w:id="512" w:name="_Toc267251486"/>
      <w:bookmarkStart w:id="513" w:name="_Toc267251488"/>
      <w:bookmarkStart w:id="514" w:name="_Toc267251501"/>
      <w:bookmarkStart w:id="515" w:name="_Toc267251502"/>
      <w:bookmarkStart w:id="516" w:name="_Toc267251499"/>
      <w:bookmarkStart w:id="517" w:name="_Toc267251498"/>
      <w:bookmarkStart w:id="518" w:name="_Toc267251497"/>
      <w:bookmarkStart w:id="519" w:name="_Toc267251494"/>
      <w:bookmarkStart w:id="520" w:name="_Toc267251493"/>
      <w:bookmarkStart w:id="521" w:name="_Toc267251491"/>
      <w:bookmarkStart w:id="522" w:name="_Toc267251496"/>
      <w:bookmarkStart w:id="523" w:name="_Toc267251503"/>
      <w:bookmarkStart w:id="524" w:name="_Toc267251495"/>
      <w:bookmarkStart w:id="525" w:name="_Toc267251492"/>
      <w:bookmarkStart w:id="526" w:name="_Toc267251506"/>
      <w:bookmarkStart w:id="527" w:name="_Toc267251504"/>
      <w:bookmarkStart w:id="528" w:name="_Toc267251507"/>
      <w:bookmarkStart w:id="529" w:name="_Toc267251508"/>
      <w:bookmarkStart w:id="530" w:name="_Toc267251514"/>
      <w:bookmarkStart w:id="531" w:name="_Toc267251511"/>
      <w:bookmarkStart w:id="532" w:name="_Toc267251513"/>
      <w:bookmarkStart w:id="533" w:name="_Toc267251510"/>
      <w:bookmarkStart w:id="534" w:name="_Toc267251509"/>
      <w:bookmarkStart w:id="535" w:name="_Toc267251515"/>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15. </w:t>
      </w:r>
      <w:r>
        <w:rPr>
          <w:rFonts w:hint="eastAsia" w:ascii="Times New Roman" w:hAnsi="Times New Roman" w:eastAsia="宋体" w:cs="宋体"/>
          <w:color w:val="auto"/>
          <w:spacing w:val="0"/>
          <w:sz w:val="21"/>
          <w:szCs w:val="21"/>
          <w:highlight w:val="none"/>
          <w:lang w:val="en-US" w:eastAsia="zh-CN" w:bidi="ar"/>
        </w:rPr>
        <w:t>缺陷责任期与保修</w:t>
      </w:r>
      <w:bookmarkEnd w:id="505"/>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15.2缺陷责任期</w:t>
      </w:r>
      <w:bookmarkEnd w:id="506"/>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缺陷责任期的具体期限：</w:t>
      </w:r>
      <w:r>
        <w:rPr>
          <w:rFonts w:hint="eastAsia" w:ascii="宋体" w:hAnsi="宋体" w:eastAsia="宋体" w:cs="宋体"/>
          <w:color w:val="auto"/>
          <w:spacing w:val="0"/>
          <w:sz w:val="21"/>
          <w:szCs w:val="21"/>
          <w:highlight w:val="none"/>
          <w:u w:val="single"/>
          <w:lang w:val="en-US" w:eastAsia="zh-CN" w:bidi="ar"/>
        </w:rPr>
        <w:t>自竣工之日起至质量保修期结束止</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15.3 质量保证金</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关于是否扣留质量保证金的约定：</w:t>
      </w:r>
      <w:r>
        <w:rPr>
          <w:rFonts w:hint="eastAsia" w:ascii="宋体" w:hAnsi="宋体" w:eastAsia="宋体" w:cs="宋体"/>
          <w:color w:val="auto"/>
          <w:spacing w:val="0"/>
          <w:sz w:val="21"/>
          <w:szCs w:val="21"/>
          <w:highlight w:val="none"/>
          <w:u w:val="single"/>
          <w:lang w:val="en-US" w:eastAsia="zh-CN" w:bidi="ar"/>
        </w:rPr>
        <w:t>工程结算审定造价的3%作为质保金。承包人不能在保险期内及时对存在问题进行维修，发包人有权使用质保金进行维修。</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15.3.1 承包人提供质量保证金的方式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质量保证金采用以下第</w:t>
      </w:r>
      <w:r>
        <w:rPr>
          <w:rFonts w:hint="eastAsia" w:ascii="宋体" w:hAnsi="宋体" w:eastAsia="宋体" w:cs="宋体"/>
          <w:bCs/>
          <w:color w:val="auto"/>
          <w:spacing w:val="0"/>
          <w:sz w:val="21"/>
          <w:szCs w:val="21"/>
          <w:highlight w:val="none"/>
          <w:u w:val="single"/>
          <w:lang w:val="en-US" w:eastAsia="zh-CN" w:bidi="ar"/>
        </w:rPr>
        <w:t>（3）</w:t>
      </w:r>
      <w:r>
        <w:rPr>
          <w:rFonts w:hint="eastAsia" w:ascii="宋体" w:hAnsi="宋体" w:eastAsia="宋体" w:cs="宋体"/>
          <w:color w:val="auto"/>
          <w:spacing w:val="0"/>
          <w:sz w:val="21"/>
          <w:szCs w:val="21"/>
          <w:highlight w:val="none"/>
          <w:lang w:val="en-US" w:eastAsia="zh-CN" w:bidi="ar"/>
        </w:rPr>
        <w:t>种方式：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（1）质量保证金保函，保证金额为：</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%的工程款；</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（3）其他方式：</w:t>
      </w:r>
      <w:r>
        <w:rPr>
          <w:rFonts w:hint="eastAsia" w:ascii="宋体" w:hAnsi="宋体" w:eastAsia="宋体" w:cs="宋体"/>
          <w:color w:val="auto"/>
          <w:spacing w:val="0"/>
          <w:sz w:val="21"/>
          <w:szCs w:val="21"/>
          <w:highlight w:val="none"/>
          <w:u w:val="single"/>
          <w:lang w:val="en-US" w:eastAsia="zh-CN" w:bidi="ar"/>
        </w:rPr>
        <w:t>工程结算审定造价的3%作为质保金。</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15.3.2 质量保证金的扣留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质量保证金的扣留采取以下第</w:t>
      </w:r>
      <w:r>
        <w:rPr>
          <w:rFonts w:hint="eastAsia" w:ascii="宋体" w:hAnsi="宋体" w:eastAsia="宋体" w:cs="宋体"/>
          <w:bCs/>
          <w:color w:val="auto"/>
          <w:spacing w:val="0"/>
          <w:sz w:val="21"/>
          <w:szCs w:val="21"/>
          <w:highlight w:val="none"/>
          <w:u w:val="single"/>
          <w:lang w:val="en-US" w:eastAsia="zh-CN" w:bidi="ar"/>
        </w:rPr>
        <w:t>（3）</w:t>
      </w:r>
      <w:r>
        <w:rPr>
          <w:rFonts w:hint="eastAsia" w:ascii="宋体" w:hAnsi="宋体" w:eastAsia="宋体" w:cs="宋体"/>
          <w:color w:val="auto"/>
          <w:spacing w:val="0"/>
          <w:sz w:val="21"/>
          <w:szCs w:val="21"/>
          <w:highlight w:val="none"/>
          <w:lang w:val="en-US" w:eastAsia="zh-CN" w:bidi="ar"/>
        </w:rPr>
        <w:t>种方式：</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（1）在支付工程进度款时逐次扣留，在此情形下，质量保证金的计算基数不包括预付款的支付、扣回以及价格调整的金额；</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（2）工程竣工结算时一次性扣留质量保证金；</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（3）其他扣留方式：</w:t>
      </w:r>
      <w:r>
        <w:rPr>
          <w:rFonts w:hint="eastAsia" w:ascii="宋体" w:hAnsi="Times New Roman" w:eastAsia="宋体" w:cs="宋体"/>
          <w:color w:val="auto"/>
          <w:spacing w:val="0"/>
          <w:szCs w:val="21"/>
          <w:highlight w:val="none"/>
          <w:u w:val="single"/>
          <w:lang w:val="en-US"/>
        </w:rPr>
        <w:t>安装调试完毕验收合格</w:t>
      </w:r>
      <w:r>
        <w:rPr>
          <w:rFonts w:hint="eastAsia" w:ascii="宋体" w:hAnsi="Times New Roman" w:eastAsia="宋体" w:cs="宋体"/>
          <w:color w:val="auto"/>
          <w:spacing w:val="0"/>
          <w:szCs w:val="21"/>
          <w:highlight w:val="none"/>
          <w:u w:val="single"/>
          <w:lang w:val="en-US" w:eastAsia="zh-CN"/>
        </w:rPr>
        <w:t>提交审计价款的3%作为质保金</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关于质量保证金的补充约定：。</w:t>
      </w:r>
      <w:bookmarkEnd w:id="507"/>
      <w:bookmarkEnd w:id="508"/>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15.4保修</w:t>
      </w:r>
      <w:bookmarkEnd w:id="50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15.4.1 保修责任</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工程保修期为：</w:t>
      </w:r>
      <w:r>
        <w:rPr>
          <w:rFonts w:hint="eastAsia" w:ascii="宋体" w:hAnsi="宋体" w:eastAsia="宋体" w:cs="宋体"/>
          <w:bCs/>
          <w:color w:val="auto"/>
          <w:spacing w:val="0"/>
          <w:sz w:val="21"/>
          <w:szCs w:val="21"/>
          <w:highlight w:val="none"/>
          <w:u w:val="single"/>
          <w:lang w:val="en-US" w:eastAsia="zh-CN" w:bidi="ar"/>
        </w:rPr>
        <w:t>详见“附件3：工程质量保修书”</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15.4.3 修复通知</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承包人收到保修通知并到达工程现场的合理时间：</w:t>
      </w:r>
      <w:r>
        <w:rPr>
          <w:rFonts w:hint="eastAsia" w:ascii="宋体" w:hAnsi="宋体" w:eastAsia="宋体" w:cs="宋体"/>
          <w:color w:val="auto"/>
          <w:spacing w:val="0"/>
          <w:sz w:val="21"/>
          <w:szCs w:val="21"/>
          <w:highlight w:val="none"/>
          <w:u w:val="single"/>
          <w:lang w:val="en-US" w:eastAsia="zh-CN" w:bidi="ar"/>
        </w:rPr>
        <w:t>属于保修范围、内容的项目，承包人应当在接到保修通知之日起24小时内派人保修。承包人不在约定期限内派人保修的，发包人可以委托他人修理；发生紧急抢修事故的，承包人在接到事故通知后，应当立即到达事故现场抢修</w:t>
      </w:r>
      <w:r>
        <w:rPr>
          <w:rFonts w:hint="eastAsia" w:ascii="宋体" w:hAnsi="宋体" w:eastAsia="宋体" w:cs="宋体"/>
          <w:color w:val="auto"/>
          <w:spacing w:val="0"/>
          <w:sz w:val="21"/>
          <w:szCs w:val="21"/>
          <w:highlight w:val="none"/>
          <w:lang w:val="en-US" w:eastAsia="zh-CN" w:bidi="ar"/>
        </w:rPr>
        <w:t>。</w:t>
      </w:r>
      <w:bookmarkEnd w:id="510"/>
      <w:bookmarkEnd w:id="511"/>
      <w:bookmarkEnd w:id="512"/>
      <w:bookmarkEnd w:id="513"/>
      <w:bookmarkStart w:id="536" w:name="_Toc351203648"/>
      <w:bookmarkStart w:id="537" w:name="_Toc280868717"/>
      <w:bookmarkStart w:id="538" w:name="_Toc280868718"/>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16. </w:t>
      </w:r>
      <w:r>
        <w:rPr>
          <w:rFonts w:hint="eastAsia" w:ascii="Times New Roman" w:hAnsi="Times New Roman" w:eastAsia="宋体" w:cs="宋体"/>
          <w:color w:val="auto"/>
          <w:spacing w:val="0"/>
          <w:sz w:val="21"/>
          <w:szCs w:val="21"/>
          <w:highlight w:val="none"/>
          <w:lang w:val="en-US" w:eastAsia="zh-CN" w:bidi="ar"/>
        </w:rPr>
        <w:t>违约</w:t>
      </w:r>
      <w:bookmarkEnd w:id="536"/>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16.1 发包人违约</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16.1.1发包人违约的情形</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发包人违约的其他情形：</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16.1.2 发包人违约的责任</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发包人违约责任的承担方式和计算方法：</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（1）因发包人原因未能在计划开工日期前7天内下达开工通知的违约责任：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（2）因发包人原因未能按合同约定支付合同价款的违约责任：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（3）发包人违反第10.1款〔变更的范围〕第（2）项约定，自行实施被取消的工作或转由他人实施的违约责任：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（4）发包人提供的材料、工程设备的规格、数量或质量不符合合同约定，或因发包人原因导致交货日期延误或交货地点变更等情况的违约责任：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（5）因发包人违反合同约定造成暂停施工的违约责任：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（6）发包人无正当理由没有在约定期限内发出复工指示，导致承包人无法复工的违约责任：</w:t>
      </w:r>
      <w:r>
        <w:rPr>
          <w:rFonts w:hint="eastAsia" w:ascii="宋体" w:hAnsi="宋体" w:eastAsia="宋体" w:cs="宋体"/>
          <w:bCs/>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（7）其他：</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16.1.3 因发包人违约解除合同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承包人按16.1.1项〔发包人违约的情形〕约定暂停施工满</w:t>
      </w:r>
      <w:r>
        <w:rPr>
          <w:rFonts w:hint="eastAsia" w:ascii="宋体" w:hAnsi="宋体" w:eastAsia="宋体" w:cs="宋体"/>
          <w:bCs/>
          <w:color w:val="auto"/>
          <w:spacing w:val="0"/>
          <w:sz w:val="21"/>
          <w:szCs w:val="21"/>
          <w:highlight w:val="none"/>
          <w:u w:val="single"/>
          <w:lang w:val="en-US" w:eastAsia="zh-CN" w:bidi="ar"/>
        </w:rPr>
        <w:t>28</w:t>
      </w:r>
      <w:r>
        <w:rPr>
          <w:rFonts w:hint="eastAsia" w:ascii="宋体" w:hAnsi="宋体" w:eastAsia="宋体" w:cs="宋体"/>
          <w:color w:val="auto"/>
          <w:spacing w:val="0"/>
          <w:sz w:val="21"/>
          <w:szCs w:val="21"/>
          <w:highlight w:val="none"/>
          <w:lang w:val="en-US" w:eastAsia="zh-CN" w:bidi="ar"/>
        </w:rPr>
        <w:t>天后发包人仍不纠正其违约行为并致使合同目的不能实现的，承包人有权解除合同。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16.2 承包人违约</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16.2.1 承包人违约的情形</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承包人违约的其他情形：</w:t>
      </w:r>
      <w:r>
        <w:rPr>
          <w:rFonts w:hint="eastAsia" w:ascii="宋体" w:hAnsi="宋体" w:eastAsia="宋体" w:cs="宋体"/>
          <w:bCs/>
          <w:color w:val="auto"/>
          <w:spacing w:val="0"/>
          <w:sz w:val="21"/>
          <w:szCs w:val="21"/>
          <w:highlight w:val="none"/>
          <w:u w:val="single"/>
          <w:lang w:val="en-US" w:eastAsia="zh-CN" w:bidi="ar"/>
        </w:rPr>
        <w:t>工程质量必须达到合同约定的质量标准以及投标书承诺的质量标准，如违反本条约定的质量标准，承包人必须无偿返修并按工程结算价款的2%向发包人支付违约金。此赔偿并不能解除承包人完成工程的责任及合同约定的其他责任，如因施工质量导致安全事故，承担事故处理的一切（责任）费用、工程的恢复费用及因此而造成后续工程延误费用。如上述约定仍不足以弥补发包人的损失，发包人有权要求承包人赔偿损失。</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bCs/>
          <w:color w:val="auto"/>
          <w:spacing w:val="0"/>
          <w:sz w:val="21"/>
          <w:szCs w:val="21"/>
          <w:highlight w:val="none"/>
          <w:u w:val="single"/>
          <w:lang w:val="en-US" w:eastAsia="zh-CN" w:bidi="ar"/>
        </w:rPr>
      </w:pPr>
      <w:r>
        <w:rPr>
          <w:rFonts w:hint="eastAsia" w:ascii="宋体" w:hAnsi="宋体" w:eastAsia="宋体" w:cs="宋体"/>
          <w:bCs/>
          <w:color w:val="auto"/>
          <w:spacing w:val="0"/>
          <w:sz w:val="21"/>
          <w:szCs w:val="21"/>
          <w:highlight w:val="none"/>
          <w:u w:val="single"/>
          <w:lang w:val="en-US" w:eastAsia="zh-CN" w:bidi="ar"/>
        </w:rPr>
        <w:t>承包人在施工各阶段违反本合同的约定应当支付给发包人的违约金，发包人有权从所付合同价款中直接扣除，也可在最终结算审计时一次性扣除，即发包人向承包人所付款项为扣除违约金后的数额，如承包人应承担的违约金已无法从合同价款中直接扣除，承包人应当直接向发包人偿付，承包人不向发包人偿付，无论何时发包人均有权向承包人追偿，承包人对发包人的追偿权没有异议。</w:t>
      </w:r>
    </w:p>
    <w:p>
      <w:pPr>
        <w:keepNext w:val="0"/>
        <w:keepLines w:val="0"/>
        <w:pageBreakBefore w:val="0"/>
        <w:widowControl w:val="0"/>
        <w:suppressLineNumbers w:val="0"/>
        <w:spacing w:before="0" w:beforeAutospacing="0" w:after="0" w:afterAutospacing="0" w:line="360" w:lineRule="auto"/>
        <w:ind w:left="0" w:right="0" w:firstLine="420"/>
        <w:jc w:val="left"/>
        <w:rPr>
          <w:rFonts w:hint="default" w:ascii="宋体" w:hAnsi="宋体" w:eastAsia="宋体" w:cs="宋体"/>
          <w:bCs/>
          <w:color w:val="auto"/>
          <w:spacing w:val="0"/>
          <w:sz w:val="21"/>
          <w:szCs w:val="21"/>
          <w:highlight w:val="none"/>
          <w:u w:val="single"/>
          <w:lang w:val="en-US" w:eastAsia="zh-CN" w:bidi="ar"/>
        </w:rPr>
      </w:pPr>
      <w:r>
        <w:rPr>
          <w:rFonts w:hint="eastAsia" w:ascii="宋体" w:hAnsi="宋体" w:eastAsia="宋体" w:cs="宋体"/>
          <w:bCs/>
          <w:color w:val="auto"/>
          <w:spacing w:val="0"/>
          <w:sz w:val="21"/>
          <w:szCs w:val="21"/>
          <w:highlight w:val="none"/>
          <w:u w:val="single"/>
          <w:lang w:val="en-US" w:eastAsia="zh-CN" w:bidi="ar"/>
        </w:rPr>
        <w:t>未按照要求采购设备，设备不符合合同约定的，应无条件重新采购，同时承担不符合合同约定设备价款10%的违约责任，如果再次采购还不能符合合同约定和采购人要求的，不符合合同约定设备价款30%的违约责任，采购人保留解除合同的权利。</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双方约定的承包人其他违约责任：</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①接到监理工程师的开工令后，承包人无正当理由推迟开工的，每拖延1日历天须向发包人支付1万元的违约金。</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②承包人在投标前，应当了解以下情况：</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a.实施和完成本合同工程及缺陷修复的工作范围、性质和所需要的材料采购和加工；</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b.进场道路和水、电、食宿供应条件；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c.承包人已取得对工程施工有影响或起作用的风险、意外等必要的资料。</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承包人应采取各种合理的预防措施，保证工程在合同约定的工期内完成，若由此产生工期延误不予顺延，给发包人造成的损失，应由承包人予以赔偿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16.2.2承包人违约的责任</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承包人违约责任的承担方式和计算方法：</w:t>
      </w:r>
      <w:r>
        <w:rPr>
          <w:rFonts w:hint="eastAsia" w:ascii="宋体" w:hAnsi="宋体" w:eastAsia="宋体" w:cs="宋体"/>
          <w:bCs/>
          <w:color w:val="auto"/>
          <w:spacing w:val="0"/>
          <w:sz w:val="21"/>
          <w:szCs w:val="21"/>
          <w:highlight w:val="none"/>
          <w:u w:val="single"/>
          <w:lang w:val="en-US" w:eastAsia="zh-CN" w:bidi="ar"/>
        </w:rPr>
        <w:t>如因承包人原因，导致竣工工期滞后于合同工期，按每滞后一天罚款10000元/天向发包人支付违约金。</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双方约定的承包人其他违约责任： 因承包人原因未依据本合同履行义务，完成本工程范围的工作，发包人有权按以下约定向承包人收取违约金。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A、工期延误：如由于承包人自身原因，在合同履行过程中或至合同计划竣工之日，承包人未能完成按施工组织设计计划累计应完工程量的80%，造成（或可能造成）整个工程不能按合同约定如期竣工，发包人有权停止支付工程款并有权将其中部分工程委托他人进行施工，委托他人进行施工产生的费用加收10%的管理费后从承包人的合同款内扣除。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B、因承包人原因导致技术文件（包括竣工图纸、签证等）未能按约定时间提交，每迟一天，发包人在支付给承包人的工程款内扣除1000元的违约金。违约金的扣除并不解除承包人继续交付上述技术文件的义务。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bCs/>
          <w:color w:val="auto"/>
          <w:spacing w:val="0"/>
          <w:sz w:val="21"/>
          <w:szCs w:val="21"/>
          <w:highlight w:val="none"/>
          <w:u w:val="single"/>
          <w:lang w:val="en-US" w:eastAsia="zh-CN" w:bidi="ar"/>
        </w:rPr>
        <w:t>C、若承包人擅自停工或单方面终止合同的执行或违约，造成合同无法履行，在本合同解除后，承包人必须在5天内无条件退场，承包人应妥善做好已完工程和工程设备的保护和移交工作；发包人将按承包人已完成工程量和承包人在施工现场的材料、设备、临时工程价格的60%给予结算，承包人并承担由此而给发包人造成的一切损失</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16.2.3 因承包人违约解除合同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关于承包人违约解除合同的特别约定：</w:t>
      </w:r>
      <w:r>
        <w:rPr>
          <w:rFonts w:hint="eastAsia" w:ascii="宋体" w:hAnsi="宋体" w:eastAsia="宋体" w:cs="宋体"/>
          <w:bCs/>
          <w:color w:val="auto"/>
          <w:spacing w:val="0"/>
          <w:sz w:val="21"/>
          <w:szCs w:val="21"/>
          <w:highlight w:val="none"/>
          <w:u w:val="single"/>
          <w:lang w:val="en-US" w:eastAsia="zh-CN" w:bidi="ar"/>
        </w:rPr>
        <w:t>另行协商</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eastAsia" w:ascii="宋体" w:hAnsi="宋体" w:eastAsia="宋体" w:cs="宋体"/>
          <w:bCs/>
          <w:color w:val="auto"/>
          <w:spacing w:val="0"/>
          <w:sz w:val="21"/>
          <w:szCs w:val="21"/>
          <w:highlight w:val="none"/>
          <w:u w:val="single"/>
          <w:lang w:val="en-US" w:eastAsia="zh-CN" w:bidi="ar"/>
        </w:rPr>
        <w:t>另行协商</w:t>
      </w:r>
      <w:r>
        <w:rPr>
          <w:rFonts w:hint="eastAsia" w:ascii="宋体" w:hAnsi="宋体" w:eastAsia="宋体" w:cs="宋体"/>
          <w:color w:val="auto"/>
          <w:spacing w:val="0"/>
          <w:sz w:val="21"/>
          <w:szCs w:val="21"/>
          <w:highlight w:val="none"/>
          <w:lang w:val="en-US" w:eastAsia="zh-CN" w:bidi="ar"/>
        </w:rPr>
        <w:t>。</w:t>
      </w:r>
      <w:bookmarkStart w:id="539" w:name="_Toc35120364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16.3其它约定</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16.3.1供承包人使用的场地以发包人指定场地为界，凡需要使用该区域之外的场地，必须事先获得发包人和有关管理部门的同意。承包人应承担由此发生的费用或罚款。</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16.3.2承包人对现场人员的施工安全、现场秩序、工程保护、环境保护等负责，并就工地围墙、照明、防护、 标志、警告信号和门卫等做出具体安排，并符合相关管理部门要求。</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16.3.3 在履行合同过程中, 承包人应遵守国家或地方的法律、法规、法令, 或任何对工程有管辖权的部门的规章, 并按要求支付有关费用。此费用包含在合同总价中，决算时不调整。</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16.3.4 无论发包人是否给予了批准或同意, 承包人应对现场作业、施工方法及所施工工程的完备性、稳定性和安全性承担全部责任, 负责完成对工程的稳定、完整、安全、可靠及有效运行所必需的全部工作。</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16.3.5承包人必须服从发包人和监理工程师的管理监督, 施工中发生的质量问题必须及时整改, 因承包人原因被责令停工和返工, 所造成的一切损失由承包人负责。</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16.3.6施工单位对建设单位生活、监管、警戒、公用设施（及约定不拆除的设施）必须有合理的保护措施，施工过程中如发生损坏或破坏，除赔偿损失外建设单位还将以双倍价值罚款。</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16.3.7工程审计费的规定：工程决算最终审计核减额低于决算总价的5%（含5%），审计费用由建设单位支付；核减额在5%-10%（含10%），审计费用由建设单位和施工单位各支付50%；核减额在10%以上，审计费用由施工单位全额支付。</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16.3.8当发现下列任一情况，发包人有权向承包人提出终止本合同，并追究承包人法律和经济责任：</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16.3.8.1承包人或其施工人员拒不服从发包人相关部门管理的。</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16.3.8.2施工人员违反发包人监管安全管理规定三次以上，违反发包人监管安全管理规定造成严重后果的立即解除。</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16.3.8.3 因承包人施工管理原因造成大的质量、安全事故时。</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default" w:ascii="宋体" w:hAnsi="宋体" w:eastAsia="宋体" w:cs="宋体"/>
          <w:color w:val="auto"/>
          <w:spacing w:val="0"/>
          <w:sz w:val="21"/>
          <w:szCs w:val="21"/>
          <w:highlight w:val="none"/>
          <w:lang w:val="en-US" w:eastAsia="zh-CN" w:bidi="ar"/>
        </w:rPr>
        <w:t xml:space="preserve">17. </w:t>
      </w:r>
      <w:r>
        <w:rPr>
          <w:rFonts w:hint="eastAsia" w:ascii="宋体" w:hAnsi="宋体" w:eastAsia="宋体" w:cs="宋体"/>
          <w:color w:val="auto"/>
          <w:spacing w:val="0"/>
          <w:sz w:val="21"/>
          <w:szCs w:val="21"/>
          <w:highlight w:val="none"/>
          <w:lang w:val="en-US" w:eastAsia="zh-CN" w:bidi="ar"/>
        </w:rPr>
        <w:t>不可抗力</w:t>
      </w:r>
      <w:bookmarkEnd w:id="537"/>
      <w:bookmarkEnd w:id="53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17.1 不可抗力的确认</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除通用合同条款约定的不可抗力事件之外，视为不可抗力的其他情形：</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1.不可抗力包括因战争、动乱、空中飞行物体坠落或其他非发包人承包人责任造成的爆炸、火灾，以及以下方面的自然灾害：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1.1 烈度为6级以上的地震；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1.2 6级以上持续24小时的大风；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1.3 持续降雨24小时且降雨量200mm以上；下雪为100mm以上；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1.4 40℃及以上持续24小时的高温；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bCs/>
          <w:color w:val="auto"/>
          <w:spacing w:val="0"/>
          <w:sz w:val="21"/>
          <w:szCs w:val="21"/>
          <w:highlight w:val="none"/>
          <w:u w:val="single"/>
          <w:lang w:val="en-US" w:eastAsia="zh-CN" w:bidi="ar"/>
        </w:rPr>
        <w:t xml:space="preserve">2.不可抗力事件发生后，承包人应立即通知监理，在力所能及的条件下迅速采取措施，尽力减少损失，发包人应协助承包人采取措施。不可抗力事件结束后48小时内承包人向监理通报受害情况和损失情况，及预计清理和修复的费用。不可抗事件持续发生，承包人应每隔7天向监理报告一次受害情况。不可抗力事件结束后14天内，承包人向监理提交清理和修复费用的正式报告及有关资料。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17.4 因不可抗力解除合同</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合同解除后，发包人应在商定或确定发包人应支付款项后</w:t>
      </w:r>
      <w:r>
        <w:rPr>
          <w:rFonts w:hint="eastAsia" w:ascii="宋体" w:hAnsi="宋体" w:eastAsia="宋体" w:cs="宋体"/>
          <w:bCs/>
          <w:color w:val="auto"/>
          <w:spacing w:val="0"/>
          <w:sz w:val="21"/>
          <w:szCs w:val="21"/>
          <w:highlight w:val="none"/>
          <w:u w:val="single"/>
          <w:lang w:val="en-US" w:eastAsia="zh-CN" w:bidi="ar"/>
        </w:rPr>
        <w:t>28</w:t>
      </w:r>
      <w:r>
        <w:rPr>
          <w:rFonts w:hint="eastAsia" w:ascii="宋体" w:hAnsi="宋体" w:eastAsia="宋体" w:cs="宋体"/>
          <w:color w:val="auto"/>
          <w:spacing w:val="0"/>
          <w:sz w:val="21"/>
          <w:szCs w:val="21"/>
          <w:highlight w:val="none"/>
          <w:lang w:val="en-US" w:eastAsia="zh-CN" w:bidi="ar"/>
        </w:rPr>
        <w:t>天内完成款项的支付。</w:t>
      </w:r>
      <w:bookmarkStart w:id="540" w:name="_Toc351203650"/>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18. </w:t>
      </w:r>
      <w:r>
        <w:rPr>
          <w:rFonts w:hint="eastAsia" w:ascii="Times New Roman" w:hAnsi="Times New Roman" w:eastAsia="宋体" w:cs="宋体"/>
          <w:color w:val="auto"/>
          <w:spacing w:val="0"/>
          <w:sz w:val="21"/>
          <w:szCs w:val="21"/>
          <w:highlight w:val="none"/>
          <w:lang w:val="en-US" w:eastAsia="zh-CN" w:bidi="ar"/>
        </w:rPr>
        <w:t>保险</w:t>
      </w:r>
      <w:bookmarkEnd w:id="538"/>
      <w:bookmarkEnd w:id="540"/>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18.1 工程保险</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关于工程保险的特别约定：</w:t>
      </w:r>
      <w:r>
        <w:rPr>
          <w:rFonts w:hint="eastAsia" w:ascii="宋体" w:hAnsi="宋体" w:eastAsia="宋体" w:cs="宋体"/>
          <w:color w:val="auto"/>
          <w:spacing w:val="0"/>
          <w:sz w:val="21"/>
          <w:szCs w:val="21"/>
          <w:highlight w:val="none"/>
          <w:u w:val="single"/>
          <w:lang w:val="en-US" w:eastAsia="zh-CN" w:bidi="ar"/>
        </w:rPr>
        <w:t>承包人必须按国家或地方相关规定为从事危险作业的职工办理意外伤害保险，并为施工场地内自有人员生命财产和施工机械设备办理保险，承担保险责任。发包人必要时有权要求承包人提供保单或其他证据。如果承包人不能提供、拒绝提供或提供了但是不符合要求，发包人有权要求停工，造成的工期延误由承包人承担</w:t>
      </w:r>
      <w:r>
        <w:rPr>
          <w:rFonts w:hint="eastAsia" w:ascii="宋体" w:hAnsi="宋体" w:eastAsia="宋体" w:cs="宋体"/>
          <w:bCs/>
          <w:color w:val="auto"/>
          <w:spacing w:val="0"/>
          <w:sz w:val="21"/>
          <w:szCs w:val="21"/>
          <w:highlight w:val="none"/>
          <w:u w:val="singl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bCs/>
          <w:color w:val="auto"/>
          <w:spacing w:val="0"/>
          <w:sz w:val="21"/>
          <w:szCs w:val="21"/>
          <w:highlight w:val="none"/>
          <w:u w:val="single"/>
          <w:lang w:val="en-US" w:eastAsia="zh-CN" w:bidi="ar"/>
        </w:rPr>
        <w:t>承包人投保内容：必须为施工场地内员工办理意外伤害保险，并缴纳保险费</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18.3 其他保险</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关于其他保险的约定：</w:t>
      </w:r>
      <w:r>
        <w:rPr>
          <w:rFonts w:hint="eastAsia" w:ascii="宋体" w:hAnsi="宋体" w:eastAsia="宋体" w:cs="宋体"/>
          <w:bCs/>
          <w:color w:val="auto"/>
          <w:spacing w:val="0"/>
          <w:sz w:val="21"/>
          <w:szCs w:val="21"/>
          <w:highlight w:val="none"/>
          <w:u w:val="single"/>
          <w:lang w:val="en-US" w:eastAsia="zh-CN" w:bidi="ar"/>
        </w:rPr>
        <w:t>按通用条款执行</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承包人是否应为其施工设备等办理财产保险：</w:t>
      </w:r>
      <w:r>
        <w:rPr>
          <w:rFonts w:hint="eastAsia" w:ascii="宋体" w:hAnsi="宋体" w:eastAsia="宋体" w:cs="宋体"/>
          <w:bCs/>
          <w:color w:val="auto"/>
          <w:spacing w:val="0"/>
          <w:sz w:val="21"/>
          <w:szCs w:val="21"/>
          <w:highlight w:val="none"/>
          <w:u w:val="single"/>
          <w:lang w:val="en-US" w:eastAsia="zh-CN" w:bidi="ar"/>
        </w:rPr>
        <w:t>是</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18.7 通知义务</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关于变更保险合同时的通知义务的约定：</w:t>
      </w:r>
      <w:r>
        <w:rPr>
          <w:rFonts w:hint="eastAsia" w:ascii="宋体" w:hAnsi="宋体" w:eastAsia="宋体" w:cs="宋体"/>
          <w:bCs/>
          <w:color w:val="auto"/>
          <w:spacing w:val="0"/>
          <w:sz w:val="21"/>
          <w:szCs w:val="21"/>
          <w:highlight w:val="none"/>
          <w:u w:val="single"/>
          <w:lang w:val="en-US" w:eastAsia="zh-CN" w:bidi="ar"/>
        </w:rPr>
        <w:t>按通用条款执行</w:t>
      </w:r>
      <w:r>
        <w:rPr>
          <w:rFonts w:hint="eastAsia" w:ascii="宋体" w:hAnsi="宋体" w:eastAsia="宋体" w:cs="宋体"/>
          <w:color w:val="auto"/>
          <w:spacing w:val="0"/>
          <w:sz w:val="21"/>
          <w:szCs w:val="21"/>
          <w:highlight w:val="none"/>
          <w:lang w:val="en-US" w:eastAsia="zh-CN" w:bidi="ar"/>
        </w:rPr>
        <w:t>。</w:t>
      </w:r>
      <w:bookmarkEnd w:id="514"/>
      <w:bookmarkEnd w:id="515"/>
      <w:bookmarkEnd w:id="516"/>
      <w:bookmarkEnd w:id="517"/>
      <w:bookmarkEnd w:id="518"/>
      <w:bookmarkEnd w:id="519"/>
      <w:bookmarkEnd w:id="520"/>
      <w:bookmarkEnd w:id="521"/>
      <w:bookmarkEnd w:id="522"/>
      <w:bookmarkEnd w:id="523"/>
      <w:bookmarkEnd w:id="524"/>
      <w:bookmarkEnd w:id="525"/>
      <w:bookmarkStart w:id="541" w:name="_Toc351203651"/>
    </w:p>
    <w:p>
      <w:pPr>
        <w:keepNext w:val="0"/>
        <w:keepLines w:val="0"/>
        <w:pageBreakBefore w:val="0"/>
        <w:widowControl w:val="0"/>
        <w:suppressLineNumbers w:val="0"/>
        <w:spacing w:before="0" w:beforeAutospacing="0" w:after="0" w:afterAutospacing="0" w:line="360" w:lineRule="auto"/>
        <w:ind w:left="0" w:right="0" w:firstLine="420"/>
        <w:jc w:val="left"/>
        <w:rPr>
          <w:rFonts w:cs="宋体" w:asciiTheme="minorHAnsi" w:hAnsiTheme="minorHAnsi" w:eastAsiaTheme="minorEastAsia"/>
          <w:color w:val="auto"/>
          <w:spacing w:val="0"/>
          <w:szCs w:val="21"/>
          <w:highlight w:val="none"/>
          <w:lang w:val="en-US"/>
        </w:rPr>
      </w:pPr>
      <w:r>
        <w:rPr>
          <w:rFonts w:hint="default" w:ascii="Times New Roman" w:hAnsi="Times New Roman" w:eastAsia="宋体" w:cs="宋体"/>
          <w:color w:val="auto"/>
          <w:spacing w:val="0"/>
          <w:sz w:val="21"/>
          <w:szCs w:val="21"/>
          <w:highlight w:val="none"/>
          <w:lang w:val="en-US" w:eastAsia="zh-CN" w:bidi="ar"/>
        </w:rPr>
        <w:t xml:space="preserve">20. </w:t>
      </w:r>
      <w:r>
        <w:rPr>
          <w:rFonts w:hint="eastAsia" w:ascii="Times New Roman" w:hAnsi="Times New Roman" w:eastAsia="宋体" w:cs="宋体"/>
          <w:color w:val="auto"/>
          <w:spacing w:val="0"/>
          <w:sz w:val="21"/>
          <w:szCs w:val="21"/>
          <w:highlight w:val="none"/>
          <w:lang w:val="en-US" w:eastAsia="zh-CN" w:bidi="ar"/>
        </w:rPr>
        <w:t>争议解决</w:t>
      </w:r>
      <w:bookmarkEnd w:id="526"/>
      <w:bookmarkEnd w:id="527"/>
      <w:bookmarkEnd w:id="541"/>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20.3 争</w:t>
      </w:r>
      <w:bookmarkEnd w:id="528"/>
      <w:r>
        <w:rPr>
          <w:rFonts w:hint="eastAsia" w:ascii="宋体" w:hAnsi="宋体" w:eastAsia="宋体" w:cs="宋体"/>
          <w:color w:val="auto"/>
          <w:spacing w:val="0"/>
          <w:sz w:val="21"/>
          <w:szCs w:val="21"/>
          <w:highlight w:val="none"/>
          <w:lang w:val="en-US" w:eastAsia="zh-CN" w:bidi="ar"/>
        </w:rPr>
        <w:t>议评审</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合同当事人是否同意将工程争议提交争议评审小组决定：</w:t>
      </w:r>
      <w:r>
        <w:rPr>
          <w:rFonts w:hint="eastAsia" w:ascii="宋体" w:hAnsi="宋体" w:eastAsia="宋体" w:cs="宋体"/>
          <w:bCs/>
          <w:color w:val="auto"/>
          <w:spacing w:val="0"/>
          <w:sz w:val="21"/>
          <w:szCs w:val="21"/>
          <w:highlight w:val="none"/>
          <w:u w:val="single"/>
          <w:lang w:val="en-US" w:eastAsia="zh-CN" w:bidi="ar"/>
        </w:rPr>
        <w:t>不采用</w:t>
      </w:r>
      <w:r>
        <w:rPr>
          <w:rFonts w:hint="eastAsia" w:ascii="宋体" w:hAnsi="宋体" w:eastAsia="宋体" w:cs="宋体"/>
          <w:color w:val="auto"/>
          <w:spacing w:val="0"/>
          <w:sz w:val="21"/>
          <w:szCs w:val="21"/>
          <w:highlight w:val="non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20.3.1 争议评审小组的确定</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争议评审小组成员的确定：</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选定争议评审员的期限：</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争议评审小组成员的报酬承担方式：</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其他事项的约定：</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20.3.2 争议评审小组的决定</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合同当事人关于本项的约定：</w:t>
      </w:r>
      <w:r>
        <w:rPr>
          <w:rFonts w:hint="eastAsia" w:ascii="宋体" w:hAnsi="宋体" w:eastAsia="宋体" w:cs="宋体"/>
          <w:bCs/>
          <w:color w:val="auto"/>
          <w:spacing w:val="0"/>
          <w:sz w:val="21"/>
          <w:szCs w:val="21"/>
          <w:highlight w:val="none"/>
          <w:u w:val="single"/>
          <w:lang w:val="en-US" w:eastAsia="zh-CN" w:bidi="ar"/>
        </w:rPr>
        <w:t>无</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20.4仲裁或诉讼</w:t>
      </w:r>
      <w:bookmarkEnd w:id="529"/>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因合同及合同有关事项发生的争议，按下列第</w:t>
      </w:r>
      <w:r>
        <w:rPr>
          <w:rFonts w:hint="eastAsia" w:ascii="宋体" w:hAnsi="宋体" w:eastAsia="宋体" w:cs="宋体"/>
          <w:bCs/>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种方式解决：</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（1）向仲裁委员会申请仲裁；</w:t>
      </w:r>
    </w:p>
    <w:p>
      <w:pPr>
        <w:keepNext w:val="0"/>
        <w:keepLines w:val="0"/>
        <w:pageBreakBefore w:val="0"/>
        <w:widowControl w:val="0"/>
        <w:suppressLineNumbers w:val="0"/>
        <w:spacing w:before="0" w:beforeAutospacing="0" w:after="0" w:afterAutospacing="0" w:line="360" w:lineRule="auto"/>
        <w:ind w:left="0" w:right="0" w:firstLine="420"/>
        <w:jc w:val="left"/>
        <w:rPr>
          <w:rFonts w:hint="eastAsia" w:ascii="宋体" w:hAnsi="宋体"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（2）向</w:t>
      </w:r>
      <w:r>
        <w:rPr>
          <w:rFonts w:hint="eastAsia" w:ascii="宋体" w:hAnsi="宋体" w:eastAsia="宋体" w:cs="宋体"/>
          <w:bCs/>
          <w:color w:val="auto"/>
          <w:spacing w:val="0"/>
          <w:sz w:val="21"/>
          <w:szCs w:val="21"/>
          <w:highlight w:val="none"/>
          <w:u w:val="single"/>
          <w:lang w:val="en-US" w:eastAsia="zh-CN" w:bidi="ar"/>
        </w:rPr>
        <w:t>工程所在地</w:t>
      </w:r>
      <w:r>
        <w:rPr>
          <w:rFonts w:hint="eastAsia" w:ascii="宋体" w:hAnsi="宋体" w:eastAsia="宋体" w:cs="宋体"/>
          <w:color w:val="auto"/>
          <w:spacing w:val="0"/>
          <w:sz w:val="21"/>
          <w:szCs w:val="21"/>
          <w:highlight w:val="none"/>
          <w:lang w:val="en-US" w:eastAsia="zh-CN" w:bidi="ar"/>
        </w:rPr>
        <w:t>人民法院起诉。</w:t>
      </w:r>
      <w:bookmarkEnd w:id="530"/>
      <w:bookmarkEnd w:id="531"/>
      <w:bookmarkEnd w:id="532"/>
      <w:bookmarkEnd w:id="533"/>
      <w:bookmarkEnd w:id="534"/>
      <w:bookmarkEnd w:id="535"/>
    </w:p>
    <w:p>
      <w:pPr>
        <w:keepNext w:val="0"/>
        <w:keepLines w:val="0"/>
        <w:pageBreakBefore w:val="0"/>
        <w:widowControl w:val="0"/>
        <w:suppressLineNumbers w:val="0"/>
        <w:shd w:val="clear" w:color="auto"/>
        <w:spacing w:before="0" w:beforeAutospacing="0" w:after="0" w:afterAutospacing="0" w:line="360" w:lineRule="auto"/>
        <w:ind w:left="0" w:right="0" w:firstLine="420"/>
        <w:jc w:val="left"/>
        <w:rPr>
          <w:rFonts w:hint="eastAsia" w:ascii="宋体" w:hAnsi="宋体" w:eastAsia="宋体" w:cs="宋体"/>
          <w:b/>
          <w:bCs/>
          <w:color w:val="auto"/>
          <w:spacing w:val="0"/>
          <w:sz w:val="21"/>
          <w:szCs w:val="21"/>
          <w:highlight w:val="none"/>
          <w:lang w:val="en-US" w:eastAsia="zh-CN" w:bidi="ar"/>
        </w:rPr>
      </w:pPr>
      <w:r>
        <w:rPr>
          <w:rFonts w:hint="eastAsia" w:ascii="宋体" w:hAnsi="宋体" w:eastAsia="宋体" w:cs="宋体"/>
          <w:b/>
          <w:bCs/>
          <w:color w:val="auto"/>
          <w:spacing w:val="0"/>
          <w:sz w:val="21"/>
          <w:szCs w:val="21"/>
          <w:highlight w:val="none"/>
          <w:lang w:val="en-US" w:eastAsia="zh-CN" w:bidi="ar"/>
        </w:rPr>
        <w:t>20.5农民工工资管理</w:t>
      </w:r>
    </w:p>
    <w:p>
      <w:pPr>
        <w:keepNext w:val="0"/>
        <w:keepLines w:val="0"/>
        <w:pageBreakBefore w:val="0"/>
        <w:shd w:val="clear" w:color="auto"/>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一</w:t>
      </w: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承包人进场施工前须按发包人要求缴纳中标价的2%农民工工资保证金，交纳在发包人指定账户。审计结束后2年内无任何农民工工资纠纷退还农民工工资保证金。</w:t>
      </w:r>
    </w:p>
    <w:p>
      <w:pPr>
        <w:keepNext w:val="0"/>
        <w:keepLines w:val="0"/>
        <w:pageBreakBefore w:val="0"/>
        <w:shd w:val="clear" w:color="auto"/>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（二）承包人应在工程项目所在地银行开设农民工工资专用账户，专项用于支付农民工工资。</w:t>
      </w:r>
    </w:p>
    <w:p>
      <w:pPr>
        <w:keepNext w:val="0"/>
        <w:keepLines w:val="0"/>
        <w:pageBreakBefore w:val="0"/>
        <w:shd w:val="clear" w:color="auto"/>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（三）承包人保证不克扣和拖欠工资，不以发包人延迟支付工程款为由拖欠农民工工资。</w:t>
      </w:r>
    </w:p>
    <w:p>
      <w:pPr>
        <w:keepNext w:val="0"/>
        <w:keepLines w:val="0"/>
        <w:pageBreakBefore w:val="0"/>
        <w:shd w:val="clear" w:color="auto"/>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（四）实行人工费用与其他工程款分账管理制度，推动农民工工资与工程材料款等相分离，发包人须按时、足额按合同约定向农民工工资专用账户存入工资款项，用于支付农民工工资。</w:t>
      </w:r>
    </w:p>
    <w:p>
      <w:pPr>
        <w:keepNext w:val="0"/>
        <w:keepLines w:val="0"/>
        <w:pageBreakBefore w:val="0"/>
        <w:shd w:val="clear" w:color="auto"/>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（五）承包人应主动向农民工工资发放情况表报发包人审定，发包人应对承包人实施支付农民工工资情况进行审查。</w:t>
      </w:r>
    </w:p>
    <w:p>
      <w:pPr>
        <w:keepNext w:val="0"/>
        <w:keepLines w:val="0"/>
        <w:pageBreakBefore w:val="0"/>
        <w:shd w:val="clear" w:color="auto"/>
        <w:spacing w:line="360" w:lineRule="auto"/>
        <w:ind w:firstLine="420"/>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六）承包人未按上述（一）（二）（三）款规定履行合同义务的，应承担合同违约责任，并向发包人支付实际拖欠农民工工资总额2倍的违约金。发包人未按上述（四）款规定履行合同义务的，应承担合同违约责任，并向承包人支付实际拖欠农民工工资总额2倍的违约金。</w:t>
      </w:r>
    </w:p>
    <w:p>
      <w:pPr>
        <w:pageBreakBefore w:val="0"/>
        <w:spacing w:line="360" w:lineRule="auto"/>
        <w:ind w:firstLine="420"/>
        <w:jc w:val="left"/>
        <w:rPr>
          <w:rFonts w:hint="eastAsia" w:ascii="宋体" w:hAnsi="宋体" w:eastAsia="宋体" w:cs="宋体"/>
          <w:b w:val="0"/>
          <w:bCs/>
          <w:color w:val="auto"/>
          <w:spacing w:val="0"/>
          <w:sz w:val="21"/>
          <w:szCs w:val="21"/>
          <w:highlight w:val="none"/>
          <w:lang w:val="en-US" w:eastAsia="zh-CN"/>
        </w:rPr>
      </w:pPr>
    </w:p>
    <w:p>
      <w:pPr>
        <w:pageBreakBefore w:val="0"/>
        <w:spacing w:line="360" w:lineRule="auto"/>
        <w:ind w:firstLine="420"/>
        <w:jc w:val="left"/>
        <w:rPr>
          <w:rFonts w:hint="eastAsia" w:ascii="宋体" w:hAnsi="宋体" w:eastAsia="宋体" w:cs="宋体"/>
          <w:b w:val="0"/>
          <w:bCs/>
          <w:color w:val="auto"/>
          <w:spacing w:val="0"/>
          <w:sz w:val="21"/>
          <w:szCs w:val="21"/>
          <w:highlight w:val="none"/>
          <w:lang w:val="en-US" w:eastAsia="zh-CN"/>
        </w:rPr>
      </w:pPr>
    </w:p>
    <w:p>
      <w:pPr>
        <w:pageBreakBefore w:val="0"/>
        <w:spacing w:line="360" w:lineRule="auto"/>
        <w:ind w:firstLine="420"/>
        <w:jc w:val="left"/>
        <w:rPr>
          <w:rFonts w:hint="eastAsia" w:ascii="宋体" w:hAnsi="宋体" w:eastAsia="宋体" w:cs="宋体"/>
          <w:b w:val="0"/>
          <w:bCs/>
          <w:color w:val="auto"/>
          <w:spacing w:val="0"/>
          <w:sz w:val="21"/>
          <w:szCs w:val="21"/>
          <w:highlight w:val="none"/>
          <w:lang w:val="en-US" w:eastAsia="zh-CN"/>
        </w:rPr>
      </w:pPr>
    </w:p>
    <w:p>
      <w:pPr>
        <w:pStyle w:val="3"/>
        <w:rPr>
          <w:rFonts w:hint="eastAsia"/>
          <w:color w:val="auto"/>
          <w:lang w:val="en-US"/>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pacing w:val="0"/>
          <w:sz w:val="21"/>
          <w:szCs w:val="24"/>
          <w:highlight w:val="none"/>
          <w:lang w:val="en-US" w:eastAsia="zh-CN" w:bidi="ar"/>
        </w:rPr>
      </w:pPr>
      <w:r>
        <w:rPr>
          <w:rFonts w:hint="eastAsia" w:ascii="宋体" w:hAnsi="宋体" w:eastAsia="宋体" w:cs="宋体"/>
          <w:bCs/>
          <w:color w:val="auto"/>
          <w:spacing w:val="0"/>
          <w:sz w:val="21"/>
          <w:szCs w:val="21"/>
          <w:highlight w:val="none"/>
          <w:lang w:val="en-US" w:eastAsia="zh-CN" w:bidi="ar"/>
        </w:rPr>
        <w:br w:type="column"/>
      </w:r>
      <w:bookmarkStart w:id="542" w:name="_Toc507502965"/>
      <w:bookmarkEnd w:id="542"/>
      <w:bookmarkStart w:id="543" w:name="_Toc505937760"/>
      <w:bookmarkEnd w:id="543"/>
      <w:bookmarkStart w:id="544" w:name="_Toc507502967"/>
      <w:bookmarkEnd w:id="544"/>
      <w:r>
        <w:rPr>
          <w:rFonts w:hint="eastAsia" w:ascii="宋体" w:hAnsi="宋体" w:eastAsia="宋体" w:cs="宋体"/>
          <w:color w:val="auto"/>
          <w:spacing w:val="0"/>
          <w:sz w:val="21"/>
          <w:szCs w:val="24"/>
          <w:highlight w:val="none"/>
          <w:lang w:val="en-US" w:eastAsia="zh-CN" w:bidi="ar"/>
        </w:rPr>
        <w:t>合同附件1：</w:t>
      </w:r>
    </w:p>
    <w:p>
      <w:pPr>
        <w:keepNext w:val="0"/>
        <w:keepLines w:val="0"/>
        <w:widowControl w:val="0"/>
        <w:suppressLineNumbers w:val="0"/>
        <w:spacing w:before="0" w:beforeAutospacing="0" w:after="240" w:afterAutospacing="0" w:line="360" w:lineRule="auto"/>
        <w:ind w:left="210" w:right="0" w:firstLine="600"/>
        <w:jc w:val="center"/>
        <w:rPr>
          <w:rFonts w:hint="eastAsia" w:ascii="宋体" w:hAnsi="Times New Roman" w:eastAsia="宋体" w:cs="宋体"/>
          <w:color w:val="auto"/>
          <w:spacing w:val="0"/>
          <w:sz w:val="30"/>
          <w:szCs w:val="30"/>
          <w:highlight w:val="none"/>
          <w:lang w:val="en-US"/>
        </w:rPr>
      </w:pPr>
      <w:r>
        <w:rPr>
          <w:rFonts w:hint="eastAsia" w:ascii="宋体" w:hAnsi="宋体" w:eastAsia="宋体" w:cs="宋体"/>
          <w:b/>
          <w:bCs/>
          <w:color w:val="auto"/>
          <w:spacing w:val="0"/>
          <w:sz w:val="30"/>
          <w:szCs w:val="30"/>
          <w:highlight w:val="none"/>
          <w:lang w:val="en-US" w:eastAsia="zh-CN" w:bidi="ar"/>
        </w:rPr>
        <w:t>承包人承揽工程项目一览表</w:t>
      </w: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0"/>
        <w:gridCol w:w="900"/>
        <w:gridCol w:w="1260"/>
        <w:gridCol w:w="540"/>
        <w:gridCol w:w="540"/>
        <w:gridCol w:w="720"/>
        <w:gridCol w:w="1260"/>
        <w:gridCol w:w="126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单位工程</w:t>
            </w:r>
          </w:p>
          <w:p>
            <w:pPr>
              <w:keepNext w:val="0"/>
              <w:keepLines w:val="0"/>
              <w:widowControl w:val="0"/>
              <w:suppressLineNumbers w:val="0"/>
              <w:spacing w:before="0" w:beforeAutospacing="0" w:after="0" w:afterAutospacing="0" w:line="360" w:lineRule="auto"/>
              <w:ind w:left="-141"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名称</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建设</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规模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10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建筑面积</w:t>
            </w:r>
          </w:p>
          <w:p>
            <w:pPr>
              <w:keepNext w:val="0"/>
              <w:keepLines w:val="0"/>
              <w:widowControl w:val="0"/>
              <w:suppressLineNumbers w:val="0"/>
              <w:spacing w:before="0" w:beforeAutospacing="0" w:after="0" w:afterAutospacing="0" w:line="360" w:lineRule="auto"/>
              <w:ind w:left="-10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（平方米）</w:t>
            </w: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9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结</w:t>
            </w:r>
          </w:p>
          <w:p>
            <w:pPr>
              <w:keepNext w:val="0"/>
              <w:keepLines w:val="0"/>
              <w:widowControl w:val="0"/>
              <w:suppressLineNumbers w:val="0"/>
              <w:spacing w:before="0" w:beforeAutospacing="0" w:after="0" w:afterAutospacing="0" w:line="360" w:lineRule="auto"/>
              <w:ind w:left="-9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构</w:t>
            </w: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层</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数</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4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跨度</w:t>
            </w:r>
          </w:p>
          <w:p>
            <w:pPr>
              <w:keepNext w:val="0"/>
              <w:keepLines w:val="0"/>
              <w:widowControl w:val="0"/>
              <w:suppressLineNumbers w:val="0"/>
              <w:spacing w:before="0" w:beforeAutospacing="0" w:after="0" w:afterAutospacing="0" w:line="360" w:lineRule="auto"/>
              <w:ind w:left="-4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（米）</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5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设备安装</w:t>
            </w:r>
          </w:p>
          <w:p>
            <w:pPr>
              <w:keepNext w:val="0"/>
              <w:keepLines w:val="0"/>
              <w:widowControl w:val="0"/>
              <w:suppressLineNumbers w:val="0"/>
              <w:spacing w:before="0" w:beforeAutospacing="0" w:after="0" w:afterAutospacing="0" w:line="360" w:lineRule="auto"/>
              <w:ind w:left="-5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内容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36"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工程造价</w:t>
            </w:r>
          </w:p>
          <w:p>
            <w:pPr>
              <w:keepNext w:val="0"/>
              <w:keepLines w:val="0"/>
              <w:widowControl w:val="0"/>
              <w:suppressLineNumbers w:val="0"/>
              <w:spacing w:before="0" w:beforeAutospacing="0" w:after="0" w:afterAutospacing="0" w:line="360" w:lineRule="auto"/>
              <w:ind w:left="-36"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（万元）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16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开工</w:t>
            </w:r>
          </w:p>
          <w:p>
            <w:pPr>
              <w:keepNext w:val="0"/>
              <w:keepLines w:val="0"/>
              <w:widowControl w:val="0"/>
              <w:suppressLineNumbers w:val="0"/>
              <w:spacing w:before="0" w:beforeAutospacing="0" w:after="0" w:afterAutospacing="0" w:line="360" w:lineRule="auto"/>
              <w:ind w:left="-16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日期</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67"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竣工</w:t>
            </w:r>
          </w:p>
          <w:p>
            <w:pPr>
              <w:keepNext w:val="0"/>
              <w:keepLines w:val="0"/>
              <w:widowControl w:val="0"/>
              <w:suppressLineNumbers w:val="0"/>
              <w:spacing w:before="0" w:beforeAutospacing="0" w:after="0" w:afterAutospacing="0" w:line="360" w:lineRule="auto"/>
              <w:ind w:left="-67"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bl>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pacing w:val="0"/>
          <w:sz w:val="21"/>
          <w:szCs w:val="24"/>
          <w:highlight w:val="none"/>
          <w:lang w:val="en-US" w:eastAsia="zh-CN" w:bidi="ar"/>
        </w:rPr>
      </w:pPr>
      <w:r>
        <w:rPr>
          <w:rFonts w:hint="eastAsia" w:ascii="宋体" w:hAnsi="宋体" w:eastAsia="宋体" w:cs="宋体"/>
          <w:color w:val="auto"/>
          <w:spacing w:val="0"/>
          <w:sz w:val="21"/>
          <w:szCs w:val="24"/>
          <w:highlight w:val="none"/>
          <w:lang w:val="en-US" w:eastAsia="zh-CN" w:bidi="ar"/>
        </w:rPr>
        <w:br w:type="page" w:clear="all"/>
      </w:r>
      <w:bookmarkStart w:id="545" w:name="_Toc353890976"/>
      <w:bookmarkStart w:id="546" w:name="_Toc394066959"/>
      <w:r>
        <w:rPr>
          <w:rFonts w:hint="eastAsia" w:ascii="宋体" w:hAnsi="宋体" w:eastAsia="宋体" w:cs="宋体"/>
          <w:color w:val="auto"/>
          <w:spacing w:val="0"/>
          <w:sz w:val="21"/>
          <w:szCs w:val="24"/>
          <w:highlight w:val="none"/>
          <w:lang w:val="en-US" w:eastAsia="zh-CN" w:bidi="ar"/>
        </w:rPr>
        <w:t>合同附件2：</w:t>
      </w:r>
      <w:bookmarkEnd w:id="545"/>
      <w:bookmarkEnd w:id="546"/>
    </w:p>
    <w:p>
      <w:pPr>
        <w:keepNext w:val="0"/>
        <w:keepLines w:val="0"/>
        <w:widowControl w:val="0"/>
        <w:suppressLineNumbers w:val="0"/>
        <w:spacing w:before="0" w:beforeAutospacing="0" w:after="240" w:afterAutospacing="0" w:line="360" w:lineRule="auto"/>
        <w:ind w:left="210" w:right="0"/>
        <w:jc w:val="center"/>
        <w:rPr>
          <w:rFonts w:hint="eastAsia" w:ascii="宋体" w:hAnsi="Times New Roman" w:eastAsia="宋体" w:cs="宋体"/>
          <w:b/>
          <w:bCs/>
          <w:color w:val="auto"/>
          <w:spacing w:val="0"/>
          <w:sz w:val="30"/>
          <w:szCs w:val="30"/>
          <w:highlight w:val="none"/>
          <w:lang w:val="en-US"/>
        </w:rPr>
      </w:pPr>
      <w:r>
        <w:rPr>
          <w:rFonts w:hint="eastAsia" w:ascii="宋体" w:hAnsi="宋体" w:eastAsia="宋体" w:cs="宋体"/>
          <w:b/>
          <w:bCs/>
          <w:color w:val="auto"/>
          <w:spacing w:val="0"/>
          <w:sz w:val="30"/>
          <w:szCs w:val="30"/>
          <w:highlight w:val="none"/>
          <w:lang w:val="en-US" w:eastAsia="zh-CN" w:bidi="ar"/>
        </w:rPr>
        <w:t>发包人供应材料设备一览表</w:t>
      </w: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2340"/>
        <w:gridCol w:w="855"/>
        <w:gridCol w:w="856"/>
        <w:gridCol w:w="856"/>
        <w:gridCol w:w="856"/>
        <w:gridCol w:w="855"/>
        <w:gridCol w:w="85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材料设备</w:t>
            </w:r>
          </w:p>
          <w:p>
            <w:pPr>
              <w:keepNext w:val="0"/>
              <w:keepLines w:val="0"/>
              <w:widowControl w:val="0"/>
              <w:suppressLineNumbers w:val="0"/>
              <w:spacing w:before="0" w:beforeAutospacing="0" w:after="0" w:afterAutospacing="0" w:line="360" w:lineRule="auto"/>
              <w:ind w:left="-2"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品种</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44"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规格</w:t>
            </w:r>
          </w:p>
          <w:p>
            <w:pPr>
              <w:keepNext w:val="0"/>
              <w:keepLines w:val="0"/>
              <w:widowControl w:val="0"/>
              <w:suppressLineNumbers w:val="0"/>
              <w:spacing w:before="0" w:beforeAutospacing="0" w:after="0" w:afterAutospacing="0" w:line="360" w:lineRule="auto"/>
              <w:ind w:left="-44"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型号</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48"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单</w:t>
            </w:r>
          </w:p>
          <w:p>
            <w:pPr>
              <w:keepNext w:val="0"/>
              <w:keepLines w:val="0"/>
              <w:widowControl w:val="0"/>
              <w:suppressLineNumbers w:val="0"/>
              <w:spacing w:before="0" w:beforeAutospacing="0" w:after="0" w:afterAutospacing="0" w:line="360" w:lineRule="auto"/>
              <w:ind w:left="-48"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位</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55"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数</w:t>
            </w:r>
          </w:p>
          <w:p>
            <w:pPr>
              <w:keepNext w:val="0"/>
              <w:keepLines w:val="0"/>
              <w:widowControl w:val="0"/>
              <w:suppressLineNumbers w:val="0"/>
              <w:spacing w:before="0" w:beforeAutospacing="0" w:after="0" w:afterAutospacing="0" w:line="360" w:lineRule="auto"/>
              <w:ind w:left="-55"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量</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5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单</w:t>
            </w:r>
          </w:p>
          <w:p>
            <w:pPr>
              <w:keepNext w:val="0"/>
              <w:keepLines w:val="0"/>
              <w:widowControl w:val="0"/>
              <w:suppressLineNumbers w:val="0"/>
              <w:spacing w:before="0" w:beforeAutospacing="0" w:after="0" w:afterAutospacing="0" w:line="360" w:lineRule="auto"/>
              <w:ind w:left="-5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价</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65"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质量</w:t>
            </w:r>
          </w:p>
          <w:p>
            <w:pPr>
              <w:keepNext w:val="0"/>
              <w:keepLines w:val="0"/>
              <w:widowControl w:val="0"/>
              <w:suppressLineNumbers w:val="0"/>
              <w:spacing w:before="0" w:beforeAutospacing="0" w:after="0" w:afterAutospacing="0" w:line="360" w:lineRule="auto"/>
              <w:ind w:left="-65"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等级</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6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供应</w:t>
            </w:r>
          </w:p>
          <w:p>
            <w:pPr>
              <w:keepNext w:val="0"/>
              <w:keepLines w:val="0"/>
              <w:widowControl w:val="0"/>
              <w:suppressLineNumbers w:val="0"/>
              <w:spacing w:before="0" w:beforeAutospacing="0" w:after="0" w:afterAutospacing="0" w:line="360" w:lineRule="auto"/>
              <w:ind w:left="-69"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时间</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76"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bidi="ar"/>
              </w:rPr>
              <w:t>送达</w:t>
            </w:r>
          </w:p>
          <w:p>
            <w:pPr>
              <w:keepNext w:val="0"/>
              <w:keepLines w:val="0"/>
              <w:widowControl w:val="0"/>
              <w:suppressLineNumbers w:val="0"/>
              <w:spacing w:before="0" w:beforeAutospacing="0" w:after="0" w:afterAutospacing="0" w:line="360" w:lineRule="auto"/>
              <w:ind w:left="-76"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地点</w:t>
            </w: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80" w:right="0"/>
              <w:jc w:val="center"/>
              <w:rPr>
                <w:rFonts w:hint="eastAsia" w:ascii="宋体" w:hAnsi="Times New Roman"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line="360" w:lineRule="auto"/>
              <w:ind w:left="210" w:right="0"/>
              <w:jc w:val="center"/>
              <w:rPr>
                <w:rFonts w:hint="eastAsia" w:ascii="宋体" w:hAnsi="Times New Roman" w:eastAsia="宋体" w:cs="宋体"/>
                <w:color w:val="auto"/>
                <w:spacing w:val="0"/>
                <w:sz w:val="24"/>
                <w:szCs w:val="20"/>
                <w:highlight w:val="none"/>
                <w:lang w:val="en-US"/>
              </w:rPr>
            </w:pPr>
          </w:p>
        </w:tc>
      </w:tr>
    </w:tbl>
    <w:p>
      <w:pPr>
        <w:keepNext w:val="0"/>
        <w:keepLines w:val="0"/>
        <w:widowControl/>
        <w:suppressLineNumbers w:val="0"/>
        <w:spacing w:before="0" w:beforeAutospacing="0" w:after="0" w:afterAutospacing="0" w:line="360" w:lineRule="auto"/>
        <w:ind w:left="210" w:right="0"/>
        <w:jc w:val="both"/>
        <w:rPr>
          <w:rFonts w:hint="eastAsia" w:ascii="宋体" w:hAnsi="宋体" w:eastAsia="宋体" w:cs="宋体"/>
          <w:color w:val="auto"/>
          <w:spacing w:val="0"/>
          <w:sz w:val="21"/>
          <w:szCs w:val="24"/>
          <w:highlight w:val="none"/>
          <w:lang w:val="en-US" w:eastAsia="zh-CN" w:bidi="ar"/>
        </w:rPr>
      </w:pPr>
      <w:bookmarkStart w:id="547" w:name="_Toc353890977"/>
      <w:bookmarkStart w:id="548" w:name="_Toc394066960"/>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p>
    <w:p>
      <w:pPr>
        <w:keepNext w:val="0"/>
        <w:keepLines w:val="0"/>
        <w:pageBreakBefore w:val="0"/>
        <w:widowControl/>
        <w:suppressLineNumbers w:val="0"/>
        <w:spacing w:before="0" w:beforeAutospacing="0" w:after="0" w:afterAutospacing="0" w:line="360" w:lineRule="auto"/>
        <w:ind w:left="0" w:right="0"/>
        <w:jc w:val="both"/>
        <w:rPr>
          <w:rFonts w:hint="eastAsia" w:ascii="宋体" w:hAnsi="宋体" w:eastAsia="宋体" w:cs="宋体"/>
          <w:color w:val="auto"/>
          <w:spacing w:val="0"/>
          <w:sz w:val="21"/>
          <w:szCs w:val="24"/>
          <w:highlight w:val="none"/>
          <w:lang w:val="en-US" w:eastAsia="zh-CN" w:bidi="ar"/>
        </w:rPr>
      </w:pPr>
      <w:r>
        <w:rPr>
          <w:rFonts w:hint="eastAsia" w:ascii="宋体" w:hAnsi="宋体" w:eastAsia="宋体" w:cs="宋体"/>
          <w:color w:val="auto"/>
          <w:spacing w:val="0"/>
          <w:sz w:val="21"/>
          <w:szCs w:val="24"/>
          <w:highlight w:val="none"/>
          <w:lang w:val="en-US" w:eastAsia="zh-CN" w:bidi="ar"/>
        </w:rPr>
        <w:br w:type="column"/>
      </w:r>
      <w:r>
        <w:rPr>
          <w:rFonts w:hint="eastAsia" w:ascii="宋体" w:hAnsi="宋体" w:eastAsia="宋体" w:cs="宋体"/>
          <w:color w:val="auto"/>
          <w:spacing w:val="0"/>
          <w:sz w:val="21"/>
          <w:szCs w:val="24"/>
          <w:highlight w:val="none"/>
          <w:lang w:val="en-US" w:eastAsia="zh-CN" w:bidi="ar"/>
        </w:rPr>
        <w:t>合同附件3：</w:t>
      </w:r>
      <w:bookmarkEnd w:id="547"/>
      <w:bookmarkEnd w:id="548"/>
    </w:p>
    <w:p>
      <w:pPr>
        <w:keepNext w:val="0"/>
        <w:keepLines w:val="0"/>
        <w:pageBreakBefore w:val="0"/>
        <w:widowControl/>
        <w:suppressLineNumbers w:val="0"/>
        <w:spacing w:before="0" w:beforeAutospacing="0" w:after="0" w:afterAutospacing="0" w:line="360" w:lineRule="auto"/>
        <w:ind w:left="0" w:right="0"/>
        <w:jc w:val="center"/>
        <w:rPr>
          <w:rFonts w:hint="eastAsia" w:ascii="宋体" w:hAnsi="宋体" w:eastAsia="宋体" w:cs="宋体"/>
          <w:b/>
          <w:bCs/>
          <w:color w:val="auto"/>
          <w:spacing w:val="0"/>
          <w:sz w:val="30"/>
          <w:szCs w:val="30"/>
          <w:highlight w:val="none"/>
          <w:lang w:val="en-US" w:eastAsia="zh-CN" w:bidi="ar"/>
        </w:rPr>
      </w:pPr>
      <w:r>
        <w:rPr>
          <w:rFonts w:hint="eastAsia" w:ascii="宋体" w:hAnsi="宋体" w:eastAsia="宋体" w:cs="宋体"/>
          <w:b/>
          <w:bCs/>
          <w:color w:val="auto"/>
          <w:spacing w:val="0"/>
          <w:sz w:val="30"/>
          <w:szCs w:val="30"/>
          <w:highlight w:val="none"/>
          <w:lang w:val="en-US" w:eastAsia="zh-CN" w:bidi="ar"/>
        </w:rPr>
        <w:t>工程质量保修书</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发包人（以下简称甲方）：</w:t>
      </w:r>
      <w:r>
        <w:rPr>
          <w:rFonts w:hint="eastAsia" w:ascii="宋体" w:hAnsi="宋体" w:eastAsia="宋体" w:cs="宋体"/>
          <w:bCs/>
          <w:color w:val="auto"/>
          <w:spacing w:val="0"/>
          <w:sz w:val="21"/>
          <w:szCs w:val="21"/>
          <w:highlight w:val="none"/>
          <w:lang w:val="en-US" w:eastAsia="zh-CN" w:bidi="ar"/>
        </w:rPr>
        <w:t>江苏省南通女子监狱</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承包人（以下简称乙方）：</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甲方和乙方根据《中华人民共和国建筑法》和《建设工程质量管理条例》，经协商一致就</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lang w:val="en-US" w:eastAsia="zh-CN" w:bidi="ar"/>
        </w:rPr>
        <w:t>工程全称）签订工程质量保修书。</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一、工程质量保修范围和内容</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乙方在质量保修期内，按照有关法律规定和合同约定，承担工程质量保修责任。</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pacing w:val="0"/>
          <w:sz w:val="21"/>
          <w:szCs w:val="21"/>
          <w:highlight w:val="none"/>
          <w:u w:val="single"/>
          <w:lang w:val="en-US" w:eastAsia="zh-CN" w:bidi="ar"/>
        </w:rPr>
        <w:t>施工合同约定承包范围内所有施工内容</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b/>
          <w:bCs w:val="0"/>
          <w:color w:val="auto"/>
          <w:spacing w:val="0"/>
          <w:sz w:val="21"/>
          <w:szCs w:val="21"/>
          <w:highlight w:val="none"/>
          <w:lang w:val="en-US" w:eastAsia="zh-CN" w:bidi="ar"/>
        </w:rPr>
        <w:t>　　</w:t>
      </w:r>
      <w:r>
        <w:rPr>
          <w:rFonts w:hint="eastAsia" w:ascii="宋体" w:hAnsi="宋体" w:eastAsia="宋体" w:cs="宋体"/>
          <w:color w:val="auto"/>
          <w:spacing w:val="0"/>
          <w:sz w:val="21"/>
          <w:szCs w:val="21"/>
          <w:highlight w:val="none"/>
          <w:lang w:val="en-US" w:eastAsia="zh-CN" w:bidi="ar"/>
        </w:rPr>
        <w:t>二、质量保修期</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根据《建设工程质量管理条例》及有关规定，工程的质量保修期如下：</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1.地基基础工程和主体结构工程为设计文件规定的工程合理使用年限；</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2.屋面防水工程、有防水要求的卫生间、房间和外墙面的防渗为</w:t>
      </w:r>
      <w:r>
        <w:rPr>
          <w:rFonts w:hint="eastAsia" w:ascii="宋体" w:hAnsi="宋体" w:eastAsia="宋体" w:cs="宋体"/>
          <w:color w:val="auto"/>
          <w:spacing w:val="0"/>
          <w:sz w:val="21"/>
          <w:szCs w:val="21"/>
          <w:highlight w:val="none"/>
          <w:u w:val="single"/>
          <w:lang w:val="en-US" w:eastAsia="zh-CN" w:bidi="ar"/>
        </w:rPr>
        <w:t>5</w:t>
      </w:r>
      <w:r>
        <w:rPr>
          <w:rFonts w:hint="eastAsia" w:ascii="宋体" w:hAnsi="宋体" w:eastAsia="宋体" w:cs="宋体"/>
          <w:color w:val="auto"/>
          <w:spacing w:val="0"/>
          <w:sz w:val="21"/>
          <w:szCs w:val="21"/>
          <w:highlight w:val="none"/>
          <w:lang w:val="en-US" w:eastAsia="zh-CN" w:bidi="ar"/>
        </w:rPr>
        <w:t>年；</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3.装修工程为</w:t>
      </w:r>
      <w:r>
        <w:rPr>
          <w:rFonts w:hint="eastAsia" w:ascii="宋体" w:hAnsi="宋体" w:eastAsia="宋体" w:cs="宋体"/>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年；</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4.电气管线、给排水管道、设备安装工程为</w:t>
      </w:r>
      <w:r>
        <w:rPr>
          <w:rFonts w:hint="eastAsia" w:ascii="宋体" w:hAnsi="宋体" w:eastAsia="宋体" w:cs="宋体"/>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年；</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5.供热与供冷系统为</w:t>
      </w:r>
      <w:r>
        <w:rPr>
          <w:rFonts w:hint="eastAsia" w:ascii="宋体" w:hAnsi="宋体" w:eastAsia="宋体" w:cs="宋体"/>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个采暖期、供冷期；</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6.住宅小区内的给排水设施、道路等配套工程为</w:t>
      </w:r>
      <w:r>
        <w:rPr>
          <w:rFonts w:hint="eastAsia" w:ascii="宋体" w:hAnsi="宋体" w:eastAsia="宋体" w:cs="宋体"/>
          <w:color w:val="auto"/>
          <w:spacing w:val="0"/>
          <w:sz w:val="21"/>
          <w:szCs w:val="21"/>
          <w:highlight w:val="none"/>
          <w:u w:val="single"/>
          <w:lang w:val="en-US" w:eastAsia="zh-CN" w:bidi="ar"/>
        </w:rPr>
        <w:t>2</w:t>
      </w:r>
      <w:r>
        <w:rPr>
          <w:rFonts w:hint="eastAsia" w:ascii="宋体" w:hAnsi="宋体" w:eastAsia="宋体" w:cs="宋体"/>
          <w:color w:val="auto"/>
          <w:spacing w:val="0"/>
          <w:sz w:val="21"/>
          <w:szCs w:val="21"/>
          <w:highlight w:val="none"/>
          <w:lang w:val="en-US" w:eastAsia="zh-CN" w:bidi="ar"/>
        </w:rPr>
        <w:t>年；</w:t>
      </w:r>
    </w:p>
    <w:p>
      <w:pPr>
        <w:keepNext w:val="0"/>
        <w:keepLines w:val="0"/>
        <w:pageBreakBefore w:val="0"/>
        <w:widowControl/>
        <w:suppressLineNumbers w:val="0"/>
        <w:spacing w:before="0" w:beforeAutospacing="0" w:after="0" w:afterAutospacing="0" w:line="360" w:lineRule="auto"/>
        <w:ind w:left="0" w:right="0" w:firstLine="420"/>
        <w:jc w:val="left"/>
        <w:rPr>
          <w:rFonts w:hint="eastAsia" w:ascii="宋体" w:hAnsi="Times New Roman" w:eastAsia="宋体" w:cs="宋体"/>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7.其他项目保修期限约定如下</w:t>
      </w:r>
      <w:r>
        <w:rPr>
          <w:rFonts w:hint="eastAsia" w:ascii="宋体" w:hAnsi="宋体" w:eastAsia="宋体" w:cs="宋体"/>
          <w:color w:val="auto"/>
          <w:spacing w:val="0"/>
          <w:sz w:val="21"/>
          <w:szCs w:val="21"/>
          <w:highlight w:val="none"/>
          <w:u w:val="single"/>
          <w:lang w:val="en-US" w:eastAsia="zh-CN" w:bidi="ar"/>
        </w:rPr>
        <w:t>：其他工程的质量保修期根据分包合同中的相应质量保修条款执行，若有冲突以最长质量保修年限为准。除上述规定外，应符合中华人民共和国建设部80号令《房屋建筑工程质量保修办法》关于保修期的规定。若国家、江苏地区，对上述具体工程的保修期有新的规定时，按新规定执行。</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质量保修期自工程竣工验收合格之日起计算。</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三、缺陷责任期</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工程缺陷责任期为</w:t>
      </w:r>
      <w:r>
        <w:rPr>
          <w:rFonts w:hint="eastAsia" w:ascii="宋体" w:hAnsi="宋体" w:eastAsia="宋体" w:cs="宋体"/>
          <w:color w:val="auto"/>
          <w:spacing w:val="0"/>
          <w:sz w:val="21"/>
          <w:szCs w:val="21"/>
          <w:highlight w:val="none"/>
          <w:u w:val="single"/>
          <w:lang w:val="en-US" w:eastAsia="zh-CN" w:bidi="ar"/>
        </w:rPr>
        <w:t>24</w:t>
      </w:r>
      <w:r>
        <w:rPr>
          <w:rFonts w:hint="eastAsia" w:ascii="宋体" w:hAnsi="宋体" w:eastAsia="宋体" w:cs="宋体"/>
          <w:color w:val="auto"/>
          <w:spacing w:val="0"/>
          <w:sz w:val="21"/>
          <w:szCs w:val="21"/>
          <w:highlight w:val="none"/>
          <w:lang w:val="en-US" w:eastAsia="zh-CN" w:bidi="ar"/>
        </w:rPr>
        <w:t>个月，缺陷责任期自工程竣工验收合格之日起计算。单位工程先于全部工程进行验收，单位工程缺陷责任期自单位工程验收合格之日起算。</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    四、质量保修责任</w:t>
      </w:r>
    </w:p>
    <w:p>
      <w:pPr>
        <w:keepNext w:val="0"/>
        <w:keepLines w:val="0"/>
        <w:pageBreakBefore w:val="0"/>
        <w:widowControl w:val="0"/>
        <w:suppressLineNumbers w:val="0"/>
        <w:spacing w:before="0" w:beforeAutospacing="0" w:after="0" w:afterAutospacing="0" w:line="360" w:lineRule="auto"/>
        <w:ind w:left="105" w:right="0" w:firstLine="428"/>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1.属于保修范围、内容的项目，乙方应当在接到保修通知之日起3天内派人进行有效保修。乙方不在约定期限内派人保修，或未能有效解决问题的，甲方可以委托他人维修，产生的一切费用由乙方承担。</w:t>
      </w:r>
    </w:p>
    <w:p>
      <w:pPr>
        <w:keepNext w:val="0"/>
        <w:keepLines w:val="0"/>
        <w:pageBreakBefore w:val="0"/>
        <w:widowControl w:val="0"/>
        <w:suppressLineNumbers w:val="0"/>
        <w:spacing w:before="0" w:beforeAutospacing="0" w:after="0" w:afterAutospacing="0" w:line="360" w:lineRule="auto"/>
        <w:ind w:left="105" w:right="0" w:firstLine="428"/>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2.保修期内发生漏水等质量问题，给甲方造成的损失，由乙方赔偿。</w:t>
      </w:r>
    </w:p>
    <w:p>
      <w:pPr>
        <w:keepNext w:val="0"/>
        <w:keepLines w:val="0"/>
        <w:pageBreakBefore w:val="0"/>
        <w:widowControl w:val="0"/>
        <w:suppressLineNumbers w:val="0"/>
        <w:spacing w:before="0" w:beforeAutospacing="0" w:after="0" w:afterAutospacing="0" w:line="360" w:lineRule="auto"/>
        <w:ind w:left="105" w:right="0" w:firstLine="428"/>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3.发生紧急事故需抢修的，乙方在接到事故通知后，应当立即到达事故现场抢修。</w:t>
      </w:r>
    </w:p>
    <w:p>
      <w:pPr>
        <w:keepNext w:val="0"/>
        <w:keepLines w:val="0"/>
        <w:pageBreakBefore w:val="0"/>
        <w:widowControl w:val="0"/>
        <w:suppressLineNumbers w:val="0"/>
        <w:spacing w:before="0" w:beforeAutospacing="0" w:after="0" w:afterAutospacing="0" w:line="360" w:lineRule="auto"/>
        <w:ind w:left="105" w:right="0" w:firstLine="428"/>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keepNext w:val="0"/>
        <w:keepLines w:val="0"/>
        <w:pageBreakBefore w:val="0"/>
        <w:widowControl w:val="0"/>
        <w:suppressLineNumbers w:val="0"/>
        <w:spacing w:before="0" w:beforeAutospacing="0" w:after="0" w:afterAutospacing="0" w:line="360" w:lineRule="auto"/>
        <w:ind w:left="420" w:right="0" w:firstLine="105"/>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5.质量保修完成后，由甲方组织验收。</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五、保修费用</w:t>
      </w:r>
    </w:p>
    <w:p>
      <w:pPr>
        <w:keepNext w:val="0"/>
        <w:keepLines w:val="0"/>
        <w:pageBreakBefore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保修费用由造成质量缺陷的责任方承担。</w:t>
      </w:r>
    </w:p>
    <w:p>
      <w:pPr>
        <w:keepNext w:val="0"/>
        <w:keepLines w:val="0"/>
        <w:pageBreakBefore w:val="0"/>
        <w:widowControl w:val="0"/>
        <w:suppressLineNumbers w:val="0"/>
        <w:spacing w:before="0" w:beforeAutospacing="0" w:after="0" w:afterAutospacing="0" w:line="360" w:lineRule="auto"/>
        <w:ind w:left="0" w:right="0" w:firstLine="422"/>
        <w:jc w:val="both"/>
        <w:rPr>
          <w:rFonts w:hint="eastAsia" w:ascii="宋体" w:hAnsi="Times New Roman" w:eastAsia="宋体" w:cs="宋体"/>
          <w:color w:val="auto"/>
          <w:spacing w:val="0"/>
          <w:szCs w:val="21"/>
          <w:highlight w:val="none"/>
          <w:lang w:val="en-US"/>
        </w:rPr>
      </w:pPr>
      <w:r>
        <w:rPr>
          <w:rFonts w:hint="eastAsia" w:ascii="宋体" w:hAnsi="宋体" w:eastAsia="宋体" w:cs="宋体"/>
          <w:b/>
          <w:bCs w:val="0"/>
          <w:color w:val="auto"/>
          <w:spacing w:val="0"/>
          <w:sz w:val="21"/>
          <w:szCs w:val="21"/>
          <w:highlight w:val="none"/>
          <w:lang w:val="en-US" w:eastAsia="zh-CN" w:bidi="ar"/>
        </w:rPr>
        <w:t>六</w:t>
      </w:r>
      <w:r>
        <w:rPr>
          <w:rFonts w:hint="eastAsia" w:ascii="宋体" w:hAnsi="宋体" w:eastAsia="宋体" w:cs="宋体"/>
          <w:color w:val="auto"/>
          <w:spacing w:val="0"/>
          <w:sz w:val="21"/>
          <w:szCs w:val="21"/>
          <w:highlight w:val="none"/>
          <w:lang w:val="en-US" w:eastAsia="zh-CN" w:bidi="ar"/>
        </w:rPr>
        <w:t>、双方约定的其他工程质量保修事项：</w:t>
      </w:r>
      <w:r>
        <w:rPr>
          <w:rFonts w:hint="eastAsia" w:ascii="宋体" w:hAnsi="宋体" w:eastAsia="宋体" w:cs="宋体"/>
          <w:color w:val="auto"/>
          <w:spacing w:val="0"/>
          <w:sz w:val="21"/>
          <w:szCs w:val="21"/>
          <w:highlight w:val="none"/>
          <w:u w:val="single"/>
          <w:lang w:val="en-US" w:eastAsia="zh-CN" w:bidi="ar"/>
        </w:rPr>
        <w:t>/</w:t>
      </w:r>
      <w:r>
        <w:rPr>
          <w:rFonts w:hint="eastAsia" w:ascii="宋体" w:hAnsi="宋体" w:eastAsia="宋体" w:cs="宋体"/>
          <w:color w:val="auto"/>
          <w:spacing w:val="0"/>
          <w:sz w:val="21"/>
          <w:szCs w:val="21"/>
          <w:highlight w:val="none"/>
          <w:lang w:val="en-US" w:eastAsia="zh-CN" w:bidi="ar"/>
        </w:rPr>
        <w:t>。</w:t>
      </w:r>
    </w:p>
    <w:p>
      <w:pPr>
        <w:keepNext w:val="0"/>
        <w:keepLines w:val="0"/>
        <w:pageBreakBefore w:val="0"/>
        <w:widowControl w:val="0"/>
        <w:suppressLineNumbers w:val="0"/>
        <w:spacing w:before="0" w:beforeAutospacing="0" w:after="0" w:afterAutospacing="0" w:line="360" w:lineRule="auto"/>
        <w:ind w:left="0" w:right="0" w:firstLine="399"/>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工程质量保修书由甲方、乙方在工程竣工验收前共同签署，作为施工合同附件，其有效期限至保修期满。</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发包人（公章）：</w:t>
      </w:r>
      <w:r>
        <w:rPr>
          <w:rFonts w:hint="eastAsia" w:ascii="宋体" w:hAnsi="宋体" w:eastAsia="宋体" w:cs="宋体"/>
          <w:color w:val="auto"/>
          <w:spacing w:val="0"/>
          <w:sz w:val="21"/>
          <w:szCs w:val="21"/>
          <w:highlight w:val="none"/>
          <w:u w:val="single"/>
          <w:lang w:val="en-US" w:eastAsia="zh-CN" w:bidi="ar"/>
        </w:rPr>
        <w:t xml:space="preserve">     </w:t>
      </w:r>
      <w:r>
        <w:rPr>
          <w:rFonts w:hint="eastAsia" w:ascii="宋体" w:hAnsi="宋体" w:eastAsia="宋体" w:cs="宋体"/>
          <w:color w:val="auto"/>
          <w:spacing w:val="0"/>
          <w:sz w:val="21"/>
          <w:szCs w:val="21"/>
          <w:highlight w:val="none"/>
          <w:lang w:val="en-US" w:eastAsia="zh-CN" w:bidi="ar"/>
        </w:rPr>
        <w:t xml:space="preserve">       承包人（公章）：</w:t>
      </w:r>
      <w:r>
        <w:rPr>
          <w:rFonts w:hint="eastAsia" w:ascii="宋体" w:hAnsi="宋体" w:eastAsia="宋体" w:cs="宋体"/>
          <w:color w:val="auto"/>
          <w:spacing w:val="0"/>
          <w:sz w:val="21"/>
          <w:szCs w:val="21"/>
          <w:highlight w:val="none"/>
          <w:u w:val="single"/>
          <w:lang w:val="en-US" w:eastAsia="zh-CN" w:bidi="ar"/>
        </w:rPr>
        <w:t xml:space="preserve">       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地  址：</w:t>
      </w:r>
      <w:r>
        <w:rPr>
          <w:rFonts w:hint="eastAsia" w:ascii="宋体" w:hAnsi="宋体" w:eastAsia="宋体" w:cs="宋体"/>
          <w:color w:val="auto"/>
          <w:spacing w:val="0"/>
          <w:sz w:val="21"/>
          <w:szCs w:val="21"/>
          <w:highlight w:val="none"/>
          <w:u w:val="single"/>
          <w:lang w:val="en-US" w:eastAsia="zh-CN" w:bidi="ar"/>
        </w:rPr>
        <w:t xml:space="preserve">     </w:t>
      </w:r>
      <w:r>
        <w:rPr>
          <w:rFonts w:hint="eastAsia" w:ascii="宋体" w:hAnsi="宋体" w:eastAsia="宋体" w:cs="宋体"/>
          <w:color w:val="auto"/>
          <w:spacing w:val="0"/>
          <w:sz w:val="21"/>
          <w:szCs w:val="21"/>
          <w:highlight w:val="none"/>
          <w:lang w:val="en-US" w:eastAsia="zh-CN" w:bidi="ar"/>
        </w:rPr>
        <w:t xml:space="preserve">       地  址：</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法定代表人（签字）：</w:t>
      </w:r>
      <w:r>
        <w:rPr>
          <w:rFonts w:hint="eastAsia" w:ascii="宋体" w:hAnsi="宋体" w:eastAsia="宋体" w:cs="宋体"/>
          <w:color w:val="auto"/>
          <w:spacing w:val="0"/>
          <w:sz w:val="21"/>
          <w:szCs w:val="21"/>
          <w:highlight w:val="none"/>
          <w:u w:val="single"/>
          <w:lang w:val="en-US" w:eastAsia="zh-CN" w:bidi="ar"/>
        </w:rPr>
        <w:t>   </w:t>
      </w:r>
      <w:r>
        <w:rPr>
          <w:rFonts w:hint="eastAsia" w:ascii="宋体" w:hAnsi="宋体" w:eastAsia="宋体" w:cs="宋体"/>
          <w:color w:val="auto"/>
          <w:spacing w:val="0"/>
          <w:sz w:val="21"/>
          <w:szCs w:val="21"/>
          <w:highlight w:val="none"/>
          <w:lang w:val="en-US" w:eastAsia="zh-CN" w:bidi="ar"/>
        </w:rPr>
        <w:t xml:space="preserve">       法定代表人（签字）：</w:t>
      </w:r>
      <w:r>
        <w:rPr>
          <w:rFonts w:hint="eastAsia" w:ascii="宋体" w:hAnsi="宋体" w:eastAsia="宋体" w:cs="宋体"/>
          <w:color w:val="auto"/>
          <w:spacing w:val="0"/>
          <w:sz w:val="21"/>
          <w:szCs w:val="21"/>
          <w:highlight w:val="none"/>
          <w:u w:val="single"/>
          <w:lang w:val="en-US" w:eastAsia="zh-CN" w:bidi="ar"/>
        </w:rPr>
        <w:t xml:space="preserve">    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委托代理人（签字）：</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lang w:val="en-US" w:eastAsia="zh-CN" w:bidi="ar"/>
        </w:rPr>
        <w:t xml:space="preserve">       委托代理人（签字）：</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电  话：</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lang w:val="en-US" w:eastAsia="zh-CN" w:bidi="ar"/>
        </w:rPr>
        <w:t xml:space="preserve">       电  话：</w:t>
      </w:r>
      <w:r>
        <w:rPr>
          <w:rFonts w:hint="eastAsia" w:ascii="宋体" w:hAnsi="宋体" w:eastAsia="宋体" w:cs="宋体"/>
          <w:color w:val="auto"/>
          <w:spacing w:val="0"/>
          <w:sz w:val="21"/>
          <w:szCs w:val="21"/>
          <w:highlight w:val="none"/>
          <w:u w:val="single"/>
          <w:lang w:val="en-US" w:eastAsia="zh-CN" w:bidi="ar"/>
        </w:rPr>
        <w:t>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传  真：</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lang w:val="en-US" w:eastAsia="zh-CN" w:bidi="ar"/>
        </w:rPr>
        <w:t xml:space="preserve">       传  真：</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开户银行：</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lang w:val="en-US" w:eastAsia="zh-CN" w:bidi="ar"/>
        </w:rPr>
        <w:t xml:space="preserve">       开户银行：</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账  号：</w:t>
      </w:r>
      <w:r>
        <w:rPr>
          <w:rFonts w:hint="eastAsia" w:ascii="宋体" w:hAnsi="宋体" w:eastAsia="宋体" w:cs="宋体"/>
          <w:color w:val="auto"/>
          <w:spacing w:val="0"/>
          <w:sz w:val="21"/>
          <w:szCs w:val="21"/>
          <w:highlight w:val="none"/>
          <w:u w:val="single"/>
          <w:lang w:val="en-US" w:eastAsia="zh-CN" w:bidi="ar"/>
        </w:rPr>
        <w:t xml:space="preserve">        </w:t>
      </w:r>
      <w:r>
        <w:rPr>
          <w:rFonts w:hint="eastAsia" w:ascii="宋体" w:hAnsi="宋体" w:eastAsia="宋体" w:cs="宋体"/>
          <w:color w:val="auto"/>
          <w:spacing w:val="0"/>
          <w:sz w:val="21"/>
          <w:szCs w:val="21"/>
          <w:highlight w:val="none"/>
          <w:lang w:val="en-US" w:eastAsia="zh-CN" w:bidi="ar"/>
        </w:rPr>
        <w:t xml:space="preserve">      账 号：</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pageBreakBefore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邮政编码：</w:t>
      </w:r>
      <w:r>
        <w:rPr>
          <w:rFonts w:hint="eastAsia" w:ascii="宋体" w:hAnsi="宋体" w:eastAsia="宋体" w:cs="宋体"/>
          <w:color w:val="auto"/>
          <w:spacing w:val="0"/>
          <w:sz w:val="21"/>
          <w:szCs w:val="21"/>
          <w:highlight w:val="none"/>
          <w:u w:val="single"/>
          <w:lang w:val="en-US" w:eastAsia="zh-CN" w:bidi="ar"/>
        </w:rPr>
        <w:t xml:space="preserve">      </w:t>
      </w:r>
      <w:r>
        <w:rPr>
          <w:rFonts w:hint="eastAsia" w:ascii="宋体" w:hAnsi="宋体" w:eastAsia="宋体" w:cs="宋体"/>
          <w:color w:val="auto"/>
          <w:spacing w:val="0"/>
          <w:sz w:val="21"/>
          <w:szCs w:val="21"/>
          <w:highlight w:val="none"/>
          <w:lang w:val="en-US" w:eastAsia="zh-CN" w:bidi="ar"/>
        </w:rPr>
        <w:t xml:space="preserve">      邮政编码：</w:t>
      </w:r>
      <w:r>
        <w:rPr>
          <w:rFonts w:hint="eastAsia" w:ascii="宋体" w:hAnsi="宋体" w:eastAsia="宋体" w:cs="宋体"/>
          <w:color w:val="auto"/>
          <w:spacing w:val="0"/>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 w:val="24"/>
          <w:szCs w:val="20"/>
          <w:highlight w:val="none"/>
          <w:lang w:val="en-US"/>
        </w:rPr>
      </w:pPr>
      <w:r>
        <w:rPr>
          <w:rFonts w:hint="eastAsia" w:ascii="宋体" w:hAnsi="Times New Roman" w:eastAsia="宋体" w:cs="宋体"/>
          <w:color w:val="auto"/>
          <w:spacing w:val="0"/>
          <w:sz w:val="21"/>
          <w:szCs w:val="21"/>
          <w:highlight w:val="none"/>
          <w:lang w:val="en-US" w:eastAsia="zh-CN" w:bidi="ar"/>
        </w:rPr>
        <w:br w:type="page" w:clear="all"/>
      </w:r>
      <w:bookmarkStart w:id="549" w:name="_Toc394066961"/>
      <w:bookmarkStart w:id="550" w:name="_Toc353890978"/>
      <w:r>
        <w:rPr>
          <w:rFonts w:hint="eastAsia" w:ascii="宋体" w:hAnsi="宋体" w:eastAsia="宋体" w:cs="宋体"/>
          <w:color w:val="auto"/>
          <w:spacing w:val="0"/>
          <w:sz w:val="21"/>
          <w:szCs w:val="21"/>
          <w:highlight w:val="none"/>
          <w:lang w:val="en-US" w:eastAsia="zh-CN" w:bidi="ar"/>
        </w:rPr>
        <w:t>合同附件4：</w:t>
      </w:r>
      <w:bookmarkEnd w:id="549"/>
      <w:bookmarkEnd w:id="55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Times New Roman" w:eastAsia="宋体" w:cs="宋体"/>
          <w:color w:val="auto"/>
          <w:spacing w:val="0"/>
          <w:sz w:val="32"/>
          <w:szCs w:val="32"/>
          <w:highlight w:val="none"/>
          <w:lang w:val="en-US"/>
        </w:rPr>
      </w:pPr>
      <w:r>
        <w:rPr>
          <w:rFonts w:hint="eastAsia" w:ascii="宋体" w:hAnsi="宋体" w:eastAsia="宋体" w:cs="宋体"/>
          <w:b/>
          <w:bCs/>
          <w:color w:val="auto"/>
          <w:spacing w:val="0"/>
          <w:sz w:val="32"/>
          <w:szCs w:val="32"/>
          <w:highlight w:val="none"/>
          <w:lang w:val="en-US" w:eastAsia="zh-CN" w:bidi="ar"/>
        </w:rPr>
        <w:t>廉洁协议书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发包人（以下简称甲方）：</w:t>
      </w:r>
      <w:r>
        <w:rPr>
          <w:rFonts w:hint="eastAsia" w:ascii="宋体" w:hAnsi="宋体" w:eastAsia="宋体" w:cs="宋体"/>
          <w:bCs/>
          <w:color w:val="auto"/>
          <w:spacing w:val="0"/>
          <w:sz w:val="21"/>
          <w:szCs w:val="21"/>
          <w:highlight w:val="none"/>
          <w:lang w:val="en-US" w:eastAsia="zh-CN" w:bidi="ar"/>
        </w:rPr>
        <w:t>江苏省南通女子监狱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承包人（以下简称乙方）：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为了在工程建设中保持廉洁自律的工作作风，防止各种不正当行为的发生，根据国家和市有关建设工程廉政建设的规定，结合本工程建设特点，特订立本协议如下：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双方应当自觉遵守国家和江苏省关于建设工程有关廉政建设的规定。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1.甲方及其工作人员不得以任何形式向乙方索要和收受回扣等好处费。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2.甲方工作人员不得接受乙方的礼金、有价证券、贵重物品，不得在乙方及材料设备供应商处报销任何应由个人支付的费用。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3.甲方工作人员不得参加可能对履行责任、义务有影响的宴请和娱乐活动。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4.甲方工作人员不得要求乙方或者接受乙方及材料设备供应商为其住房装修、婚丧嫁娶、家属和子女的工作安排以及出国等提供方便。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5.双方不得相互介绍家属或者亲友从事与甲方工程有关的经济活动。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6.甲方不得为谋取私利擅自与乙方工作人员及（或）承包商及材料设备供应商就工程承包、工程费用、材料设备供应、工程量变动、工程验收、工程质量问题处理等进行私下商谈或者达成默契。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7.乙方不得以洽谈工作、签订经济合同为借口，邀请甲方工作人员及材料设备供应商邀请外出旅游和进入营业性高档娱乐场所。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8.乙方不得为甲方工作人员购置或者提供通讯工具、交通工具、家电、高档办公用品等物品。甲方不得接受乙方及材料设备供应商购置或者提供通讯工具、交通工具、家电、高档办公用品等物品。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9.双方如发现对方工作人员有违反上述协议者，应向对方领导或者对方上级单位举报。双方不得找任何借口对对方进行报复。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10.甲方发现乙方有违反本协议或者采用不正当的手段行贿甲方工作人员，或收受材料设备供应商贿赂，甲方视具体情节和造成的后果轻重，扣除乙方合同价格的2%的违约金。由此给甲方造成的损失均由乙方承担。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本廉洁协议作为施工工程合同的附件，与合同具有同等法律效力。经协议双方签署后立即生效。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本协议一式七份，甲方四份、乙方三份。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甲     方：（盖章）                    乙     方：（盖章）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法定代表人（或授权委托人）：           法定代表人（或授权委托人）：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地     址：                            地     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电     话：                            电     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签约日期：</w:t>
      </w:r>
      <w:bookmarkEnd w:id="22"/>
      <w:bookmarkEnd w:id="23"/>
    </w:p>
    <w:p>
      <w:pPr>
        <w:rPr>
          <w:rFonts w:hint="eastAsia" w:ascii="宋体" w:hAnsi="宋体" w:eastAsia="宋体" w:cs="宋体"/>
          <w:color w:val="auto"/>
          <w:spacing w:val="0"/>
          <w:sz w:val="21"/>
          <w:szCs w:val="21"/>
          <w:highlight w:val="none"/>
          <w:lang w:val="en-US" w:eastAsia="zh-CN" w:bidi="ar"/>
        </w:rPr>
      </w:pPr>
      <w:bookmarkStart w:id="551" w:name="_Toc456797670"/>
      <w:r>
        <w:rPr>
          <w:rFonts w:hint="eastAsia" w:ascii="宋体" w:hAnsi="宋体" w:eastAsia="宋体" w:cs="宋体"/>
          <w:color w:val="auto"/>
          <w:spacing w:val="0"/>
          <w:sz w:val="21"/>
          <w:szCs w:val="21"/>
          <w:highlight w:val="none"/>
          <w:lang w:val="en-US" w:eastAsia="zh-CN" w:bidi="ar"/>
        </w:rPr>
        <w:br w:type="page" w:clear="all"/>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 w:val="24"/>
          <w:szCs w:val="20"/>
          <w:highlight w:val="none"/>
          <w:lang w:val="en-US"/>
        </w:rPr>
      </w:pPr>
      <w:r>
        <w:rPr>
          <w:rFonts w:hint="eastAsia" w:ascii="宋体" w:hAnsi="宋体" w:eastAsia="宋体" w:cs="宋体"/>
          <w:color w:val="auto"/>
          <w:spacing w:val="0"/>
          <w:sz w:val="21"/>
          <w:szCs w:val="21"/>
          <w:highlight w:val="none"/>
          <w:lang w:val="en-US" w:eastAsia="zh-CN" w:bidi="ar"/>
        </w:rPr>
        <w:t>合同附件5：</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color w:val="auto"/>
          <w:spacing w:val="0"/>
          <w:sz w:val="32"/>
          <w:szCs w:val="32"/>
          <w:highlight w:val="none"/>
          <w:lang w:val="en-US"/>
        </w:rPr>
      </w:pPr>
      <w:r>
        <w:rPr>
          <w:rFonts w:hint="eastAsia" w:ascii="宋体" w:hAnsi="宋体" w:eastAsia="宋体" w:cs="宋体"/>
          <w:b/>
          <w:bCs/>
          <w:color w:val="auto"/>
          <w:spacing w:val="0"/>
          <w:sz w:val="32"/>
          <w:szCs w:val="32"/>
          <w:highlight w:val="none"/>
          <w:lang w:val="en-US" w:eastAsia="zh-CN" w:bidi="ar"/>
        </w:rPr>
        <w:t>建设工程承发包安全管理协议</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bCs/>
          <w:color w:val="auto"/>
          <w:spacing w:val="0"/>
          <w:szCs w:val="21"/>
          <w:highlight w:val="none"/>
          <w:u w:val="single"/>
          <w:lang w:val="en-US"/>
        </w:rPr>
      </w:pPr>
      <w:r>
        <w:rPr>
          <w:rFonts w:hint="eastAsia" w:ascii="宋体" w:hAnsi="宋体" w:eastAsia="宋体" w:cs="宋体"/>
          <w:color w:val="auto"/>
          <w:spacing w:val="0"/>
          <w:sz w:val="21"/>
          <w:szCs w:val="21"/>
          <w:highlight w:val="none"/>
          <w:lang w:val="en-US" w:eastAsia="zh-CN" w:bidi="ar"/>
        </w:rPr>
        <w:t>发包人（以下简称甲方）：</w:t>
      </w:r>
      <w:r>
        <w:rPr>
          <w:rFonts w:hint="eastAsia" w:ascii="宋体" w:hAnsi="宋体" w:eastAsia="宋体" w:cs="宋体"/>
          <w:bCs/>
          <w:color w:val="auto"/>
          <w:spacing w:val="0"/>
          <w:sz w:val="21"/>
          <w:szCs w:val="21"/>
          <w:highlight w:val="none"/>
          <w:lang w:val="en-US" w:eastAsia="zh-CN" w:bidi="ar"/>
        </w:rPr>
        <w:t>江苏省南通女子监狱</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承包人（以下简称乙方）：</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 xml:space="preserve">    甲方将本建筑安装工程项目发包给乙方施工，为贯彻“安全第一、预防为主”的方针，根据《江苏省工程安全管理暂行规定》和国家有关法规，明确双方的安全生产责任，确保施工安全，双方在签订建筑安装工程合同的同时，签订本协议。</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一、承包施工项目：</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项目名称：江苏省南通女子监狱安防设施项目</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工程地址：南通市濠东路63号</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承包范围：</w:t>
      </w:r>
      <w:r>
        <w:rPr>
          <w:rFonts w:hint="eastAsia" w:ascii="宋体" w:hAnsi="宋体" w:eastAsia="宋体" w:cs="宋体"/>
          <w:bCs/>
          <w:color w:val="auto"/>
          <w:spacing w:val="0"/>
          <w:sz w:val="21"/>
          <w:szCs w:val="21"/>
          <w:highlight w:val="none"/>
          <w:lang w:val="en-US" w:eastAsia="zh-CN" w:bidi="ar"/>
        </w:rPr>
        <w:t>江苏省南通女子监狱安防设施项目（具体内容详见工程量清单且包括施工图纸所列的全部工作内容）</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二、工程项目施工期限：</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三、协议内容：</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1.甲乙双方必须认真贯彻国家、江苏省和上级劳动保护、安全生产主管部门颁发的有关安全生产、消防工作的方针、政策、严格执行有关劳动保护法规、条例、规定。</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3.乙方在施工前要认真勘察现场：乙方进场后首先必须做好施工现场围护，防止闲杂人员进入施工现场，发生安全事故。</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4.工程项目由乙方按甲方的要求自行编制实施性施工组织设计；并制定有针对性的安全技术措施计划、严格按施工组织设计和有关安全要求施工。乙方应落实本工程安全生产的管理体系，管理体系中的人员名单上报甲方项目部备案，以便甲方监督管理。工地安全员必须持证上岗。</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5.乙方必须认真对本单位职工进行安全生产制度及安全技术知识教育，增强法制观念，提高职工的安全生产思想意识和自我保护的能力，督促职工自觉遵守安全生产纪律、制度和法规。</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7.根据工程项目内容、特点，甲乙双方应做好安全技术交底，并有交底的书面材料，交底材料一式两份，由甲乙双方签字后各执一份。</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8.施工期间，乙方指派同志负责本工程项目的有关安全、防火工作；甲方指派</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同志负责联系、检查督促乙方执行有关安全、防火规定。甲乙双方应经常联系，相互协助检查和处理工程施工有关的安全、防火工作，共同预防事故发生。</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9.乙方在施工期间必须严格执行和遵守甲方的安全生产、防火管理的各项规定，接受甲方的督促、检查和指导。甲方有协助乙方搞好安全生产、防火管理以及督促检查的义务，对于查出的隐患，乙方必须限期整改。</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10.在生产操作过程中的乙方员工防护用品，由乙方自理，乙方都应督促施工现场人员自觉穿戴好防护用品。</w:t>
      </w:r>
    </w:p>
    <w:p>
      <w:pPr>
        <w:keepNext w:val="0"/>
        <w:keepLines w:val="0"/>
        <w:widowControl w:val="0"/>
        <w:suppressLineNumbers w:val="0"/>
        <w:spacing w:before="0" w:beforeAutospacing="0" w:after="0" w:afterAutospacing="0" w:line="360" w:lineRule="auto"/>
        <w:ind w:left="0" w:right="0" w:firstLine="472"/>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w:t>
      </w:r>
    </w:p>
    <w:p>
      <w:pPr>
        <w:keepNext w:val="0"/>
        <w:keepLines w:val="0"/>
        <w:widowControl w:val="0"/>
        <w:suppressLineNumbers w:val="0"/>
        <w:spacing w:before="0" w:beforeAutospacing="0" w:after="0" w:afterAutospacing="0" w:line="360" w:lineRule="auto"/>
        <w:ind w:left="0" w:right="0" w:firstLine="472"/>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w:t>
      </w:r>
    </w:p>
    <w:p>
      <w:pPr>
        <w:keepNext w:val="0"/>
        <w:keepLines w:val="0"/>
        <w:widowControl w:val="0"/>
        <w:suppressLineNumbers w:val="0"/>
        <w:spacing w:before="0" w:beforeAutospacing="0" w:after="0" w:afterAutospacing="0" w:line="360" w:lineRule="auto"/>
        <w:ind w:left="0" w:right="0" w:firstLine="472"/>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w:t>
      </w:r>
    </w:p>
    <w:p>
      <w:pPr>
        <w:keepNext w:val="0"/>
        <w:keepLines w:val="0"/>
        <w:widowControl w:val="0"/>
        <w:suppressLineNumbers w:val="0"/>
        <w:spacing w:before="0" w:beforeAutospacing="0" w:after="0" w:afterAutospacing="0" w:line="360" w:lineRule="auto"/>
        <w:ind w:left="0" w:right="0" w:firstLine="472"/>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电饭锅、电取暖器等，防止漏电触电事故发生。</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17.乙方在施工中，应注意地下管线及高压架空线路的保护。甲方对地下管线和障碍物应详细交底，乙方应贯彻交底要求，如遇有情况，应及时向甲方和有关部门联系，采取保护措施。</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由乙方承担。</w:t>
      </w:r>
    </w:p>
    <w:p>
      <w:pPr>
        <w:keepNext w:val="0"/>
        <w:keepLines w:val="0"/>
        <w:widowControl w:val="0"/>
        <w:suppressLineNumbers w:val="0"/>
        <w:spacing w:before="0" w:beforeAutospacing="0" w:after="0" w:afterAutospacing="0" w:line="360" w:lineRule="auto"/>
        <w:ind w:left="0" w:right="0" w:firstLine="420"/>
        <w:jc w:val="both"/>
        <w:rPr>
          <w:rFonts w:hint="eastAsia" w:ascii="宋体" w:hAnsi="Times New Roman" w:eastAsia="宋体" w:cs="宋体"/>
          <w:color w:val="auto"/>
          <w:spacing w:val="0"/>
          <w:szCs w:val="21"/>
          <w:highlight w:val="none"/>
          <w:lang w:val="en-US"/>
        </w:rPr>
      </w:pPr>
      <w:r>
        <w:rPr>
          <w:rFonts w:hint="eastAsia" w:ascii="宋体" w:hAnsi="宋体" w:eastAsia="宋体" w:cs="宋体"/>
          <w:color w:val="auto"/>
          <w:spacing w:val="0"/>
          <w:sz w:val="21"/>
          <w:szCs w:val="21"/>
          <w:highlight w:val="none"/>
          <w:lang w:val="en-US" w:eastAsia="zh-CN" w:bidi="ar"/>
        </w:rPr>
        <w:t>19．本协议经双方签字、盖章有效。作为合同正本的附件壹式陆份，甲方叁份、乙方叁份。</w:t>
      </w:r>
    </w:p>
    <w:p>
      <w:pPr>
        <w:keepNext w:val="0"/>
        <w:keepLines w:val="0"/>
        <w:widowControl/>
        <w:suppressLineNumbers w:val="0"/>
        <w:spacing w:before="0" w:beforeAutospacing="0" w:after="0" w:afterAutospacing="0" w:line="360" w:lineRule="auto"/>
        <w:ind w:left="0" w:right="0" w:firstLine="420"/>
        <w:jc w:val="both"/>
        <w:rPr>
          <w:rFonts w:hint="eastAsia" w:ascii="宋体" w:hAnsi="Courier New" w:eastAsia="宋体" w:cs="宋体"/>
          <w:color w:val="auto"/>
          <w:spacing w:val="0"/>
          <w:sz w:val="21"/>
          <w:szCs w:val="21"/>
          <w:highlight w:val="none"/>
          <w:lang w:val="en-US" w:eastAsia="zh-CN" w:bidi="ar"/>
        </w:rPr>
      </w:pPr>
      <w:r>
        <w:rPr>
          <w:rFonts w:hint="eastAsia" w:ascii="宋体" w:hAnsi="宋体" w:eastAsia="宋体" w:cs="宋体"/>
          <w:color w:val="auto"/>
          <w:spacing w:val="0"/>
          <w:sz w:val="21"/>
          <w:szCs w:val="21"/>
          <w:highlight w:val="none"/>
          <w:lang w:val="en-US" w:eastAsia="zh-CN" w:bidi="ar"/>
        </w:rPr>
        <w:t>20．本协议同工程合同正本同日生效，甲、乙双方必须严格执行，由于违反本协议而造成伤亡事故，由违约方承担一切经济损失。</w:t>
      </w:r>
    </w:p>
    <w:p>
      <w:pPr>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bCs/>
          <w:color w:val="auto"/>
          <w:spacing w:val="0"/>
          <w:sz w:val="21"/>
          <w:szCs w:val="21"/>
          <w:highlight w:val="none"/>
          <w:lang w:val="en-US" w:eastAsia="zh-CN" w:bidi="ar"/>
        </w:rPr>
      </w:pPr>
    </w:p>
    <w:p>
      <w:pPr>
        <w:keepNext w:val="0"/>
        <w:keepLines w:val="0"/>
        <w:widowControl/>
        <w:suppressLineNumbers w:val="0"/>
        <w:spacing w:before="0" w:beforeAutospacing="0" w:after="0" w:afterAutospacing="0" w:line="360" w:lineRule="auto"/>
        <w:ind w:left="0" w:right="0" w:firstLine="420"/>
        <w:jc w:val="both"/>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甲     方：（盖章）                    乙     方：（盖章）</w:t>
      </w:r>
    </w:p>
    <w:p>
      <w:pPr>
        <w:keepNext w:val="0"/>
        <w:keepLines w:val="0"/>
        <w:widowControl/>
        <w:suppressLineNumbers w:val="0"/>
        <w:spacing w:before="0" w:beforeAutospacing="0" w:after="0" w:afterAutospacing="0" w:line="360" w:lineRule="auto"/>
        <w:ind w:left="0" w:right="0" w:firstLine="420"/>
        <w:jc w:val="both"/>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法定代表人（或授权委托人）：           法定代表人（或授权委托人）：</w:t>
      </w:r>
    </w:p>
    <w:p>
      <w:pPr>
        <w:keepNext w:val="0"/>
        <w:keepLines w:val="0"/>
        <w:widowControl/>
        <w:suppressLineNumbers w:val="0"/>
        <w:spacing w:before="0" w:beforeAutospacing="0" w:after="0" w:afterAutospacing="0" w:line="360" w:lineRule="auto"/>
        <w:ind w:left="0" w:right="0" w:firstLine="420"/>
        <w:jc w:val="both"/>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地     址：                            地     址：</w:t>
      </w:r>
    </w:p>
    <w:p>
      <w:pPr>
        <w:keepNext w:val="0"/>
        <w:keepLines w:val="0"/>
        <w:widowControl/>
        <w:suppressLineNumbers w:val="0"/>
        <w:spacing w:before="0" w:beforeAutospacing="0" w:after="0" w:afterAutospacing="0" w:line="360" w:lineRule="auto"/>
        <w:ind w:left="0" w:right="0" w:firstLine="420"/>
        <w:jc w:val="both"/>
        <w:rPr>
          <w:rFonts w:hint="eastAsia" w:ascii="宋体" w:hAnsi="Courier New" w:eastAsia="宋体" w:cs="宋体"/>
          <w:bCs/>
          <w:color w:val="auto"/>
          <w:spacing w:val="0"/>
          <w:sz w:val="21"/>
          <w:szCs w:val="21"/>
          <w:highlight w:val="none"/>
          <w:lang w:val="en-US" w:eastAsia="zh-CN" w:bidi="ar"/>
        </w:rPr>
      </w:pPr>
      <w:r>
        <w:rPr>
          <w:rFonts w:hint="eastAsia" w:ascii="宋体" w:hAnsi="宋体" w:eastAsia="宋体" w:cs="宋体"/>
          <w:bCs/>
          <w:color w:val="auto"/>
          <w:spacing w:val="0"/>
          <w:sz w:val="21"/>
          <w:szCs w:val="21"/>
          <w:highlight w:val="none"/>
          <w:lang w:val="en-US" w:eastAsia="zh-CN" w:bidi="ar"/>
        </w:rPr>
        <w:t>电     话：                            电     话：</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color w:val="auto"/>
          <w:spacing w:val="0"/>
          <w:szCs w:val="24"/>
          <w:highlight w:val="none"/>
          <w:lang w:val="en-US"/>
        </w:rPr>
      </w:pPr>
      <w:r>
        <w:rPr>
          <w:rFonts w:hint="eastAsia" w:ascii="宋体" w:hAnsi="宋体" w:eastAsia="宋体" w:cs="宋体"/>
          <w:bCs/>
          <w:color w:val="auto"/>
          <w:spacing w:val="0"/>
          <w:sz w:val="21"/>
          <w:szCs w:val="21"/>
          <w:highlight w:val="none"/>
          <w:lang w:val="en-US" w:eastAsia="zh-CN" w:bidi="ar"/>
        </w:rPr>
        <w:t xml:space="preserve">                                           签约日期：</w:t>
      </w:r>
      <w:bookmarkEnd w:id="551"/>
    </w:p>
    <w:p>
      <w:pPr>
        <w:pageBreakBefore w:val="0"/>
        <w:widowControl w:val="0"/>
        <w:spacing w:line="400" w:lineRule="exact"/>
        <w:jc w:val="both"/>
        <w:rPr>
          <w:rFonts w:ascii="宋体" w:hAnsi="宋体" w:eastAsia="宋体" w:cs="Times New Roman"/>
          <w:color w:val="auto"/>
          <w:spacing w:val="0"/>
          <w:szCs w:val="20"/>
          <w:highlight w:val="none"/>
        </w:rPr>
      </w:pPr>
      <w:r>
        <w:rPr>
          <w:rFonts w:hint="eastAsia" w:ascii="宋体" w:hAnsi="宋体" w:eastAsia="宋体" w:cs="Times New Roman"/>
          <w:color w:val="auto"/>
          <w:spacing w:val="0"/>
          <w:szCs w:val="20"/>
          <w:highlight w:val="none"/>
        </w:rPr>
        <w:br w:type="column"/>
      </w:r>
      <w:r>
        <w:rPr>
          <w:rFonts w:hint="eastAsia" w:ascii="宋体" w:hAnsi="宋体" w:eastAsia="宋体" w:cs="Times New Roman"/>
          <w:color w:val="auto"/>
          <w:spacing w:val="0"/>
          <w:szCs w:val="20"/>
          <w:highlight w:val="none"/>
        </w:rPr>
        <w:t>附件</w:t>
      </w:r>
      <w:r>
        <w:rPr>
          <w:rFonts w:hint="eastAsia" w:ascii="宋体" w:hAnsi="宋体" w:eastAsia="宋体" w:cs="Times New Roman"/>
          <w:color w:val="auto"/>
          <w:spacing w:val="0"/>
          <w:szCs w:val="20"/>
          <w:highlight w:val="none"/>
          <w:lang w:val="en-US" w:eastAsia="zh-CN"/>
        </w:rPr>
        <w:t>6</w:t>
      </w:r>
      <w:r>
        <w:rPr>
          <w:rFonts w:hint="eastAsia" w:ascii="宋体" w:hAnsi="宋体" w:eastAsia="宋体" w:cs="Times New Roman"/>
          <w:color w:val="auto"/>
          <w:spacing w:val="0"/>
          <w:szCs w:val="20"/>
          <w:highlight w:val="none"/>
        </w:rPr>
        <w:t>：</w:t>
      </w:r>
    </w:p>
    <w:p>
      <w:pPr>
        <w:pageBreakBefore w:val="0"/>
        <w:spacing w:line="360" w:lineRule="auto"/>
        <w:ind w:right="42"/>
        <w:jc w:val="center"/>
        <w:rPr>
          <w:rFonts w:hint="default" w:ascii="宋体" w:hAnsi="宋体" w:eastAsia="宋体" w:cs="宋体"/>
          <w:b/>
          <w:color w:val="auto"/>
          <w:spacing w:val="0"/>
          <w:sz w:val="32"/>
          <w:szCs w:val="32"/>
          <w:highlight w:val="none"/>
          <w:lang w:val="en-US" w:eastAsia="zh-CN"/>
        </w:rPr>
      </w:pPr>
      <w:r>
        <w:rPr>
          <w:rFonts w:hint="eastAsia" w:ascii="宋体" w:hAnsi="宋体" w:eastAsia="宋体" w:cs="宋体"/>
          <w:b/>
          <w:color w:val="auto"/>
          <w:spacing w:val="0"/>
          <w:sz w:val="32"/>
          <w:szCs w:val="32"/>
          <w:highlight w:val="none"/>
          <w:lang w:val="en-US" w:eastAsia="zh-CN"/>
        </w:rPr>
        <w:t>农民工工资管理补充条款参考格式文本</w:t>
      </w:r>
    </w:p>
    <w:p>
      <w:pPr>
        <w:pageBreakBefore w:val="0"/>
        <w:spacing w:line="360" w:lineRule="auto"/>
        <w:ind w:right="42"/>
        <w:jc w:val="center"/>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农民工工资管理</w:t>
      </w:r>
    </w:p>
    <w:p>
      <w:pPr>
        <w:pageBreakBefore w:val="0"/>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一</w:t>
      </w: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lang w:val="en-US" w:eastAsia="zh-CN"/>
        </w:rPr>
        <w:t>承包人进场施工前须按发包人要求缴纳中标价的2%农民工工资保证金，交纳在发包人指定账户。审计结束后2年内无任何农民工工资纠纷退还农民工工资保证金。</w:t>
      </w:r>
    </w:p>
    <w:p>
      <w:pPr>
        <w:pageBreakBefore w:val="0"/>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（二）承包人应在工程项目所在地银行开设农民工工资专用账户，专项用于支付农民工工资。</w:t>
      </w:r>
    </w:p>
    <w:p>
      <w:pPr>
        <w:pageBreakBefore w:val="0"/>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（三）承包人保证不克扣和拖欠工资，不以发包人延迟支付工程款为由拖欠农民工工资。</w:t>
      </w:r>
    </w:p>
    <w:p>
      <w:pPr>
        <w:pageBreakBefore w:val="0"/>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（四）实行人工费用与其他工程款分账管理制度，推动农民工工资与工程材料款等相分离，发包人须按时、足额按合同约定向农民工工资专用账户存入工资款项，用于支付农民工工资。</w:t>
      </w:r>
    </w:p>
    <w:p>
      <w:pPr>
        <w:pageBreakBefore w:val="0"/>
        <w:spacing w:line="360" w:lineRule="auto"/>
        <w:ind w:right="42" w:firstLine="420"/>
        <w:jc w:val="both"/>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（五）承包人应主动向农民工工资发放情况表报发包人审定，发包人应对承包人实施支付农民工工资情况进行审查。</w:t>
      </w:r>
    </w:p>
    <w:p>
      <w:pPr>
        <w:pageBreakBefore w:val="0"/>
        <w:spacing w:line="360" w:lineRule="auto"/>
        <w:ind w:firstLine="420"/>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六）承包人未按上述（一）（二）（三）款规定履行合同义务的，应承担合同违约责任，并向发包人支付实际拖欠农民工工资总额2倍的违约金。发包人未按上述（四）款规定履行合同义务的，应承担合同违约责任，并向承包人支付实际拖欠农民工工资总额2倍的违约金。</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sz w:val="24"/>
        </w:rPr>
      </w:pP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sz w:val="24"/>
        </w:rPr>
      </w:pPr>
    </w:p>
    <w:p>
      <w:pPr>
        <w:rPr>
          <w:rFonts w:hint="eastAsia" w:ascii="仿宋_GB2312" w:hAnsi="宋体" w:eastAsia="仿宋_GB2312"/>
          <w:b/>
          <w:sz w:val="36"/>
          <w:szCs w:val="36"/>
        </w:rPr>
      </w:pPr>
      <w:r>
        <w:rPr>
          <w:rFonts w:hint="eastAsia" w:ascii="仿宋_GB2312" w:hAnsi="宋体" w:eastAsia="仿宋_GB2312"/>
          <w:b/>
          <w:sz w:val="36"/>
          <w:szCs w:val="36"/>
        </w:rPr>
        <w:br w:type="page"/>
      </w: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7"/>
        <w:snapToGrid w:val="0"/>
        <w:spacing w:line="400" w:lineRule="atLeast"/>
        <w:ind w:left="0" w:leftChars="0" w:firstLine="640" w:firstLineChars="200"/>
        <w:contextualSpacing/>
        <w:rPr>
          <w:rFonts w:ascii="仿宋_GB2312" w:hAnsi="宋体" w:eastAsia="仿宋_GB2312"/>
          <w:sz w:val="32"/>
          <w:szCs w:val="32"/>
        </w:rPr>
      </w:pPr>
    </w:p>
    <w:p>
      <w:pPr>
        <w:snapToGrid w:val="0"/>
        <w:spacing w:after="120" w:line="400" w:lineRule="atLeast"/>
        <w:ind w:firstLine="422" w:firstLineChars="200"/>
        <w:contextualSpacing/>
        <w:rPr>
          <w:rFonts w:eastAsia="仿宋_GB2312"/>
          <w:sz w:val="32"/>
          <w:szCs w:val="32"/>
        </w:rPr>
      </w:pPr>
      <w:r>
        <w:rPr>
          <w:b/>
          <w:bCs/>
          <w:u w:val="thick" w:color="FF0000"/>
        </w:rPr>
        <w:t>质疑函格式参见附件</w:t>
      </w:r>
      <w:r>
        <w:rPr>
          <w:b/>
          <w:bCs/>
        </w:rPr>
        <w:t>。</w:t>
      </w:r>
    </w:p>
    <w:p>
      <w:pPr>
        <w:pStyle w:val="7"/>
        <w:snapToGrid w:val="0"/>
        <w:spacing w:line="480" w:lineRule="exact"/>
        <w:ind w:firstLine="480" w:firstLineChars="200"/>
        <w:contextualSpacing/>
        <w:rPr>
          <w:sz w:val="24"/>
        </w:rPr>
      </w:pPr>
      <w:r>
        <w:rPr>
          <w:sz w:val="24"/>
        </w:rPr>
        <w:t>一、质疑的提出</w:t>
      </w:r>
    </w:p>
    <w:p>
      <w:pPr>
        <w:pStyle w:val="7"/>
        <w:snapToGrid w:val="0"/>
        <w:spacing w:line="480" w:lineRule="exact"/>
        <w:ind w:firstLine="480" w:firstLineChars="200"/>
        <w:contextualSpacing/>
        <w:rPr>
          <w:sz w:val="24"/>
        </w:rPr>
      </w:pPr>
      <w:r>
        <w:rPr>
          <w:sz w:val="24"/>
        </w:rPr>
        <w:t xml:space="preserve">(一)质疑人的身份要求      </w:t>
      </w:r>
    </w:p>
    <w:p>
      <w:pPr>
        <w:pStyle w:val="7"/>
        <w:snapToGrid w:val="0"/>
        <w:spacing w:line="480" w:lineRule="exact"/>
        <w:ind w:firstLine="480" w:firstLineChars="200"/>
        <w:contextualSpacing/>
        <w:rPr>
          <w:sz w:val="24"/>
        </w:rPr>
      </w:pPr>
      <w:r>
        <w:rPr>
          <w:sz w:val="24"/>
        </w:rPr>
        <w:t>1.提出质疑的供应商应当是参与所质疑项目采购活动的供应商。</w:t>
      </w:r>
    </w:p>
    <w:p>
      <w:pPr>
        <w:pStyle w:val="7"/>
        <w:snapToGrid w:val="0"/>
        <w:spacing w:line="480" w:lineRule="exact"/>
        <w:ind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7"/>
        <w:snapToGrid w:val="0"/>
        <w:spacing w:line="480" w:lineRule="exact"/>
        <w:ind w:firstLine="480" w:firstLineChars="200"/>
        <w:contextualSpacing/>
        <w:rPr>
          <w:sz w:val="24"/>
        </w:rPr>
      </w:pPr>
      <w:r>
        <w:rPr>
          <w:sz w:val="24"/>
        </w:rPr>
        <w:t xml:space="preserve">(二)质疑提出的格式要求   </w:t>
      </w:r>
    </w:p>
    <w:p>
      <w:pPr>
        <w:pStyle w:val="7"/>
        <w:snapToGrid w:val="0"/>
        <w:spacing w:line="480" w:lineRule="exact"/>
        <w:ind w:firstLine="480" w:firstLineChars="200"/>
        <w:contextualSpacing/>
        <w:rPr>
          <w:sz w:val="24"/>
        </w:rPr>
      </w:pPr>
      <w:r>
        <w:rPr>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7"/>
        <w:snapToGrid w:val="0"/>
        <w:spacing w:line="480" w:lineRule="exact"/>
        <w:ind w:firstLine="480" w:firstLineChars="200"/>
        <w:contextualSpacing/>
        <w:rPr>
          <w:sz w:val="24"/>
        </w:rPr>
      </w:pPr>
      <w:r>
        <w:rPr>
          <w:sz w:val="24"/>
        </w:rPr>
        <w:t xml:space="preserve">2.质疑函应包括：    </w:t>
      </w:r>
    </w:p>
    <w:p>
      <w:pPr>
        <w:pStyle w:val="7"/>
        <w:snapToGrid w:val="0"/>
        <w:spacing w:line="480" w:lineRule="exact"/>
        <w:ind w:firstLine="480" w:firstLineChars="200"/>
        <w:contextualSpacing/>
        <w:rPr>
          <w:sz w:val="24"/>
        </w:rPr>
      </w:pPr>
      <w:r>
        <w:rPr>
          <w:sz w:val="24"/>
        </w:rPr>
        <w:t>（1）质疑</w:t>
      </w:r>
      <w:r>
        <w:rPr>
          <w:rFonts w:hint="eastAsia"/>
          <w:sz w:val="24"/>
        </w:rPr>
        <w:t>供应商</w:t>
      </w:r>
      <w:r>
        <w:rPr>
          <w:sz w:val="24"/>
        </w:rPr>
        <w:t>的名称、地址、邮编、联系人及联系电话；</w:t>
      </w:r>
    </w:p>
    <w:p>
      <w:pPr>
        <w:pStyle w:val="7"/>
        <w:snapToGrid w:val="0"/>
        <w:spacing w:line="480" w:lineRule="exact"/>
        <w:ind w:firstLine="480" w:firstLineChars="200"/>
        <w:contextualSpacing/>
        <w:rPr>
          <w:sz w:val="24"/>
        </w:rPr>
      </w:pPr>
      <w:r>
        <w:rPr>
          <w:sz w:val="24"/>
        </w:rPr>
        <w:t>（2）质疑项目的名称、编号；</w:t>
      </w:r>
    </w:p>
    <w:p>
      <w:pPr>
        <w:pStyle w:val="7"/>
        <w:snapToGrid w:val="0"/>
        <w:spacing w:line="480" w:lineRule="exact"/>
        <w:ind w:firstLine="480" w:firstLineChars="200"/>
        <w:contextualSpacing/>
        <w:rPr>
          <w:sz w:val="24"/>
        </w:rPr>
      </w:pPr>
      <w:r>
        <w:rPr>
          <w:sz w:val="24"/>
        </w:rPr>
        <w:t>（3）具体、明确的质疑事项和与质疑事项相关的请求；</w:t>
      </w:r>
    </w:p>
    <w:p>
      <w:pPr>
        <w:pStyle w:val="7"/>
        <w:snapToGrid w:val="0"/>
        <w:spacing w:line="480" w:lineRule="exact"/>
        <w:ind w:firstLine="480" w:firstLineChars="200"/>
        <w:contextualSpacing/>
        <w:rPr>
          <w:sz w:val="24"/>
        </w:rPr>
      </w:pPr>
      <w:r>
        <w:rPr>
          <w:sz w:val="24"/>
        </w:rPr>
        <w:t>（4）事实依据；</w:t>
      </w:r>
    </w:p>
    <w:p>
      <w:pPr>
        <w:pStyle w:val="7"/>
        <w:snapToGrid w:val="0"/>
        <w:spacing w:line="480" w:lineRule="exact"/>
        <w:ind w:firstLine="480" w:firstLineChars="200"/>
        <w:contextualSpacing/>
        <w:rPr>
          <w:sz w:val="24"/>
        </w:rPr>
      </w:pPr>
      <w:r>
        <w:rPr>
          <w:sz w:val="24"/>
        </w:rPr>
        <w:t xml:space="preserve">（5）必要的法律依据；                          </w:t>
      </w:r>
    </w:p>
    <w:p>
      <w:pPr>
        <w:pStyle w:val="7"/>
        <w:snapToGrid w:val="0"/>
        <w:spacing w:line="480" w:lineRule="exact"/>
        <w:ind w:firstLine="480" w:firstLineChars="200"/>
        <w:contextualSpacing/>
        <w:rPr>
          <w:sz w:val="24"/>
        </w:rPr>
      </w:pPr>
      <w:r>
        <w:rPr>
          <w:sz w:val="24"/>
        </w:rPr>
        <w:t>（6）提出质疑的日期。</w:t>
      </w:r>
    </w:p>
    <w:p>
      <w:pPr>
        <w:pStyle w:val="7"/>
        <w:snapToGrid w:val="0"/>
        <w:spacing w:line="480" w:lineRule="exact"/>
        <w:ind w:firstLine="480" w:firstLineChars="200"/>
        <w:contextualSpacing/>
        <w:rPr>
          <w:sz w:val="24"/>
        </w:rPr>
      </w:pPr>
      <w:r>
        <w:rPr>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7"/>
        <w:snapToGrid w:val="0"/>
        <w:spacing w:line="480" w:lineRule="exact"/>
        <w:ind w:firstLine="480" w:firstLineChars="200"/>
        <w:contextualSpacing/>
        <w:rPr>
          <w:sz w:val="24"/>
        </w:rPr>
      </w:pPr>
      <w:r>
        <w:rPr>
          <w:sz w:val="24"/>
        </w:rPr>
        <w:t>3.质疑函需遵循的原则：</w:t>
      </w:r>
    </w:p>
    <w:p>
      <w:pPr>
        <w:pStyle w:val="7"/>
        <w:snapToGrid w:val="0"/>
        <w:spacing w:line="480" w:lineRule="exact"/>
        <w:ind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7"/>
        <w:snapToGrid w:val="0"/>
        <w:spacing w:line="480" w:lineRule="exact"/>
        <w:ind w:firstLine="480" w:firstLineChars="200"/>
        <w:contextualSpacing/>
        <w:rPr>
          <w:sz w:val="24"/>
        </w:rPr>
      </w:pPr>
      <w:r>
        <w:rPr>
          <w:sz w:val="24"/>
        </w:rPr>
        <w:t>（三）质疑提出的时效要求</w:t>
      </w:r>
    </w:p>
    <w:p>
      <w:pPr>
        <w:pStyle w:val="7"/>
        <w:snapToGrid w:val="0"/>
        <w:spacing w:line="480" w:lineRule="exact"/>
        <w:ind w:firstLine="480" w:firstLineChars="200"/>
        <w:contextualSpacing/>
        <w:rPr>
          <w:sz w:val="24"/>
        </w:rPr>
      </w:pPr>
      <w:r>
        <w:rPr>
          <w:sz w:val="24"/>
        </w:rPr>
        <w:t>1.</w:t>
      </w:r>
      <w:r>
        <w:rPr>
          <w:rFonts w:hint="eastAsia"/>
          <w:sz w:val="24"/>
        </w:rPr>
        <w:t>供应商</w:t>
      </w:r>
      <w:r>
        <w:rPr>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7"/>
        <w:snapToGrid w:val="0"/>
        <w:spacing w:line="480" w:lineRule="exact"/>
        <w:ind w:firstLine="480" w:firstLineChars="200"/>
        <w:contextualSpacing/>
        <w:rPr>
          <w:sz w:val="24"/>
        </w:rPr>
      </w:pPr>
      <w:r>
        <w:rPr>
          <w:sz w:val="24"/>
        </w:rPr>
        <w:t>（1）对可以质疑的采购文件提出质疑的，为收到采购文件之日或者采购文件公告期限届满之日；</w:t>
      </w:r>
    </w:p>
    <w:p>
      <w:pPr>
        <w:pStyle w:val="7"/>
        <w:snapToGrid w:val="0"/>
        <w:spacing w:line="480" w:lineRule="exact"/>
        <w:ind w:firstLine="480" w:firstLineChars="200"/>
        <w:contextualSpacing/>
        <w:rPr>
          <w:sz w:val="24"/>
        </w:rPr>
      </w:pPr>
      <w:r>
        <w:rPr>
          <w:sz w:val="24"/>
        </w:rPr>
        <w:t>（2）对采购过程提出质疑的，为各采购程序环节结束之日；</w:t>
      </w:r>
    </w:p>
    <w:p>
      <w:pPr>
        <w:pStyle w:val="7"/>
        <w:snapToGrid w:val="0"/>
        <w:spacing w:line="480" w:lineRule="exact"/>
        <w:ind w:firstLine="480" w:firstLineChars="200"/>
        <w:contextualSpacing/>
        <w:rPr>
          <w:sz w:val="24"/>
        </w:rPr>
      </w:pPr>
      <w:r>
        <w:rPr>
          <w:sz w:val="24"/>
        </w:rPr>
        <w:t>（3）对中标或者成交结果提出质疑的，为中标或者成交结果公告期限届满之日。</w:t>
      </w:r>
    </w:p>
    <w:p>
      <w:pPr>
        <w:pStyle w:val="7"/>
        <w:snapToGrid w:val="0"/>
        <w:spacing w:line="480" w:lineRule="exact"/>
        <w:ind w:firstLine="480" w:firstLineChars="20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pPr>
        <w:pStyle w:val="7"/>
        <w:snapToGrid w:val="0"/>
        <w:spacing w:line="480" w:lineRule="exact"/>
        <w:ind w:firstLine="480" w:firstLineChars="200"/>
        <w:contextualSpacing/>
        <w:rPr>
          <w:sz w:val="24"/>
        </w:rPr>
      </w:pPr>
      <w:r>
        <w:rPr>
          <w:sz w:val="24"/>
        </w:rPr>
        <w:t>2.</w:t>
      </w:r>
      <w:r>
        <w:rPr>
          <w:rFonts w:hint="eastAsia"/>
          <w:sz w:val="24"/>
        </w:rPr>
        <w:t>供应商</w:t>
      </w:r>
      <w:r>
        <w:rPr>
          <w:sz w:val="24"/>
        </w:rPr>
        <w:t xml:space="preserve">应在法定质疑期一次性提出针对同一采购程序环节的质疑。                         </w:t>
      </w:r>
    </w:p>
    <w:p>
      <w:pPr>
        <w:pStyle w:val="7"/>
        <w:snapToGrid w:val="0"/>
        <w:spacing w:line="480" w:lineRule="exact"/>
        <w:ind w:firstLine="480" w:firstLineChars="200"/>
        <w:contextualSpacing/>
        <w:rPr>
          <w:sz w:val="24"/>
        </w:rPr>
      </w:pPr>
      <w:r>
        <w:rPr>
          <w:sz w:val="24"/>
        </w:rPr>
        <w:t>二、《质疑函》的受理和答复</w:t>
      </w:r>
    </w:p>
    <w:p>
      <w:pPr>
        <w:pStyle w:val="7"/>
        <w:snapToGrid w:val="0"/>
        <w:spacing w:line="480" w:lineRule="exact"/>
        <w:ind w:firstLine="480" w:firstLineChars="200"/>
        <w:contextualSpacing/>
        <w:rPr>
          <w:sz w:val="24"/>
        </w:rPr>
      </w:pPr>
      <w:r>
        <w:rPr>
          <w:sz w:val="24"/>
        </w:rPr>
        <w:t>1.采购人、采购代理机构收到质疑函后，将对质疑的形式和内容进行审查，如质疑函内容、格式不符合规定，需告知质疑人进行补正。</w:t>
      </w:r>
    </w:p>
    <w:p>
      <w:pPr>
        <w:pStyle w:val="7"/>
        <w:snapToGrid w:val="0"/>
        <w:spacing w:line="480" w:lineRule="exact"/>
        <w:ind w:firstLine="480" w:firstLineChars="200"/>
        <w:contextualSpacing/>
        <w:rPr>
          <w:sz w:val="24"/>
        </w:rPr>
      </w:pPr>
      <w:r>
        <w:rPr>
          <w:sz w:val="24"/>
        </w:rPr>
        <w:t>2. 质疑人应当在法定质疑期限内进行补正并重新提交质疑函，拒不补正或者在法定期限内未重新提交质疑函的，为无效质疑，不予受理。</w:t>
      </w:r>
    </w:p>
    <w:p>
      <w:pPr>
        <w:pStyle w:val="7"/>
        <w:snapToGrid w:val="0"/>
        <w:spacing w:line="480" w:lineRule="exact"/>
        <w:ind w:firstLine="480" w:firstLineChars="200"/>
        <w:contextualSpacing/>
        <w:rPr>
          <w:sz w:val="24"/>
        </w:rPr>
      </w:pPr>
      <w:r>
        <w:rPr>
          <w:sz w:val="24"/>
        </w:rPr>
        <w:t>3.采购人、采购代理机构答复供应商质疑应当采用书面方式并依法送达，质疑供应商或其委托代理人拒绝签收的视为已经送达。</w:t>
      </w:r>
    </w:p>
    <w:p>
      <w:pPr>
        <w:pStyle w:val="7"/>
        <w:snapToGrid w:val="0"/>
        <w:spacing w:line="480" w:lineRule="exact"/>
        <w:ind w:firstLine="480" w:firstLineChars="200"/>
        <w:contextualSpacing/>
        <w:rPr>
          <w:sz w:val="24"/>
        </w:rPr>
      </w:pPr>
      <w:r>
        <w:rPr>
          <w:sz w:val="24"/>
        </w:rPr>
        <w:t>4.采购人负责供应商质疑答复。采购人委托采购代理机构采购的，采购代理机构在委托授权范围内作出答复。</w:t>
      </w:r>
    </w:p>
    <w:p>
      <w:pPr>
        <w:pStyle w:val="7"/>
        <w:snapToGrid w:val="0"/>
        <w:spacing w:line="480" w:lineRule="exact"/>
        <w:ind w:firstLine="480" w:firstLineChars="200"/>
        <w:contextualSpacing/>
        <w:rPr>
          <w:sz w:val="24"/>
        </w:rPr>
      </w:pPr>
      <w:r>
        <w:rPr>
          <w:sz w:val="24"/>
        </w:rPr>
        <w:t>三、质疑处理</w:t>
      </w:r>
    </w:p>
    <w:p>
      <w:pPr>
        <w:pStyle w:val="7"/>
        <w:snapToGrid w:val="0"/>
        <w:spacing w:line="480" w:lineRule="exact"/>
        <w:ind w:firstLine="480" w:firstLineChars="200"/>
        <w:contextualSpacing/>
        <w:rPr>
          <w:sz w:val="24"/>
        </w:rPr>
      </w:pPr>
      <w:r>
        <w:rPr>
          <w:sz w:val="24"/>
        </w:rPr>
        <w:t>1. 质疑成立的处理</w:t>
      </w:r>
    </w:p>
    <w:p>
      <w:pPr>
        <w:pStyle w:val="7"/>
        <w:snapToGrid w:val="0"/>
        <w:spacing w:line="480" w:lineRule="exact"/>
        <w:ind w:firstLine="480" w:firstLineChars="200"/>
        <w:contextualSpacing/>
        <w:rPr>
          <w:sz w:val="24"/>
        </w:rPr>
      </w:pPr>
      <w:r>
        <w:rPr>
          <w:sz w:val="24"/>
        </w:rPr>
        <w:t xml:space="preserve">（1）对于内容、格式符合规定的质疑函，采购人、采购代理机构在收到投标供应商的书面质疑后七个工作日内作出书面答复，但答复的内容不得涉及商业秘密。                       </w:t>
      </w:r>
    </w:p>
    <w:p>
      <w:pPr>
        <w:pStyle w:val="7"/>
        <w:snapToGrid w:val="0"/>
        <w:spacing w:line="480" w:lineRule="exact"/>
        <w:ind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7"/>
        <w:snapToGrid w:val="0"/>
        <w:spacing w:line="480" w:lineRule="exact"/>
        <w:ind w:firstLine="480" w:firstLineChars="200"/>
        <w:contextualSpacing/>
        <w:rPr>
          <w:sz w:val="24"/>
        </w:rPr>
      </w:pPr>
      <w:r>
        <w:rPr>
          <w:sz w:val="24"/>
        </w:rPr>
        <w:t>（3）对采购过程、中标或者成交结果提出的质疑，合格供应商符合法定数量时，可以从合格的候选人中另行确定中标、成交供应商的，应当依法另行确定中标供应商；否则应当重新开展采购活动。</w:t>
      </w:r>
    </w:p>
    <w:p>
      <w:pPr>
        <w:pStyle w:val="7"/>
        <w:snapToGrid w:val="0"/>
        <w:spacing w:line="480" w:lineRule="exact"/>
        <w:ind w:firstLine="480" w:firstLineChars="200"/>
        <w:contextualSpacing/>
        <w:rPr>
          <w:sz w:val="24"/>
        </w:rPr>
      </w:pPr>
      <w:r>
        <w:rPr>
          <w:sz w:val="24"/>
        </w:rPr>
        <w:t>质疑答复导致中标、成交结果改变的，采购人或者采购代理机构应当将有关情况书面报告本级财政部门。</w:t>
      </w:r>
    </w:p>
    <w:p>
      <w:pPr>
        <w:pStyle w:val="7"/>
        <w:snapToGrid w:val="0"/>
        <w:spacing w:line="480" w:lineRule="exact"/>
        <w:ind w:firstLine="480" w:firstLineChars="200"/>
        <w:contextualSpacing/>
        <w:rPr>
          <w:sz w:val="24"/>
        </w:rPr>
      </w:pPr>
      <w:r>
        <w:rPr>
          <w:sz w:val="24"/>
        </w:rPr>
        <w:t>2.质疑不成立的处理</w:t>
      </w:r>
    </w:p>
    <w:p>
      <w:pPr>
        <w:pStyle w:val="7"/>
        <w:snapToGrid w:val="0"/>
        <w:spacing w:line="480" w:lineRule="exact"/>
        <w:ind w:firstLine="480" w:firstLineChars="200"/>
        <w:contextualSpacing/>
        <w:rPr>
          <w:sz w:val="24"/>
        </w:rPr>
      </w:pPr>
      <w:r>
        <w:rPr>
          <w:sz w:val="24"/>
        </w:rPr>
        <w:t xml:space="preserve">若质疑不成立，或者成立未对中标、成交结果构成影响的，继续开展采购活动。                  </w:t>
      </w:r>
    </w:p>
    <w:p>
      <w:pPr>
        <w:pStyle w:val="7"/>
        <w:snapToGrid w:val="0"/>
        <w:spacing w:line="480" w:lineRule="exact"/>
        <w:ind w:firstLine="480" w:firstLineChars="200"/>
        <w:contextualSpacing/>
        <w:rPr>
          <w:sz w:val="24"/>
        </w:rPr>
      </w:pPr>
      <w:r>
        <w:rPr>
          <w:sz w:val="24"/>
        </w:rPr>
        <w:t xml:space="preserve">3.虚假质疑的处理          </w:t>
      </w:r>
    </w:p>
    <w:p>
      <w:pPr>
        <w:pStyle w:val="7"/>
        <w:snapToGrid w:val="0"/>
        <w:spacing w:line="480" w:lineRule="exact"/>
        <w:ind w:firstLine="480" w:firstLineChars="200"/>
        <w:contextualSpacing/>
        <w:rPr>
          <w:sz w:val="24"/>
        </w:rPr>
      </w:pPr>
      <w:r>
        <w:rPr>
          <w:sz w:val="24"/>
        </w:rPr>
        <w:t>（1）</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 xml:space="preserve">进行相应的行政处罚。                          </w:t>
      </w:r>
    </w:p>
    <w:p>
      <w:pPr>
        <w:pStyle w:val="7"/>
        <w:snapToGrid w:val="0"/>
        <w:spacing w:line="480" w:lineRule="exact"/>
        <w:ind w:firstLine="480" w:firstLineChars="200"/>
        <w:contextualSpacing/>
        <w:rPr>
          <w:sz w:val="24"/>
        </w:rPr>
      </w:pPr>
      <w:r>
        <w:rPr>
          <w:sz w:val="24"/>
        </w:rPr>
        <w:t>（2）在江苏省范围内一年累计三次以上质疑，均查无实据的供应商将按失信行为记入该注册供应商诚信档案中。</w:t>
      </w:r>
    </w:p>
    <w:p>
      <w:pPr>
        <w:pStyle w:val="7"/>
        <w:snapToGrid w:val="0"/>
        <w:spacing w:line="480" w:lineRule="exact"/>
        <w:ind w:firstLine="480" w:firstLineChars="200"/>
        <w:contextualSpacing/>
        <w:rPr>
          <w:sz w:val="24"/>
        </w:rPr>
        <w:sectPr>
          <w:footerReference r:id="rId4" w:type="default"/>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pPr>
      <w:r>
        <w:rPr>
          <w:sz w:val="24"/>
        </w:rPr>
        <w:t>（3）采购人、采购代理机构受理质疑和答复相关咨询，联系电话详见</w:t>
      </w:r>
      <w:r>
        <w:rPr>
          <w:rFonts w:hint="eastAsia"/>
          <w:sz w:val="24"/>
        </w:rPr>
        <w:t>采购</w:t>
      </w:r>
      <w:r>
        <w:rPr>
          <w:sz w:val="24"/>
        </w:rPr>
        <w:t>公告。</w:t>
      </w:r>
    </w:p>
    <w:p>
      <w:pPr>
        <w:autoSpaceDE w:val="0"/>
        <w:autoSpaceDN w:val="0"/>
        <w:adjustRightInd w:val="0"/>
        <w:snapToGrid w:val="0"/>
        <w:spacing w:line="300" w:lineRule="auto"/>
        <w:ind w:left="4513" w:right="210" w:hanging="4513"/>
        <w:jc w:val="center"/>
        <w:rPr>
          <w:rFonts w:hint="eastAsia" w:ascii="仿宋_GB2312" w:eastAsia="仿宋_GB2312"/>
          <w:b/>
          <w:bCs/>
          <w:sz w:val="36"/>
          <w:szCs w:val="36"/>
          <w:lang w:val="zh-CN"/>
        </w:rPr>
      </w:pPr>
      <w:r>
        <w:rPr>
          <w:rFonts w:hint="eastAsia" w:ascii="仿宋_GB2312" w:eastAsia="仿宋_GB2312"/>
          <w:b/>
          <w:bCs/>
          <w:sz w:val="36"/>
          <w:szCs w:val="36"/>
          <w:lang w:val="zh-CN"/>
        </w:rPr>
        <w:t>第七部分  响应文件组成</w:t>
      </w:r>
    </w:p>
    <w:p>
      <w:pPr>
        <w:snapToGrid w:val="0"/>
        <w:spacing w:line="480" w:lineRule="exact"/>
        <w:ind w:firstLine="482" w:firstLineChars="200"/>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472" w:firstLineChars="196"/>
        <w:contextualSpacing/>
        <w:rPr>
          <w:b/>
          <w:sz w:val="24"/>
        </w:rPr>
      </w:pPr>
      <w:r>
        <w:rPr>
          <w:b/>
          <w:sz w:val="24"/>
        </w:rPr>
        <w:t>一、资格审查</w:t>
      </w:r>
      <w:r>
        <w:rPr>
          <w:rFonts w:hint="eastAsia"/>
          <w:b/>
          <w:sz w:val="24"/>
        </w:rPr>
        <w:t>文件</w:t>
      </w:r>
      <w:r>
        <w:rPr>
          <w:b/>
          <w:sz w:val="24"/>
        </w:rPr>
        <w:t>（不能出现报价、商务技术标）</w:t>
      </w:r>
    </w:p>
    <w:p>
      <w:pPr>
        <w:numPr>
          <w:ilvl w:val="0"/>
          <w:numId w:val="0"/>
        </w:numPr>
        <w:snapToGrid w:val="0"/>
        <w:spacing w:line="440" w:lineRule="exact"/>
        <w:ind w:firstLine="480" w:firstLineChars="200"/>
        <w:contextualSpacing/>
        <w:rPr>
          <w:kern w:val="0"/>
          <w:sz w:val="24"/>
          <w:szCs w:val="20"/>
          <w:lang w:val="zh-CN"/>
        </w:rPr>
      </w:pPr>
      <w:r>
        <w:rPr>
          <w:kern w:val="0"/>
          <w:sz w:val="24"/>
          <w:szCs w:val="20"/>
          <w:lang w:val="zh-CN" w:eastAsia="zh-CN"/>
        </w:rPr>
        <w:t>1</w:t>
      </w:r>
      <w:r>
        <w:rPr>
          <w:rFonts w:hint="eastAsia"/>
          <w:kern w:val="0"/>
          <w:sz w:val="24"/>
          <w:szCs w:val="20"/>
          <w:lang w:val="en-US" w:eastAsia="zh-CN"/>
        </w:rPr>
        <w:t>.</w:t>
      </w:r>
      <w:r>
        <w:rPr>
          <w:rFonts w:hint="eastAsia"/>
          <w:kern w:val="0"/>
          <w:sz w:val="24"/>
          <w:szCs w:val="20"/>
          <w:lang w:val="zh-CN"/>
        </w:rPr>
        <w:t>供应商</w:t>
      </w:r>
      <w:r>
        <w:rPr>
          <w:kern w:val="0"/>
          <w:sz w:val="24"/>
          <w:szCs w:val="20"/>
          <w:lang w:val="zh-CN"/>
        </w:rPr>
        <w:t>符合《政府采购法》第二十二条规定条件的</w:t>
      </w:r>
      <w:r>
        <w:rPr>
          <w:rFonts w:hint="eastAsia"/>
          <w:kern w:val="0"/>
          <w:sz w:val="24"/>
          <w:szCs w:val="20"/>
          <w:lang w:val="zh-CN"/>
        </w:rPr>
        <w:t>声明函（格式见附件1）</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kern w:val="0"/>
          <w:sz w:val="24"/>
          <w:szCs w:val="20"/>
          <w:lang w:val="zh-CN" w:eastAsia="zh-CN"/>
        </w:rPr>
        <w:t>2</w:t>
      </w:r>
      <w:r>
        <w:rPr>
          <w:rFonts w:hint="eastAsia"/>
          <w:kern w:val="0"/>
          <w:sz w:val="24"/>
          <w:szCs w:val="20"/>
          <w:lang w:val="en-US" w:eastAsia="zh-CN"/>
        </w:rPr>
        <w:t>.</w:t>
      </w:r>
      <w:r>
        <w:rPr>
          <w:kern w:val="0"/>
          <w:sz w:val="24"/>
          <w:szCs w:val="20"/>
          <w:lang w:val="zh-CN"/>
        </w:rPr>
        <w:t>法定代表人身份证明书</w:t>
      </w:r>
      <w:r>
        <w:rPr>
          <w:rFonts w:hint="eastAsia"/>
          <w:kern w:val="0"/>
          <w:sz w:val="24"/>
          <w:szCs w:val="20"/>
          <w:lang w:val="zh-CN"/>
        </w:rPr>
        <w:t>（格式见附件2）</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kern w:val="0"/>
          <w:sz w:val="24"/>
          <w:szCs w:val="20"/>
          <w:lang w:val="zh-CN" w:eastAsia="zh-CN"/>
        </w:rPr>
        <w:t>3</w:t>
      </w:r>
      <w:r>
        <w:rPr>
          <w:rFonts w:hint="eastAsia"/>
          <w:kern w:val="0"/>
          <w:sz w:val="24"/>
          <w:szCs w:val="20"/>
          <w:lang w:val="en-US" w:eastAsia="zh-CN"/>
        </w:rPr>
        <w:t>.</w:t>
      </w: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r>
        <w:rPr>
          <w:rFonts w:hint="eastAsia"/>
          <w:kern w:val="0"/>
          <w:sz w:val="24"/>
          <w:szCs w:val="20"/>
          <w:lang w:val="zh-CN"/>
        </w:rPr>
        <w:t>（格式见附件3）</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kern w:val="0"/>
          <w:sz w:val="24"/>
          <w:szCs w:val="20"/>
          <w:lang w:val="zh-CN" w:eastAsia="zh-CN"/>
        </w:rPr>
        <w:t>4</w:t>
      </w:r>
      <w:r>
        <w:rPr>
          <w:rFonts w:hint="eastAsia"/>
          <w:kern w:val="0"/>
          <w:sz w:val="24"/>
          <w:szCs w:val="20"/>
          <w:lang w:val="en-US" w:eastAsia="zh-CN"/>
        </w:rPr>
        <w:t>.</w:t>
      </w:r>
      <w:r>
        <w:rPr>
          <w:rFonts w:hint="eastAsia"/>
          <w:kern w:val="0"/>
          <w:sz w:val="24"/>
          <w:szCs w:val="20"/>
          <w:lang w:val="zh-CN"/>
        </w:rPr>
        <w:t>未被“信用中国”网站（www.creditchina.gov.cn）、“中国政府采购网”（www.ccgp.gov.cn）列入失信被执行人、重大税收违法案件当事人名单、政府采购严重违法失信行为记录名单（代理机构现场查询，截图留存并归档）</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kern w:val="0"/>
          <w:sz w:val="24"/>
          <w:szCs w:val="20"/>
          <w:lang w:val="zh-CN" w:eastAsia="zh-CN"/>
        </w:rPr>
        <w:t>5</w:t>
      </w:r>
      <w:r>
        <w:rPr>
          <w:rFonts w:hint="eastAsia"/>
          <w:kern w:val="0"/>
          <w:sz w:val="24"/>
          <w:szCs w:val="20"/>
          <w:lang w:val="en-US" w:eastAsia="zh-CN"/>
        </w:rPr>
        <w:t>.</w:t>
      </w:r>
      <w:r>
        <w:rPr>
          <w:kern w:val="0"/>
          <w:sz w:val="24"/>
          <w:szCs w:val="20"/>
          <w:lang w:val="zh-CN"/>
        </w:rPr>
        <w:t>供应商信用承诺书</w:t>
      </w:r>
      <w:r>
        <w:rPr>
          <w:rFonts w:hint="eastAsia"/>
          <w:kern w:val="0"/>
          <w:sz w:val="24"/>
          <w:szCs w:val="20"/>
          <w:lang w:val="zh-CN"/>
        </w:rPr>
        <w:t>（格式见附件4）</w:t>
      </w:r>
      <w:r>
        <w:rPr>
          <w:kern w:val="0"/>
          <w:sz w:val="24"/>
          <w:szCs w:val="20"/>
          <w:lang w:val="zh-CN"/>
        </w:rPr>
        <w:t>；</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rPr>
      </w:pPr>
      <w:r>
        <w:rPr>
          <w:rFonts w:ascii="Times New Roman" w:hAnsi="Times New Roman" w:eastAsia="宋体" w:cs="Times New Roman"/>
          <w:kern w:val="0"/>
          <w:sz w:val="24"/>
          <w:szCs w:val="20"/>
          <w:lang w:val="zh-CN" w:eastAsia="zh-CN" w:bidi="ar-SA"/>
        </w:rPr>
        <w:t>6</w:t>
      </w:r>
      <w:r>
        <w:rPr>
          <w:rFonts w:hint="eastAsia" w:cs="Times New Roman"/>
          <w:kern w:val="0"/>
          <w:sz w:val="24"/>
          <w:szCs w:val="20"/>
          <w:lang w:val="en-US" w:eastAsia="zh-CN" w:bidi="ar-SA"/>
        </w:rPr>
        <w:t>.</w:t>
      </w:r>
      <w:r>
        <w:rPr>
          <w:rFonts w:hint="eastAsia" w:ascii="Times New Roman" w:hAnsi="Times New Roman" w:eastAsia="宋体" w:cs="Times New Roman"/>
          <w:sz w:val="24"/>
        </w:rPr>
        <w:t>提供有效的企业法人营业执照（副本）复印件及税务登记证（副本）复印件，或者是三证合一的营业执照（副本）</w:t>
      </w:r>
      <w:r>
        <w:rPr>
          <w:rFonts w:hint="eastAsia" w:ascii="Times New Roman" w:hAnsi="Times New Roman" w:eastAsia="宋体" w:cs="Times New Roman"/>
          <w:b/>
          <w:bCs/>
          <w:sz w:val="24"/>
        </w:rPr>
        <w:t>（提供复印件加盖公章）</w:t>
      </w:r>
      <w:r>
        <w:rPr>
          <w:rFonts w:hint="eastAsia" w:ascii="Times New Roman" w:hAnsi="Times New Roman" w:eastAsia="宋体" w:cs="Times New Roman"/>
          <w:sz w:val="24"/>
        </w:rPr>
        <w:t>；</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7.投标人须具有电子与智能化工程专业承包贰级及以上资质,并具有安全生产许可证。（提供资质证书复印件加盖公章）；</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8.拟派项目负责人须具备机电工程专业二级及以上注册建造师，同时具有安全生产考核合格证（B证）。（提供资质证书复印件加盖公章，近一个月社保证明）；</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9.拟派项目负责人无在建工程（提供承诺书，格式见附件5）；</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en-US" w:eastAsia="zh-CN"/>
        </w:rPr>
      </w:pPr>
      <w:r>
        <w:rPr>
          <w:rFonts w:hint="eastAsia" w:cs="Times New Roman"/>
          <w:sz w:val="24"/>
          <w:lang w:val="en-US" w:eastAsia="zh-CN"/>
        </w:rPr>
        <w:t>10.</w:t>
      </w:r>
      <w:r>
        <w:rPr>
          <w:rFonts w:hint="eastAsia" w:ascii="Times New Roman" w:hAnsi="Times New Roman" w:eastAsia="宋体" w:cs="Times New Roman"/>
          <w:sz w:val="24"/>
          <w:lang w:val="zh-CN"/>
        </w:rPr>
        <w:t>现场勘察承诺函</w:t>
      </w:r>
      <w:r>
        <w:rPr>
          <w:rFonts w:hint="eastAsia"/>
          <w:kern w:val="0"/>
          <w:sz w:val="24"/>
          <w:szCs w:val="20"/>
          <w:lang w:val="zh-CN"/>
        </w:rPr>
        <w:t>（格式见附件</w:t>
      </w:r>
      <w:r>
        <w:rPr>
          <w:rFonts w:hint="eastAsia"/>
          <w:kern w:val="0"/>
          <w:sz w:val="24"/>
          <w:szCs w:val="20"/>
          <w:lang w:val="en-US" w:eastAsia="zh-CN"/>
        </w:rPr>
        <w:t>6</w:t>
      </w:r>
      <w:r>
        <w:rPr>
          <w:rFonts w:hint="eastAsia"/>
          <w:kern w:val="0"/>
          <w:sz w:val="24"/>
          <w:szCs w:val="20"/>
          <w:lang w:val="zh-CN"/>
        </w:rPr>
        <w:t>）</w:t>
      </w:r>
      <w:r>
        <w:rPr>
          <w:rFonts w:hint="eastAsia" w:ascii="Times New Roman" w:hAnsi="Times New Roman" w:eastAsia="宋体" w:cs="Times New Roman"/>
          <w:sz w:val="24"/>
          <w:lang w:val="zh-CN"/>
        </w:rPr>
        <w:t>；</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en-US" w:eastAsia="zh-CN"/>
        </w:rPr>
      </w:pPr>
      <w:r>
        <w:rPr>
          <w:rFonts w:hint="eastAsia" w:cs="Times New Roman"/>
          <w:sz w:val="24"/>
          <w:lang w:val="en-US" w:eastAsia="zh-CN"/>
        </w:rPr>
        <w:t>11</w:t>
      </w:r>
      <w:r>
        <w:rPr>
          <w:rFonts w:hint="eastAsia" w:ascii="Times New Roman" w:hAnsi="Times New Roman" w:eastAsia="宋体" w:cs="Times New Roman"/>
          <w:sz w:val="24"/>
          <w:lang w:val="en-US" w:eastAsia="zh-CN"/>
        </w:rPr>
        <w:t>.声明</w:t>
      </w:r>
      <w:r>
        <w:rPr>
          <w:rFonts w:hint="eastAsia"/>
          <w:kern w:val="0"/>
          <w:sz w:val="24"/>
          <w:szCs w:val="20"/>
          <w:lang w:val="zh-CN"/>
        </w:rPr>
        <w:t>（格式见附件</w:t>
      </w:r>
      <w:r>
        <w:rPr>
          <w:rFonts w:hint="eastAsia"/>
          <w:kern w:val="0"/>
          <w:sz w:val="24"/>
          <w:szCs w:val="20"/>
          <w:lang w:val="en-US" w:eastAsia="zh-CN"/>
        </w:rPr>
        <w:t>7</w:t>
      </w:r>
      <w:r>
        <w:rPr>
          <w:rFonts w:hint="eastAsia"/>
          <w:kern w:val="0"/>
          <w:sz w:val="24"/>
          <w:szCs w:val="20"/>
          <w:lang w:val="zh-CN"/>
        </w:rPr>
        <w:t>）</w:t>
      </w:r>
      <w:r>
        <w:rPr>
          <w:rFonts w:hint="eastAsia" w:ascii="Times New Roman" w:hAnsi="Times New Roman" w:eastAsia="宋体" w:cs="Times New Roman"/>
          <w:sz w:val="24"/>
          <w:lang w:val="en-US" w:eastAsia="zh-CN"/>
        </w:rPr>
        <w:t>；</w:t>
      </w:r>
    </w:p>
    <w:p>
      <w:pPr>
        <w:numPr>
          <w:ilvl w:val="0"/>
          <w:numId w:val="0"/>
        </w:numPr>
        <w:snapToGrid w:val="0"/>
        <w:spacing w:line="440" w:lineRule="exact"/>
        <w:ind w:firstLine="480" w:firstLineChars="200"/>
        <w:contextualSpacing/>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a.未处于被责令停业、投标资格被取消或财产被接管、冻结和破产状态的企业； </w:t>
      </w:r>
    </w:p>
    <w:p>
      <w:pPr>
        <w:numPr>
          <w:ilvl w:val="0"/>
          <w:numId w:val="0"/>
        </w:numPr>
        <w:snapToGrid w:val="0"/>
        <w:spacing w:line="440" w:lineRule="exact"/>
        <w:ind w:firstLine="480" w:firstLineChars="200"/>
        <w:contextualSpacing/>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b.企业没有因骗取中标、严重违约或者违规用工、拖欠工人工资以及发生重大工程质量、安全生产事故等问题，被有关部门暂停投标资格并在暂停期内的。</w:t>
      </w:r>
    </w:p>
    <w:p>
      <w:pPr>
        <w:numPr>
          <w:ilvl w:val="0"/>
          <w:numId w:val="0"/>
        </w:numPr>
        <w:snapToGrid w:val="0"/>
        <w:spacing w:line="440" w:lineRule="exact"/>
        <w:ind w:firstLine="480" w:firstLineChars="200"/>
        <w:contextualSpacing/>
        <w:rPr>
          <w:rFonts w:hint="default" w:ascii="Times New Roman" w:hAnsi="Times New Roman" w:eastAsia="宋体" w:cs="Times New Roman"/>
          <w:sz w:val="24"/>
          <w:lang w:val="en-US" w:eastAsia="zh-CN"/>
        </w:rPr>
      </w:pPr>
      <w:r>
        <w:rPr>
          <w:rFonts w:hint="eastAsia" w:cs="Times New Roman"/>
          <w:sz w:val="24"/>
          <w:lang w:val="en-US" w:eastAsia="zh-CN"/>
        </w:rPr>
        <w:t>12</w:t>
      </w:r>
      <w:r>
        <w:rPr>
          <w:rFonts w:hint="eastAsia" w:ascii="Times New Roman" w:hAnsi="Times New Roman" w:eastAsia="宋体" w:cs="Times New Roman"/>
          <w:sz w:val="24"/>
          <w:lang w:val="en-US" w:eastAsia="zh-CN"/>
        </w:rPr>
        <w:t>.声明</w:t>
      </w:r>
      <w:r>
        <w:rPr>
          <w:rFonts w:hint="eastAsia" w:ascii="Times New Roman" w:hAnsi="Times New Roman" w:eastAsia="宋体" w:cs="Times New Roman"/>
          <w:sz w:val="24"/>
          <w:lang w:val="zh-CN" w:eastAsia="zh-CN"/>
        </w:rPr>
        <w:t>（格式见附件</w:t>
      </w:r>
      <w:r>
        <w:rPr>
          <w:rFonts w:hint="eastAsia" w:cs="Times New Roman"/>
          <w:sz w:val="24"/>
          <w:lang w:val="en-US" w:eastAsia="zh-CN"/>
        </w:rPr>
        <w:t>8</w:t>
      </w:r>
      <w:r>
        <w:rPr>
          <w:rFonts w:hint="eastAsia" w:ascii="Times New Roman" w:hAnsi="Times New Roman" w:eastAsia="宋体" w:cs="Times New Roman"/>
          <w:sz w:val="24"/>
          <w:lang w:val="zh-CN" w:eastAsia="zh-CN"/>
        </w:rPr>
        <w:t>）；</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en-US" w:eastAsia="zh-CN"/>
        </w:rPr>
      </w:pPr>
      <w:r>
        <w:rPr>
          <w:rFonts w:hint="eastAsia" w:cs="Times New Roman"/>
          <w:sz w:val="24"/>
          <w:lang w:val="en-US" w:eastAsia="zh-CN"/>
        </w:rPr>
        <w:t>12.1</w:t>
      </w:r>
      <w:r>
        <w:rPr>
          <w:rFonts w:hint="eastAsia" w:ascii="Times New Roman" w:hAnsi="Times New Roman" w:eastAsia="宋体" w:cs="Times New Roman"/>
          <w:sz w:val="24"/>
          <w:lang w:val="en-US" w:eastAsia="zh-CN"/>
        </w:rPr>
        <w:t>单位负责人为同一人或者存在直接控股、管理关系的不同供应商，同时参加同一合同项下的政府采购活动。</w:t>
      </w:r>
    </w:p>
    <w:p>
      <w:pPr>
        <w:numPr>
          <w:ilvl w:val="0"/>
          <w:numId w:val="0"/>
        </w:numPr>
        <w:snapToGrid w:val="0"/>
        <w:spacing w:line="440" w:lineRule="exact"/>
        <w:ind w:firstLine="480" w:firstLineChars="200"/>
        <w:contextualSpacing/>
        <w:rPr>
          <w:rFonts w:hint="default" w:ascii="Times New Roman" w:hAnsi="Times New Roman" w:eastAsia="宋体" w:cs="Times New Roman"/>
          <w:sz w:val="24"/>
          <w:lang w:val="en-US" w:eastAsia="zh-CN"/>
        </w:rPr>
      </w:pPr>
      <w:r>
        <w:rPr>
          <w:rFonts w:hint="eastAsia" w:cs="Times New Roman"/>
          <w:sz w:val="24"/>
          <w:lang w:val="en-US" w:eastAsia="zh-CN"/>
        </w:rPr>
        <w:t>12.2</w:t>
      </w:r>
      <w:r>
        <w:rPr>
          <w:rFonts w:hint="eastAsia" w:ascii="Times New Roman" w:hAnsi="Times New Roman" w:eastAsia="宋体" w:cs="Times New Roman"/>
          <w:sz w:val="24"/>
          <w:lang w:val="en-US" w:eastAsia="zh-CN"/>
        </w:rPr>
        <w:t>为采购项目提供整体设计、规范编制或者项目管理、监理、检测等服务的供应商，再参加该采购项目的其他采购活动。</w:t>
      </w:r>
    </w:p>
    <w:p>
      <w:pPr>
        <w:numPr>
          <w:ilvl w:val="0"/>
          <w:numId w:val="0"/>
        </w:numPr>
        <w:snapToGrid w:val="0"/>
        <w:spacing w:line="440" w:lineRule="exact"/>
        <w:ind w:firstLine="480" w:firstLineChars="200"/>
        <w:contextualSpacing/>
        <w:rPr>
          <w:rFonts w:hint="eastAsia" w:cs="Times New Roman"/>
          <w:sz w:val="24"/>
          <w:lang w:val="en-US" w:eastAsia="zh-CN"/>
        </w:rPr>
      </w:pPr>
      <w:r>
        <w:rPr>
          <w:rFonts w:hint="eastAsia" w:cs="Times New Roman"/>
          <w:sz w:val="24"/>
          <w:lang w:val="en-US" w:eastAsia="zh-CN"/>
        </w:rPr>
        <w:t>13.不拖欠农民工工资承诺书</w:t>
      </w:r>
      <w:r>
        <w:rPr>
          <w:rFonts w:hint="eastAsia" w:ascii="Times New Roman" w:hAnsi="Times New Roman" w:eastAsia="宋体" w:cs="Times New Roman"/>
          <w:sz w:val="24"/>
          <w:lang w:val="zh-CN" w:eastAsia="zh-CN"/>
        </w:rPr>
        <w:t>（格式见附件</w:t>
      </w:r>
      <w:r>
        <w:rPr>
          <w:rFonts w:hint="eastAsia" w:cs="Times New Roman"/>
          <w:sz w:val="24"/>
          <w:lang w:val="en-US" w:eastAsia="zh-CN"/>
        </w:rPr>
        <w:t>9</w:t>
      </w:r>
      <w:r>
        <w:rPr>
          <w:rFonts w:hint="eastAsia" w:ascii="Times New Roman" w:hAnsi="Times New Roman" w:eastAsia="宋体" w:cs="Times New Roman"/>
          <w:sz w:val="24"/>
          <w:lang w:val="zh-CN" w:eastAsia="zh-CN"/>
        </w:rPr>
        <w:t>）</w:t>
      </w:r>
      <w:r>
        <w:rPr>
          <w:rFonts w:hint="eastAsia" w:cs="Times New Roman"/>
          <w:sz w:val="24"/>
          <w:lang w:val="zh-CN" w:eastAsia="zh-CN"/>
        </w:rPr>
        <w:t>；</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zh-CN"/>
        </w:rPr>
      </w:pPr>
      <w:r>
        <w:rPr>
          <w:rFonts w:hint="eastAsia" w:cs="Times New Roman"/>
          <w:sz w:val="24"/>
          <w:lang w:val="en-US" w:eastAsia="zh-CN"/>
        </w:rPr>
        <w:t>14.</w:t>
      </w:r>
      <w:r>
        <w:rPr>
          <w:rFonts w:hint="eastAsia" w:ascii="Times New Roman" w:hAnsi="Times New Roman" w:eastAsia="宋体" w:cs="Times New Roman"/>
          <w:sz w:val="24"/>
          <w:lang w:val="zh-CN"/>
        </w:rPr>
        <w:t>磋商公告资格要求提供相应的佐证材料；</w:t>
      </w:r>
    </w:p>
    <w:p>
      <w:pPr>
        <w:numPr>
          <w:ilvl w:val="0"/>
          <w:numId w:val="0"/>
        </w:numPr>
        <w:snapToGrid w:val="0"/>
        <w:spacing w:line="440" w:lineRule="exact"/>
        <w:ind w:firstLine="480" w:firstLineChars="200"/>
        <w:contextualSpacing/>
        <w:rPr>
          <w:rFonts w:hint="eastAsia" w:ascii="Times New Roman" w:hAnsi="Times New Roman" w:eastAsia="宋体" w:cs="Times New Roman"/>
          <w:sz w:val="24"/>
          <w:lang w:val="zh-CN"/>
        </w:rPr>
      </w:pPr>
      <w:r>
        <w:rPr>
          <w:rFonts w:hint="eastAsia" w:cs="Times New Roman"/>
          <w:sz w:val="24"/>
          <w:lang w:val="en-US" w:eastAsia="zh-CN"/>
        </w:rPr>
        <w:t>15</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rPr>
        <w:t>其它需要提交的资格审查证明材料。</w:t>
      </w:r>
    </w:p>
    <w:p>
      <w:pPr>
        <w:pStyle w:val="16"/>
        <w:snapToGrid w:val="0"/>
        <w:spacing w:line="480" w:lineRule="exact"/>
        <w:ind w:firstLine="482" w:firstLineChars="200"/>
        <w:rPr>
          <w:rFonts w:ascii="Times New Roman" w:hAnsi="Times New Roman" w:eastAsia="宋体"/>
          <w:b/>
          <w:bCs/>
          <w:kern w:val="0"/>
          <w:sz w:val="24"/>
          <w:szCs w:val="24"/>
          <w:lang w:val="zh-CN"/>
        </w:rPr>
      </w:pPr>
      <w:r>
        <w:rPr>
          <w:rFonts w:ascii="Times New Roman" w:hAnsi="Times New Roman" w:eastAsia="宋体"/>
          <w:b/>
          <w:sz w:val="24"/>
          <w:szCs w:val="24"/>
        </w:rPr>
        <w:t>二、商务技术文件</w:t>
      </w:r>
      <w:r>
        <w:rPr>
          <w:rFonts w:ascii="Times New Roman" w:hAnsi="Times New Roman" w:eastAsia="宋体"/>
          <w:b/>
          <w:bCs/>
          <w:kern w:val="0"/>
          <w:sz w:val="24"/>
          <w:szCs w:val="24"/>
          <w:lang w:val="zh-CN"/>
        </w:rPr>
        <w:t>（不能出现报价）</w:t>
      </w:r>
    </w:p>
    <w:p>
      <w:pPr>
        <w:numPr>
          <w:ilvl w:val="0"/>
          <w:numId w:val="0"/>
        </w:numPr>
        <w:snapToGrid w:val="0"/>
        <w:spacing w:line="440" w:lineRule="exact"/>
        <w:ind w:firstLine="480" w:firstLineChars="200"/>
        <w:contextualSpacing/>
        <w:rPr>
          <w:kern w:val="0"/>
          <w:sz w:val="24"/>
          <w:szCs w:val="20"/>
          <w:lang w:val="zh-CN"/>
        </w:rPr>
      </w:pPr>
      <w:r>
        <w:rPr>
          <w:rFonts w:ascii="Times New Roman" w:hAnsi="Times New Roman" w:eastAsia="宋体" w:cs="Times New Roman"/>
          <w:kern w:val="0"/>
          <w:sz w:val="24"/>
          <w:szCs w:val="20"/>
          <w:lang w:val="zh-CN" w:eastAsia="zh-CN" w:bidi="ar-SA"/>
        </w:rPr>
        <w:t>1</w:t>
      </w:r>
      <w:r>
        <w:rPr>
          <w:rFonts w:hint="eastAsia" w:cs="Times New Roman"/>
          <w:kern w:val="0"/>
          <w:sz w:val="24"/>
          <w:szCs w:val="20"/>
          <w:lang w:val="en-US" w:eastAsia="zh-CN" w:bidi="ar-SA"/>
        </w:rPr>
        <w:t>.</w:t>
      </w:r>
      <w:r>
        <w:rPr>
          <w:rFonts w:hint="eastAsia"/>
          <w:kern w:val="0"/>
          <w:sz w:val="24"/>
          <w:szCs w:val="20"/>
          <w:lang w:val="zh-CN"/>
        </w:rPr>
        <w:t>供应商</w:t>
      </w:r>
      <w:r>
        <w:rPr>
          <w:kern w:val="0"/>
          <w:sz w:val="24"/>
          <w:szCs w:val="20"/>
          <w:lang w:val="zh-CN"/>
        </w:rPr>
        <w:t>情况一览表</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10</w:t>
      </w:r>
      <w:r>
        <w:rPr>
          <w:rFonts w:hint="eastAsia" w:ascii="Times New Roman" w:hAnsi="Times New Roman" w:eastAsia="宋体" w:cs="Times New Roman"/>
          <w:sz w:val="24"/>
          <w:lang w:val="zh-CN" w:eastAsia="zh-CN"/>
        </w:rPr>
        <w:t>）</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rFonts w:ascii="Times New Roman" w:hAnsi="Times New Roman" w:eastAsia="宋体" w:cs="Times New Roman"/>
          <w:kern w:val="0"/>
          <w:sz w:val="24"/>
          <w:szCs w:val="20"/>
          <w:lang w:val="zh-CN" w:eastAsia="zh-CN" w:bidi="ar-SA"/>
        </w:rPr>
        <w:t>2</w:t>
      </w:r>
      <w:r>
        <w:rPr>
          <w:rFonts w:hint="eastAsia" w:cs="Times New Roman"/>
          <w:kern w:val="0"/>
          <w:sz w:val="24"/>
          <w:szCs w:val="20"/>
          <w:lang w:val="en-US" w:eastAsia="zh-CN" w:bidi="ar-SA"/>
        </w:rPr>
        <w:t>.</w:t>
      </w:r>
      <w:r>
        <w:rPr>
          <w:kern w:val="0"/>
          <w:sz w:val="24"/>
          <w:szCs w:val="20"/>
          <w:lang w:val="zh-CN"/>
        </w:rPr>
        <w:t>商务部分正负偏离表</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11</w:t>
      </w:r>
      <w:r>
        <w:rPr>
          <w:rFonts w:hint="eastAsia" w:ascii="Times New Roman" w:hAnsi="Times New Roman" w:eastAsia="宋体" w:cs="Times New Roman"/>
          <w:sz w:val="24"/>
          <w:lang w:val="zh-CN" w:eastAsia="zh-CN"/>
        </w:rPr>
        <w:t>）</w:t>
      </w:r>
      <w:r>
        <w:rPr>
          <w:kern w:val="0"/>
          <w:sz w:val="24"/>
          <w:szCs w:val="20"/>
          <w:lang w:val="zh-CN"/>
        </w:rPr>
        <w:t>；</w:t>
      </w:r>
    </w:p>
    <w:p>
      <w:pPr>
        <w:numPr>
          <w:ilvl w:val="0"/>
          <w:numId w:val="0"/>
        </w:numPr>
        <w:snapToGrid w:val="0"/>
        <w:spacing w:line="440" w:lineRule="exact"/>
        <w:ind w:firstLine="480" w:firstLineChars="200"/>
        <w:contextualSpacing/>
        <w:rPr>
          <w:kern w:val="0"/>
          <w:sz w:val="24"/>
          <w:szCs w:val="20"/>
          <w:lang w:val="zh-CN"/>
        </w:rPr>
      </w:pPr>
      <w:r>
        <w:rPr>
          <w:rFonts w:ascii="Times New Roman" w:hAnsi="Times New Roman" w:eastAsia="宋体" w:cs="Times New Roman"/>
          <w:kern w:val="0"/>
          <w:sz w:val="24"/>
          <w:szCs w:val="20"/>
          <w:lang w:val="zh-CN" w:eastAsia="zh-CN" w:bidi="ar-SA"/>
        </w:rPr>
        <w:t>3</w:t>
      </w:r>
      <w:r>
        <w:rPr>
          <w:rFonts w:hint="eastAsia" w:cs="Times New Roman"/>
          <w:kern w:val="0"/>
          <w:sz w:val="24"/>
          <w:szCs w:val="20"/>
          <w:lang w:val="en-US" w:eastAsia="zh-CN" w:bidi="ar-SA"/>
        </w:rPr>
        <w:t>.安防部分正负偏离表</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12</w:t>
      </w:r>
      <w:r>
        <w:rPr>
          <w:rFonts w:hint="eastAsia" w:ascii="Times New Roman" w:hAnsi="Times New Roman" w:eastAsia="宋体" w:cs="Times New Roman"/>
          <w:sz w:val="24"/>
          <w:lang w:val="zh-CN" w:eastAsia="zh-CN"/>
        </w:rPr>
        <w:t>）</w:t>
      </w:r>
      <w:r>
        <w:rPr>
          <w:kern w:val="0"/>
          <w:sz w:val="24"/>
          <w:szCs w:val="20"/>
          <w:lang w:val="zh-CN"/>
        </w:rPr>
        <w:t>；</w:t>
      </w:r>
    </w:p>
    <w:p>
      <w:pPr>
        <w:numPr>
          <w:ilvl w:val="0"/>
          <w:numId w:val="0"/>
        </w:numPr>
        <w:snapToGrid w:val="0"/>
        <w:spacing w:line="440" w:lineRule="exact"/>
        <w:ind w:firstLine="480" w:firstLineChars="200"/>
        <w:contextualSpacing/>
        <w:rPr>
          <w:rFonts w:hint="eastAsia" w:cs="Times New Roman"/>
          <w:kern w:val="0"/>
          <w:sz w:val="24"/>
          <w:szCs w:val="20"/>
          <w:lang w:val="en-US" w:eastAsia="zh-CN" w:bidi="ar-SA"/>
        </w:rPr>
      </w:pPr>
      <w:r>
        <w:rPr>
          <w:rFonts w:ascii="Times New Roman" w:hAnsi="Times New Roman" w:eastAsia="宋体" w:cs="Times New Roman"/>
          <w:kern w:val="0"/>
          <w:sz w:val="24"/>
          <w:szCs w:val="20"/>
          <w:lang w:val="zh-CN" w:eastAsia="zh-CN" w:bidi="ar-SA"/>
        </w:rPr>
        <w:t>4</w:t>
      </w:r>
      <w:r>
        <w:rPr>
          <w:rFonts w:hint="eastAsia" w:cs="Times New Roman"/>
          <w:kern w:val="0"/>
          <w:sz w:val="24"/>
          <w:szCs w:val="20"/>
          <w:lang w:val="en-US" w:eastAsia="zh-CN" w:bidi="ar-SA"/>
        </w:rPr>
        <w:t>.环境装修部分材料品牌约定（格式见附件13）</w:t>
      </w:r>
    </w:p>
    <w:p>
      <w:pPr>
        <w:numPr>
          <w:ilvl w:val="0"/>
          <w:numId w:val="0"/>
        </w:numPr>
        <w:snapToGrid w:val="0"/>
        <w:spacing w:line="440" w:lineRule="exact"/>
        <w:ind w:firstLine="480" w:firstLineChars="200"/>
        <w:contextualSpacing/>
        <w:rPr>
          <w:kern w:val="0"/>
          <w:sz w:val="24"/>
          <w:szCs w:val="20"/>
          <w:lang w:val="zh-CN"/>
        </w:rPr>
      </w:pPr>
      <w:r>
        <w:rPr>
          <w:rFonts w:hint="eastAsia" w:cs="Times New Roman"/>
          <w:kern w:val="0"/>
          <w:sz w:val="24"/>
          <w:szCs w:val="20"/>
          <w:lang w:val="en-US" w:eastAsia="zh-CN" w:bidi="ar-SA"/>
        </w:rPr>
        <w:t>5.</w:t>
      </w:r>
      <w:r>
        <w:rPr>
          <w:rFonts w:hint="eastAsia"/>
          <w:kern w:val="0"/>
          <w:sz w:val="24"/>
          <w:szCs w:val="20"/>
          <w:lang w:val="zh-CN"/>
        </w:rPr>
        <w:t>响应</w:t>
      </w:r>
      <w:r>
        <w:rPr>
          <w:kern w:val="0"/>
          <w:sz w:val="24"/>
          <w:szCs w:val="20"/>
          <w:lang w:val="zh-CN"/>
        </w:rPr>
        <w:t>方案、货物（服务）清单。具有项目、数量、品牌、型号、配置性能等；</w:t>
      </w:r>
    </w:p>
    <w:p>
      <w:pPr>
        <w:numPr>
          <w:ilvl w:val="0"/>
          <w:numId w:val="0"/>
        </w:numPr>
        <w:snapToGrid w:val="0"/>
        <w:spacing w:line="440" w:lineRule="exact"/>
        <w:ind w:firstLine="480" w:firstLineChars="200"/>
        <w:contextualSpacing/>
        <w:rPr>
          <w:kern w:val="0"/>
          <w:sz w:val="24"/>
          <w:szCs w:val="20"/>
          <w:lang w:val="zh-CN"/>
        </w:rPr>
      </w:pPr>
      <w:r>
        <w:rPr>
          <w:rFonts w:hint="eastAsia" w:cs="Times New Roman"/>
          <w:kern w:val="0"/>
          <w:sz w:val="24"/>
          <w:szCs w:val="20"/>
          <w:lang w:val="en-US" w:eastAsia="zh-CN" w:bidi="ar-SA"/>
        </w:rPr>
        <w:t>6.</w:t>
      </w:r>
      <w:r>
        <w:rPr>
          <w:kern w:val="0"/>
          <w:sz w:val="24"/>
          <w:szCs w:val="20"/>
          <w:lang w:val="zh-CN"/>
        </w:rPr>
        <w:t>商务技术评分标准中须提供的相关得分佐证材料；</w:t>
      </w:r>
    </w:p>
    <w:p>
      <w:pPr>
        <w:numPr>
          <w:ilvl w:val="0"/>
          <w:numId w:val="0"/>
        </w:numPr>
        <w:snapToGrid w:val="0"/>
        <w:spacing w:line="440" w:lineRule="exact"/>
        <w:ind w:firstLine="480" w:firstLineChars="200"/>
        <w:contextualSpacing/>
        <w:rPr>
          <w:kern w:val="0"/>
          <w:sz w:val="24"/>
          <w:szCs w:val="20"/>
          <w:lang w:val="zh-CN"/>
        </w:rPr>
      </w:pPr>
      <w:r>
        <w:rPr>
          <w:rFonts w:hint="eastAsia" w:cs="Times New Roman"/>
          <w:kern w:val="0"/>
          <w:sz w:val="24"/>
          <w:szCs w:val="20"/>
          <w:lang w:val="en-US" w:eastAsia="zh-CN" w:bidi="ar-SA"/>
        </w:rPr>
        <w:t>7.</w:t>
      </w:r>
      <w:r>
        <w:rPr>
          <w:rFonts w:hint="eastAsia"/>
          <w:kern w:val="0"/>
          <w:sz w:val="24"/>
          <w:szCs w:val="20"/>
          <w:lang w:val="zh-CN"/>
        </w:rPr>
        <w:t>供应商</w:t>
      </w:r>
      <w:r>
        <w:rPr>
          <w:kern w:val="0"/>
          <w:sz w:val="24"/>
          <w:szCs w:val="20"/>
          <w:lang w:val="zh-CN"/>
        </w:rPr>
        <w:t>认为需要提交的其他商务技术材料。</w:t>
      </w:r>
    </w:p>
    <w:p>
      <w:pPr>
        <w:pStyle w:val="16"/>
        <w:snapToGrid w:val="0"/>
        <w:spacing w:line="480" w:lineRule="exact"/>
        <w:ind w:firstLine="482" w:firstLineChars="200"/>
        <w:rPr>
          <w:rFonts w:ascii="Times New Roman" w:hAnsi="Times New Roman" w:eastAsia="宋体"/>
          <w:b/>
          <w:sz w:val="24"/>
          <w:szCs w:val="24"/>
        </w:rPr>
      </w:pPr>
      <w:r>
        <w:rPr>
          <w:rFonts w:ascii="Times New Roman" w:hAnsi="Times New Roman" w:eastAsia="宋体"/>
          <w:b/>
          <w:sz w:val="24"/>
          <w:szCs w:val="24"/>
        </w:rPr>
        <w:t>三、</w:t>
      </w:r>
      <w:r>
        <w:rPr>
          <w:rFonts w:hint="eastAsia" w:ascii="Times New Roman" w:hAnsi="Times New Roman" w:eastAsia="宋体"/>
          <w:b/>
          <w:sz w:val="24"/>
          <w:szCs w:val="24"/>
        </w:rPr>
        <w:t>报价</w:t>
      </w:r>
      <w:r>
        <w:rPr>
          <w:rFonts w:ascii="Times New Roman" w:hAnsi="Times New Roman" w:eastAsia="宋体"/>
          <w:b/>
          <w:sz w:val="24"/>
          <w:szCs w:val="24"/>
        </w:rPr>
        <w:t>文件</w:t>
      </w:r>
    </w:p>
    <w:p>
      <w:pPr>
        <w:tabs>
          <w:tab w:val="left" w:pos="3375"/>
        </w:tabs>
        <w:autoSpaceDE w:val="0"/>
        <w:autoSpaceDN w:val="0"/>
        <w:adjustRightInd w:val="0"/>
        <w:snapToGrid w:val="0"/>
        <w:spacing w:line="480" w:lineRule="exact"/>
        <w:ind w:left="1" w:firstLine="480" w:firstLineChars="200"/>
        <w:rPr>
          <w:sz w:val="24"/>
        </w:rPr>
      </w:pPr>
      <w:r>
        <w:rPr>
          <w:sz w:val="24"/>
        </w:rPr>
        <w:t>1</w:t>
      </w:r>
      <w:r>
        <w:rPr>
          <w:rFonts w:hint="eastAsia"/>
          <w:sz w:val="24"/>
          <w:lang w:val="en-US" w:eastAsia="zh-CN"/>
        </w:rPr>
        <w:t>.竞争性磋商申请及声明</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14</w:t>
      </w:r>
      <w:r>
        <w:rPr>
          <w:rFonts w:hint="eastAsia" w:ascii="Times New Roman" w:hAnsi="Times New Roman" w:eastAsia="宋体" w:cs="Times New Roman"/>
          <w:sz w:val="24"/>
          <w:lang w:val="zh-CN" w:eastAsia="zh-CN"/>
        </w:rPr>
        <w:t>）</w:t>
      </w:r>
      <w:r>
        <w:rPr>
          <w:sz w:val="24"/>
        </w:rPr>
        <w:t>；</w:t>
      </w:r>
    </w:p>
    <w:p>
      <w:pPr>
        <w:tabs>
          <w:tab w:val="left" w:pos="3375"/>
        </w:tabs>
        <w:autoSpaceDE w:val="0"/>
        <w:autoSpaceDN w:val="0"/>
        <w:adjustRightInd w:val="0"/>
        <w:snapToGrid w:val="0"/>
        <w:spacing w:line="480" w:lineRule="exact"/>
        <w:ind w:left="1" w:firstLine="480" w:firstLineChars="200"/>
        <w:rPr>
          <w:rFonts w:hint="eastAsia" w:ascii="Times New Roman" w:hAnsi="Times New Roman" w:eastAsia="宋体" w:cs="Times New Roman"/>
          <w:sz w:val="24"/>
        </w:rPr>
      </w:pPr>
      <w:r>
        <w:rPr>
          <w:sz w:val="24"/>
        </w:rPr>
        <w:t>2</w:t>
      </w:r>
      <w:r>
        <w:rPr>
          <w:rFonts w:hint="eastAsia"/>
          <w:sz w:val="24"/>
          <w:lang w:val="en-US" w:eastAsia="zh-CN"/>
        </w:rPr>
        <w:t>.已标价工程量清单</w:t>
      </w:r>
      <w:r>
        <w:rPr>
          <w:rFonts w:hint="eastAsia" w:ascii="Times New Roman" w:hAnsi="Times New Roman" w:eastAsia="宋体" w:cs="Times New Roman"/>
          <w:sz w:val="24"/>
        </w:rPr>
        <w:t>；</w:t>
      </w:r>
    </w:p>
    <w:p>
      <w:pPr>
        <w:tabs>
          <w:tab w:val="left" w:pos="3375"/>
        </w:tabs>
        <w:autoSpaceDE w:val="0"/>
        <w:autoSpaceDN w:val="0"/>
        <w:adjustRightInd w:val="0"/>
        <w:snapToGrid w:val="0"/>
        <w:spacing w:line="480" w:lineRule="exact"/>
        <w:ind w:left="1" w:firstLine="480" w:firstLineChars="2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3</w:t>
      </w:r>
      <w:r>
        <w:rPr>
          <w:rFonts w:hint="eastAsia" w:cs="Times New Roman"/>
          <w:sz w:val="24"/>
          <w:lang w:val="en-US" w:eastAsia="zh-CN"/>
        </w:rPr>
        <w:t>.</w:t>
      </w:r>
      <w:r>
        <w:rPr>
          <w:rFonts w:hint="eastAsia" w:ascii="Times New Roman" w:hAnsi="Times New Roman" w:eastAsia="宋体" w:cs="Times New Roman"/>
          <w:sz w:val="24"/>
          <w:lang w:val="zh-CN"/>
        </w:rPr>
        <w:t>中小企业声明函</w:t>
      </w:r>
      <w:r>
        <w:rPr>
          <w:rFonts w:ascii="Times New Roman" w:hAnsi="Times New Roman" w:eastAsia="宋体" w:cs="Times New Roman"/>
          <w:sz w:val="24"/>
          <w:lang w:val="zh-CN"/>
        </w:rPr>
        <w:t>（如有</w:t>
      </w:r>
      <w:r>
        <w:rPr>
          <w:rFonts w:hint="eastAsia" w:cs="Times New Roman"/>
          <w:sz w:val="24"/>
          <w:lang w:val="zh-CN"/>
        </w:rPr>
        <w:t>，</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15</w:t>
      </w:r>
      <w:r>
        <w:rPr>
          <w:rFonts w:ascii="Times New Roman" w:hAnsi="Times New Roman" w:eastAsia="宋体" w:cs="Times New Roman"/>
          <w:sz w:val="24"/>
          <w:lang w:val="zh-CN"/>
        </w:rPr>
        <w:t>）；</w:t>
      </w:r>
    </w:p>
    <w:p>
      <w:pPr>
        <w:tabs>
          <w:tab w:val="left" w:pos="3375"/>
        </w:tabs>
        <w:autoSpaceDE w:val="0"/>
        <w:autoSpaceDN w:val="0"/>
        <w:adjustRightInd w:val="0"/>
        <w:snapToGrid w:val="0"/>
        <w:spacing w:line="480" w:lineRule="exact"/>
        <w:ind w:left="1" w:firstLine="480" w:firstLineChars="2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4</w:t>
      </w:r>
      <w:r>
        <w:rPr>
          <w:rFonts w:hint="eastAsia" w:cs="Times New Roman"/>
          <w:sz w:val="24"/>
          <w:lang w:val="en-US" w:eastAsia="zh-CN"/>
        </w:rPr>
        <w:t>.</w:t>
      </w:r>
      <w:r>
        <w:rPr>
          <w:rFonts w:ascii="Times New Roman" w:hAnsi="Times New Roman" w:eastAsia="宋体" w:cs="Times New Roman"/>
          <w:sz w:val="24"/>
          <w:lang w:val="zh-CN"/>
        </w:rPr>
        <w:t>残疾人福利性单位声明函（如有</w:t>
      </w:r>
      <w:r>
        <w:rPr>
          <w:rFonts w:hint="eastAsia" w:cs="Times New Roman"/>
          <w:sz w:val="24"/>
          <w:lang w:val="zh-CN"/>
        </w:rPr>
        <w:t>，</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16</w:t>
      </w:r>
      <w:r>
        <w:rPr>
          <w:rFonts w:ascii="Times New Roman" w:hAnsi="Times New Roman" w:eastAsia="宋体" w:cs="Times New Roman"/>
          <w:sz w:val="24"/>
          <w:lang w:val="zh-CN"/>
        </w:rPr>
        <w:t>）；</w:t>
      </w:r>
    </w:p>
    <w:p>
      <w:pPr>
        <w:tabs>
          <w:tab w:val="left" w:pos="3375"/>
        </w:tabs>
        <w:autoSpaceDE w:val="0"/>
        <w:autoSpaceDN w:val="0"/>
        <w:adjustRightInd w:val="0"/>
        <w:snapToGrid w:val="0"/>
        <w:spacing w:line="480" w:lineRule="exact"/>
        <w:ind w:left="1" w:firstLine="480" w:firstLineChars="200"/>
        <w:rPr>
          <w:rFonts w:ascii="Times New Roman" w:hAnsi="Times New Roman" w:eastAsia="宋体" w:cs="Times New Roman"/>
          <w:sz w:val="24"/>
          <w:lang w:val="zh-CN"/>
        </w:rPr>
      </w:pPr>
      <w:r>
        <w:rPr>
          <w:rFonts w:hint="eastAsia" w:ascii="Times New Roman" w:hAnsi="Times New Roman" w:eastAsia="宋体" w:cs="Times New Roman"/>
          <w:sz w:val="24"/>
          <w:lang w:val="zh-CN"/>
        </w:rPr>
        <w:t>5</w:t>
      </w:r>
      <w:r>
        <w:rPr>
          <w:rFonts w:hint="eastAsia" w:cs="Times New Roman"/>
          <w:sz w:val="24"/>
          <w:lang w:val="en-US" w:eastAsia="zh-CN"/>
        </w:rPr>
        <w:t>.</w:t>
      </w:r>
      <w:r>
        <w:rPr>
          <w:rFonts w:ascii="Times New Roman" w:hAnsi="Times New Roman" w:eastAsia="宋体" w:cs="Times New Roman"/>
          <w:sz w:val="24"/>
          <w:lang w:val="zh-CN"/>
        </w:rPr>
        <w:t>监狱企业的证明（如有</w:t>
      </w:r>
      <w:r>
        <w:rPr>
          <w:rFonts w:hint="eastAsia" w:cs="Times New Roman"/>
          <w:sz w:val="24"/>
          <w:lang w:val="zh-CN"/>
        </w:rPr>
        <w:t>，</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17</w:t>
      </w:r>
      <w:r>
        <w:rPr>
          <w:rFonts w:ascii="Times New Roman" w:hAnsi="Times New Roman" w:eastAsia="宋体" w:cs="Times New Roman"/>
          <w:sz w:val="24"/>
          <w:lang w:val="zh-CN"/>
        </w:rPr>
        <w:t>）</w:t>
      </w:r>
      <w:r>
        <w:rPr>
          <w:rFonts w:hint="eastAsia" w:cs="Times New Roman"/>
          <w:sz w:val="24"/>
          <w:lang w:val="zh-CN"/>
        </w:rPr>
        <w:t>；</w:t>
      </w:r>
    </w:p>
    <w:p>
      <w:pPr>
        <w:tabs>
          <w:tab w:val="left" w:pos="3375"/>
        </w:tabs>
        <w:autoSpaceDE w:val="0"/>
        <w:autoSpaceDN w:val="0"/>
        <w:adjustRightInd w:val="0"/>
        <w:snapToGrid w:val="0"/>
        <w:spacing w:line="480" w:lineRule="exact"/>
        <w:ind w:left="1" w:firstLine="480" w:firstLineChars="200"/>
        <w:rPr>
          <w:rFonts w:hint="eastAsia"/>
          <w:kern w:val="0"/>
          <w:sz w:val="24"/>
          <w:lang w:val="zh-CN"/>
        </w:rPr>
      </w:pPr>
      <w:r>
        <w:rPr>
          <w:rFonts w:hint="eastAsia" w:cs="Times New Roman"/>
          <w:sz w:val="24"/>
          <w:lang w:val="en-US" w:eastAsia="zh-CN"/>
        </w:rPr>
        <w:t>6.供应商基本情况表</w:t>
      </w:r>
      <w:r>
        <w:rPr>
          <w:rFonts w:ascii="Times New Roman" w:hAnsi="Times New Roman" w:eastAsia="宋体" w:cs="Times New Roman"/>
          <w:sz w:val="24"/>
          <w:lang w:val="zh-CN"/>
        </w:rPr>
        <w:t>（</w:t>
      </w:r>
      <w:r>
        <w:rPr>
          <w:rFonts w:hint="eastAsia" w:ascii="Times New Roman" w:hAnsi="Times New Roman" w:eastAsia="宋体" w:cs="Times New Roman"/>
          <w:sz w:val="24"/>
          <w:lang w:val="zh-CN" w:eastAsia="zh-CN"/>
        </w:rPr>
        <w:t>格式见附件</w:t>
      </w:r>
      <w:r>
        <w:rPr>
          <w:rFonts w:hint="eastAsia" w:cs="Times New Roman"/>
          <w:sz w:val="24"/>
          <w:lang w:val="en-US" w:eastAsia="zh-CN"/>
        </w:rPr>
        <w:t>18</w:t>
      </w:r>
      <w:r>
        <w:rPr>
          <w:rFonts w:ascii="Times New Roman" w:hAnsi="Times New Roman" w:eastAsia="宋体" w:cs="Times New Roman"/>
          <w:sz w:val="24"/>
          <w:lang w:val="zh-CN"/>
        </w:rPr>
        <w:t>）</w:t>
      </w:r>
      <w:r>
        <w:rPr>
          <w:rFonts w:hint="eastAsia" w:ascii="Times New Roman" w:hAnsi="Times New Roman" w:eastAsia="宋体" w:cs="Times New Roman"/>
          <w:sz w:val="24"/>
          <w:lang w:val="zh-CN"/>
        </w:rPr>
        <w:t>。</w:t>
      </w:r>
    </w:p>
    <w:p>
      <w:pPr>
        <w:snapToGrid w:val="0"/>
        <w:spacing w:line="300" w:lineRule="auto"/>
        <w:ind w:firstLine="540" w:firstLineChars="192"/>
        <w:contextualSpacing/>
        <w:rPr>
          <w:rFonts w:hint="eastAsia" w:ascii="宋体" w:hAnsi="宋体" w:cs="宋体"/>
          <w:b/>
          <w:kern w:val="0"/>
          <w:sz w:val="28"/>
          <w:szCs w:val="28"/>
          <w:lang w:val="zh-CN"/>
        </w:rPr>
      </w:pPr>
    </w:p>
    <w:p>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t>附件1</w:t>
      </w:r>
    </w:p>
    <w:p>
      <w:pPr>
        <w:jc w:val="center"/>
        <w:rPr>
          <w:rFonts w:hint="eastAsia" w:ascii="宋体" w:hAnsi="宋体"/>
          <w:b/>
          <w:color w:val="000000"/>
          <w:sz w:val="30"/>
          <w:szCs w:val="30"/>
        </w:rPr>
      </w:pPr>
    </w:p>
    <w:p>
      <w:pPr>
        <w:jc w:val="center"/>
        <w:rPr>
          <w:rFonts w:hint="eastAsia" w:ascii="宋体" w:hAnsi="宋体"/>
          <w:b/>
          <w:color w:val="000000"/>
          <w:sz w:val="30"/>
          <w:szCs w:val="30"/>
        </w:rPr>
      </w:pPr>
      <w:r>
        <w:rPr>
          <w:rFonts w:hint="eastAsia" w:ascii="宋体" w:hAnsi="宋体"/>
          <w:b/>
          <w:color w:val="000000"/>
          <w:sz w:val="30"/>
          <w:szCs w:val="30"/>
        </w:rPr>
        <w:t>供应商符合《政府采购法》第二十二条规定条件的声明函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lang w:val="en-US" w:eastAsia="zh-CN"/>
        </w:rPr>
        <w:t xml:space="preserve">                  </w:t>
      </w:r>
      <w:r>
        <w:rPr>
          <w:rFonts w:hint="eastAsia" w:ascii="宋体" w:hAnsi="宋体"/>
          <w:bCs/>
          <w:color w:val="000000"/>
          <w:sz w:val="24"/>
          <w:szCs w:val="21"/>
        </w:rPr>
        <w:t>（项目名称），</w:t>
      </w:r>
      <w:r>
        <w:rPr>
          <w:rFonts w:hint="eastAsia" w:ascii="宋体" w:hAnsi="宋体"/>
          <w:bCs/>
          <w:color w:val="000000"/>
          <w:sz w:val="24"/>
          <w:szCs w:val="21"/>
          <w:u w:val="single"/>
          <w:lang w:val="en-US" w:eastAsia="zh-CN"/>
        </w:rPr>
        <w:t xml:space="preserve">                 </w:t>
      </w:r>
      <w:r>
        <w:rPr>
          <w:rFonts w:hint="eastAsia" w:ascii="宋体" w:hAnsi="宋体"/>
          <w:bCs/>
          <w:color w:val="000000"/>
          <w:sz w:val="24"/>
          <w:szCs w:val="21"/>
        </w:rPr>
        <w:t>（项目编号）活动。针对《中华人民共和国政府采购法》第二十二条规定做出如下声明：</w:t>
      </w:r>
    </w:p>
    <w:p>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lang w:val="en-US" w:eastAsia="zh-CN"/>
        </w:rPr>
        <w:t>2024</w:t>
      </w:r>
      <w:r>
        <w:rPr>
          <w:rFonts w:hint="eastAsia" w:ascii="宋体" w:hAnsi="宋体"/>
          <w:bCs/>
          <w:color w:val="000000"/>
          <w:sz w:val="24"/>
          <w:szCs w:val="21"/>
        </w:rPr>
        <w:t>年</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月</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ascii="宋体" w:hAnsi="宋体"/>
          <w:sz w:val="24"/>
        </w:rPr>
      </w:pPr>
    </w:p>
    <w:p>
      <w:pPr>
        <w:spacing w:line="480" w:lineRule="exact"/>
        <w:ind w:firstLine="480"/>
        <w:rPr>
          <w:rFonts w:hint="eastAsia" w:ascii="宋体" w:hAnsi="宋体"/>
          <w:sz w:val="24"/>
          <w:lang w:val="en-US" w:eastAsia="zh-CN"/>
        </w:rPr>
      </w:pPr>
      <w:r>
        <w:rPr>
          <w:rFonts w:hint="eastAsia" w:ascii="宋体" w:hAnsi="宋体"/>
          <w:sz w:val="24"/>
          <w:lang w:val="en-US" w:eastAsia="zh-CN"/>
        </w:rPr>
        <w:t xml:space="preserve">                                    响应供应商：</w:t>
      </w:r>
    </w:p>
    <w:p>
      <w:pPr>
        <w:spacing w:line="480" w:lineRule="exact"/>
        <w:ind w:firstLine="480"/>
        <w:rPr>
          <w:rFonts w:hint="default" w:ascii="宋体" w:hAnsi="宋体"/>
          <w:sz w:val="24"/>
          <w:lang w:val="en-US" w:eastAsia="zh-CN"/>
        </w:rPr>
      </w:pPr>
      <w:r>
        <w:rPr>
          <w:rFonts w:hint="eastAsia" w:ascii="宋体" w:hAnsi="宋体"/>
          <w:sz w:val="24"/>
          <w:lang w:val="en-US" w:eastAsia="zh-CN"/>
        </w:rPr>
        <w:t xml:space="preserve">                                     日期：</w:t>
      </w:r>
    </w:p>
    <w:p>
      <w:pPr>
        <w:spacing w:line="600" w:lineRule="exact"/>
        <w:rPr>
          <w:rFonts w:ascii="宋体" w:hAnsi="宋体"/>
          <w:b/>
          <w:sz w:val="24"/>
        </w:rPr>
      </w:pPr>
      <w:r>
        <w:rPr>
          <w:rFonts w:hint="eastAsia" w:ascii="宋体" w:hAnsi="宋体"/>
          <w:b/>
          <w:sz w:val="24"/>
        </w:rPr>
        <w:t>注：提供法定代表人的身份证复印件盖公章</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spacing w:line="560" w:lineRule="exact"/>
        <w:jc w:val="center"/>
        <w:rPr>
          <w:rFonts w:hint="eastAsia" w:ascii="宋体" w:hAnsi="宋体" w:eastAsia="宋体" w:cs="Times New Roman"/>
          <w:b/>
          <w:bCs/>
          <w:sz w:val="32"/>
          <w:szCs w:val="32"/>
        </w:rPr>
      </w:pPr>
      <w:r>
        <w:rPr>
          <w:rFonts w:hint="eastAsia" w:ascii="宋体" w:hAnsi="宋体" w:eastAsia="宋体" w:cs="Times New Roman"/>
          <w:b/>
          <w:bCs/>
          <w:sz w:val="32"/>
          <w:szCs w:val="32"/>
        </w:rPr>
        <w:t>法定代表人授权委托书</w:t>
      </w:r>
    </w:p>
    <w:p>
      <w:pPr>
        <w:rPr>
          <w:rFonts w:ascii="Calibri" w:hAnsi="Calibri"/>
          <w:sz w:val="32"/>
          <w:szCs w:val="32"/>
        </w:rPr>
      </w:pPr>
    </w:p>
    <w:p>
      <w:pPr>
        <w:spacing w:line="360" w:lineRule="auto"/>
        <w:ind w:firstLine="480" w:firstLineChars="200"/>
        <w:rPr>
          <w:rFonts w:ascii="宋体" w:hAnsi="宋体"/>
          <w:sz w:val="24"/>
          <w:szCs w:val="24"/>
        </w:rPr>
      </w:pPr>
      <w:r>
        <w:rPr>
          <w:rFonts w:hint="eastAsia" w:ascii="宋体" w:hAnsi="宋体"/>
          <w:sz w:val="24"/>
          <w:szCs w:val="24"/>
        </w:rPr>
        <w:t>本人</w:t>
      </w:r>
      <w:r>
        <w:rPr>
          <w:rFonts w:hint="eastAsia" w:ascii="宋体" w:hAnsi="宋体"/>
          <w:sz w:val="24"/>
          <w:szCs w:val="24"/>
          <w:u w:val="single"/>
          <w:lang w:val="en-US" w:eastAsia="zh-CN"/>
        </w:rPr>
        <w:t xml:space="preserve">       </w:t>
      </w:r>
      <w:r>
        <w:rPr>
          <w:rFonts w:hint="eastAsia" w:ascii="宋体" w:hAnsi="宋体"/>
          <w:sz w:val="24"/>
          <w:szCs w:val="24"/>
        </w:rPr>
        <w:t>（姓名）系</w:t>
      </w:r>
      <w:r>
        <w:rPr>
          <w:rFonts w:hint="eastAsia" w:ascii="宋体" w:hAnsi="宋体"/>
          <w:sz w:val="24"/>
          <w:szCs w:val="24"/>
          <w:u w:val="single"/>
          <w:lang w:val="en-US" w:eastAsia="zh-CN"/>
        </w:rPr>
        <w:t xml:space="preserve">              </w:t>
      </w:r>
      <w:r>
        <w:rPr>
          <w:rFonts w:hint="eastAsia" w:ascii="宋体" w:hAnsi="宋体"/>
          <w:sz w:val="24"/>
          <w:szCs w:val="24"/>
        </w:rPr>
        <w:t>（授权单位名称）的法定代表人，现委托</w:t>
      </w:r>
      <w:r>
        <w:rPr>
          <w:rFonts w:hint="eastAsia" w:ascii="宋体" w:hAnsi="宋体"/>
          <w:sz w:val="24"/>
          <w:szCs w:val="24"/>
          <w:u w:val="single"/>
          <w:lang w:val="en-US" w:eastAsia="zh-CN"/>
        </w:rPr>
        <w:t xml:space="preserve">       </w:t>
      </w:r>
      <w:r>
        <w:rPr>
          <w:rFonts w:hint="eastAsia" w:ascii="宋体" w:hAnsi="宋体"/>
          <w:sz w:val="24"/>
          <w:szCs w:val="24"/>
        </w:rPr>
        <w:t>（姓名）（身份证号</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rPr>
        <w:t>）为我方代理人，以我方名义全权处理与本次采购项目（编号：</w:t>
      </w:r>
      <w:r>
        <w:rPr>
          <w:rFonts w:hint="eastAsia" w:ascii="宋体" w:hAnsi="宋体"/>
          <w:sz w:val="24"/>
          <w:szCs w:val="24"/>
          <w:u w:val="single"/>
          <w:lang w:val="en-US" w:eastAsia="zh-CN"/>
        </w:rPr>
        <w:t xml:space="preserve">              </w:t>
      </w:r>
      <w:r>
        <w:rPr>
          <w:rFonts w:hint="eastAsia" w:ascii="宋体" w:hAnsi="宋体"/>
          <w:sz w:val="24"/>
          <w:szCs w:val="24"/>
        </w:rPr>
        <w:t>）有关的一切事务，其法律后果由我方承担。</w:t>
      </w:r>
    </w:p>
    <w:p>
      <w:pPr>
        <w:spacing w:line="360" w:lineRule="auto"/>
        <w:ind w:firstLine="480" w:firstLineChars="200"/>
        <w:rPr>
          <w:rFonts w:ascii="宋体" w:hAnsi="宋体"/>
          <w:sz w:val="24"/>
          <w:szCs w:val="24"/>
        </w:rPr>
      </w:pPr>
      <w:r>
        <w:rPr>
          <w:rFonts w:hint="eastAsia" w:ascii="宋体" w:hAnsi="宋体"/>
          <w:sz w:val="24"/>
          <w:szCs w:val="24"/>
        </w:rPr>
        <w:t>本授权书于</w:t>
      </w:r>
      <w:r>
        <w:rPr>
          <w:rFonts w:hint="eastAsia" w:ascii="宋体" w:hAnsi="宋体"/>
          <w:sz w:val="24"/>
          <w:szCs w:val="24"/>
          <w:lang w:val="en-US" w:eastAsia="zh-CN"/>
        </w:rPr>
        <w:t>2024</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日起生效。代理人无转委托权。</w:t>
      </w:r>
    </w:p>
    <w:p>
      <w:pPr>
        <w:spacing w:line="360" w:lineRule="auto"/>
        <w:ind w:firstLine="360" w:firstLineChars="150"/>
        <w:rPr>
          <w:rFonts w:hint="eastAsia" w:ascii="宋体" w:hAnsi="宋体" w:eastAsia="宋体"/>
          <w:sz w:val="24"/>
          <w:szCs w:val="24"/>
          <w:lang w:eastAsia="zh-CN"/>
        </w:rPr>
      </w:pPr>
      <w:r>
        <w:rPr>
          <w:rFonts w:hint="eastAsia" w:ascii="宋体" w:hAnsi="宋体"/>
          <w:sz w:val="24"/>
          <w:szCs w:val="24"/>
        </w:rPr>
        <w:t>代理人(被授权人)</w:t>
      </w:r>
      <w:r>
        <w:rPr>
          <w:rFonts w:hint="eastAsia" w:ascii="宋体" w:hAnsi="宋体"/>
          <w:sz w:val="24"/>
          <w:szCs w:val="24"/>
          <w:lang w:eastAsia="zh-CN"/>
        </w:rPr>
        <w:t>：</w:t>
      </w:r>
    </w:p>
    <w:p>
      <w:pPr>
        <w:spacing w:line="360" w:lineRule="auto"/>
        <w:ind w:firstLine="360" w:firstLineChars="150"/>
        <w:rPr>
          <w:rFonts w:hint="eastAsia" w:ascii="宋体" w:hAnsi="宋体" w:eastAsia="宋体"/>
          <w:sz w:val="24"/>
          <w:szCs w:val="24"/>
          <w:lang w:eastAsia="zh-CN"/>
        </w:rPr>
      </w:pPr>
      <w:r>
        <w:rPr>
          <w:rFonts w:hint="eastAsia" w:ascii="宋体" w:hAnsi="宋体"/>
          <w:sz w:val="24"/>
          <w:szCs w:val="24"/>
        </w:rPr>
        <w:t>授权单位名称（盖章）</w:t>
      </w:r>
      <w:r>
        <w:rPr>
          <w:rFonts w:hint="eastAsia" w:ascii="宋体" w:hAnsi="宋体"/>
          <w:sz w:val="24"/>
          <w:szCs w:val="24"/>
          <w:lang w:eastAsia="zh-CN"/>
        </w:rPr>
        <w:t>：</w:t>
      </w:r>
    </w:p>
    <w:p>
      <w:pPr>
        <w:spacing w:line="360" w:lineRule="auto"/>
        <w:ind w:firstLine="360" w:firstLineChars="150"/>
        <w:rPr>
          <w:rFonts w:hint="eastAsia" w:ascii="宋体" w:hAnsi="宋体" w:eastAsia="宋体"/>
          <w:sz w:val="24"/>
          <w:szCs w:val="24"/>
          <w:lang w:eastAsia="zh-CN"/>
        </w:rPr>
      </w:pPr>
      <w:r>
        <w:rPr>
          <w:rFonts w:hint="eastAsia" w:ascii="宋体" w:hAnsi="宋体"/>
          <w:sz w:val="24"/>
          <w:szCs w:val="24"/>
        </w:rPr>
        <w:t>授权单位法定代表人（签字或盖章）</w:t>
      </w:r>
      <w:r>
        <w:rPr>
          <w:rFonts w:hint="eastAsia" w:ascii="宋体" w:hAnsi="宋体"/>
          <w:sz w:val="24"/>
          <w:szCs w:val="24"/>
          <w:lang w:eastAsia="zh-CN"/>
        </w:rPr>
        <w:t>：</w:t>
      </w:r>
    </w:p>
    <w:p>
      <w:pPr>
        <w:spacing w:line="360" w:lineRule="auto"/>
        <w:jc w:val="right"/>
        <w:rPr>
          <w:rFonts w:ascii="宋体" w:hAnsi="宋体"/>
          <w:sz w:val="24"/>
          <w:szCs w:val="24"/>
        </w:rPr>
      </w:pPr>
    </w:p>
    <w:p>
      <w:pPr>
        <w:spacing w:line="360" w:lineRule="auto"/>
        <w:jc w:val="right"/>
        <w:rPr>
          <w:rFonts w:ascii="宋体" w:hAnsi="宋体"/>
          <w:sz w:val="28"/>
          <w:szCs w:val="28"/>
        </w:rPr>
      </w:pPr>
      <w:r>
        <w:rPr>
          <w:rFonts w:hint="eastAsia" w:ascii="宋体" w:hAnsi="宋体"/>
          <w:bCs/>
          <w:color w:val="000000"/>
          <w:sz w:val="24"/>
          <w:szCs w:val="21"/>
        </w:rPr>
        <w:t>日期：</w:t>
      </w:r>
      <w:r>
        <w:rPr>
          <w:rFonts w:hint="eastAsia" w:ascii="宋体" w:hAnsi="宋体"/>
          <w:bCs/>
          <w:color w:val="000000"/>
          <w:sz w:val="24"/>
          <w:szCs w:val="21"/>
          <w:lang w:val="en-US" w:eastAsia="zh-CN"/>
        </w:rPr>
        <w:t>2024</w:t>
      </w:r>
      <w:r>
        <w:rPr>
          <w:rFonts w:hint="eastAsia" w:ascii="宋体" w:hAnsi="宋体"/>
          <w:bCs/>
          <w:color w:val="000000"/>
          <w:sz w:val="24"/>
          <w:szCs w:val="21"/>
        </w:rPr>
        <w:t>年</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月</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日</w:t>
      </w:r>
    </w:p>
    <w:p>
      <w:pPr>
        <w:snapToGrid w:val="0"/>
        <w:spacing w:line="400" w:lineRule="exact"/>
        <w:ind w:firstLine="540" w:firstLineChars="192"/>
        <w:contextualSpacing/>
        <w:rPr>
          <w:rFonts w:hint="eastAsia" w:ascii="宋体" w:hAnsi="宋体" w:cs="宋体"/>
          <w:b/>
          <w:kern w:val="0"/>
          <w:sz w:val="28"/>
          <w:szCs w:val="28"/>
        </w:rPr>
      </w:pPr>
    </w:p>
    <w:p>
      <w:pPr>
        <w:snapToGrid w:val="0"/>
        <w:spacing w:line="400" w:lineRule="exact"/>
        <w:ind w:firstLine="463" w:firstLineChars="192"/>
        <w:contextualSpacing/>
        <w:rPr>
          <w:rFonts w:hint="eastAsia" w:ascii="宋体" w:hAnsi="宋体" w:cs="宋体"/>
          <w:b/>
          <w:kern w:val="0"/>
          <w:sz w:val="28"/>
          <w:szCs w:val="28"/>
        </w:rPr>
      </w:pPr>
      <w:r>
        <w:rPr>
          <w:rFonts w:hint="eastAsia" w:ascii="宋体" w:hAnsi="宋体" w:cs="宋体"/>
          <w:b/>
          <w:kern w:val="0"/>
          <w:sz w:val="24"/>
          <w:szCs w:val="24"/>
        </w:rPr>
        <w:t>注：提供磋商</w:t>
      </w:r>
      <w:r>
        <w:rPr>
          <w:rFonts w:ascii="宋体" w:hAnsi="宋体" w:cs="宋体"/>
          <w:b/>
          <w:kern w:val="0"/>
          <w:sz w:val="24"/>
          <w:szCs w:val="24"/>
        </w:rPr>
        <w:t>代表本人身份证复印件</w:t>
      </w:r>
      <w:r>
        <w:rPr>
          <w:rFonts w:hint="eastAsia" w:ascii="宋体" w:hAnsi="宋体" w:cs="宋体"/>
          <w:b/>
          <w:kern w:val="0"/>
          <w:sz w:val="24"/>
          <w:szCs w:val="24"/>
        </w:rPr>
        <w:t>盖公章</w:t>
      </w:r>
    </w:p>
    <w:p>
      <w:pPr>
        <w:pStyle w:val="18"/>
        <w:spacing w:line="560" w:lineRule="exact"/>
        <w:rPr>
          <w:b/>
          <w:bCs/>
          <w:sz w:val="32"/>
          <w:szCs w:val="32"/>
        </w:rPr>
      </w:pPr>
      <w:r>
        <w:rPr>
          <w:b/>
          <w:bCs/>
          <w:sz w:val="32"/>
          <w:szCs w:val="32"/>
        </w:rPr>
        <w:br w:type="page"/>
      </w:r>
      <w:r>
        <w:rPr>
          <w:b/>
          <w:bCs/>
          <w:sz w:val="32"/>
          <w:szCs w:val="32"/>
        </w:rPr>
        <w:t xml:space="preserve">附件4 </w:t>
      </w:r>
    </w:p>
    <w:p>
      <w:pPr>
        <w:keepNext w:val="0"/>
        <w:keepLines w:val="0"/>
        <w:pageBreakBefore w:val="0"/>
        <w:widowControl w:val="0"/>
        <w:kinsoku/>
        <w:wordWrap/>
        <w:overflowPunct/>
        <w:topLinePunct w:val="0"/>
        <w:autoSpaceDE/>
        <w:autoSpaceDN/>
        <w:bidi w:val="0"/>
        <w:adjustRightInd/>
        <w:spacing w:before="240" w:line="360" w:lineRule="auto"/>
        <w:jc w:val="center"/>
        <w:textAlignment w:val="auto"/>
        <w:rPr>
          <w:b/>
          <w:sz w:val="32"/>
          <w:szCs w:val="32"/>
          <w:lang w:bidi="ar"/>
        </w:rPr>
      </w:pPr>
      <w:r>
        <w:rPr>
          <w:b/>
          <w:sz w:val="32"/>
          <w:szCs w:val="32"/>
          <w:lang w:bidi="ar"/>
        </w:rPr>
        <w:t>供应商信用承诺书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为营造公开、公平、公正的公共资源交易环境，树立诚信守法的投标人形象，本人代表本单位作出以下承诺：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一、本单位对所提交的单位基本信息、单位负责人、项目负责人、技术负责人、从业资质和资格、业绩、财务状况、信誉等所有资料，均合法、真实、准确、有效，无任何伪造、修改、虚假成分；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二、严格依照国家和省、市、县关于政府采购等方面的法律、法规、规章、规范性文件，参加公共资源交易招标投标活动；积极履行社会责任，促进廉政建设；</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三、严格遵守即时信息公示规定，及时更新公共资源交易中心主体信息库中信息；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四、自我约束、自我管理，守合同、重信用，不参与围标串标、弄虚作假、骗取中标、干扰评标、违约毁约、恶意投诉等行为，主动维护公共资源交易招标投标的良好秩序；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六、自觉接受政府部门、行业组织、社会公众、新闻舆论等监督；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lang w:val="zh-CN"/>
        </w:rPr>
      </w:pPr>
      <w:r>
        <w:rPr>
          <w:sz w:val="24"/>
          <w:lang w:val="zh-CN" w:bidi="ar"/>
        </w:rPr>
        <w:t>七、上述承诺已向本单位员工作了宣传教育；</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b/>
          <w:sz w:val="24"/>
          <w:lang w:val="zh-CN"/>
        </w:rPr>
      </w:pPr>
      <w:r>
        <w:rPr>
          <w:b/>
          <w:sz w:val="24"/>
          <w:lang w:val="zh-CN" w:bidi="ar"/>
        </w:rPr>
        <w:t>如有违反上述承诺的不良行为，本单位同意将其予以上网公示。</w:t>
      </w:r>
    </w:p>
    <w:p>
      <w:pPr>
        <w:keepNext w:val="0"/>
        <w:keepLines w:val="0"/>
        <w:pageBreakBefore w:val="0"/>
        <w:widowControl w:val="0"/>
        <w:kinsoku/>
        <w:wordWrap/>
        <w:overflowPunct/>
        <w:topLinePunct w:val="0"/>
        <w:autoSpaceDE/>
        <w:autoSpaceDN/>
        <w:bidi w:val="0"/>
        <w:adjustRightInd/>
        <w:spacing w:line="360" w:lineRule="auto"/>
        <w:textAlignment w:val="auto"/>
        <w:rPr>
          <w:lang w:val="zh-CN"/>
        </w:rPr>
      </w:pPr>
    </w:p>
    <w:p>
      <w:pPr>
        <w:keepNext w:val="0"/>
        <w:keepLines w:val="0"/>
        <w:pageBreakBefore w:val="0"/>
        <w:widowControl w:val="0"/>
        <w:kinsoku/>
        <w:wordWrap/>
        <w:overflowPunct/>
        <w:topLinePunct w:val="0"/>
        <w:autoSpaceDE/>
        <w:autoSpaceDN/>
        <w:bidi w:val="0"/>
        <w:adjustRightInd/>
        <w:spacing w:line="360" w:lineRule="auto"/>
        <w:ind w:firstLine="3990" w:firstLineChars="1900"/>
        <w:textAlignment w:val="auto"/>
        <w:rPr>
          <w:lang w:val="zh-CN"/>
        </w:rPr>
      </w:pPr>
    </w:p>
    <w:p>
      <w:pPr>
        <w:keepNext w:val="0"/>
        <w:keepLines w:val="0"/>
        <w:pageBreakBefore w:val="0"/>
        <w:widowControl w:val="0"/>
        <w:kinsoku/>
        <w:wordWrap/>
        <w:overflowPunct/>
        <w:topLinePunct w:val="0"/>
        <w:autoSpaceDE/>
        <w:autoSpaceDN/>
        <w:bidi w:val="0"/>
        <w:adjustRightInd/>
        <w:spacing w:line="360" w:lineRule="auto"/>
        <w:ind w:firstLine="2640" w:firstLineChars="1100"/>
        <w:textAlignment w:val="auto"/>
        <w:rPr>
          <w:sz w:val="24"/>
          <w:szCs w:val="24"/>
          <w:u w:val="single"/>
          <w:lang w:val="zh-CN"/>
        </w:rPr>
      </w:pPr>
      <w:r>
        <w:rPr>
          <w:rFonts w:hint="eastAsia"/>
          <w:sz w:val="24"/>
          <w:szCs w:val="24"/>
          <w:lang w:val="zh-CN" w:bidi="ar"/>
        </w:rPr>
        <w:t>响应</w:t>
      </w:r>
      <w:r>
        <w:rPr>
          <w:sz w:val="24"/>
          <w:szCs w:val="24"/>
          <w:lang w:val="zh-CN" w:bidi="ar"/>
        </w:rPr>
        <w:t>供应商全称</w:t>
      </w:r>
      <w:r>
        <w:rPr>
          <w:rFonts w:hint="eastAsia"/>
          <w:sz w:val="24"/>
          <w:szCs w:val="24"/>
          <w:lang w:val="zh-CN" w:bidi="ar"/>
        </w:rPr>
        <w:t>（</w:t>
      </w:r>
      <w:r>
        <w:rPr>
          <w:sz w:val="24"/>
          <w:szCs w:val="24"/>
          <w:lang w:val="zh-CN" w:bidi="ar"/>
        </w:rPr>
        <w:t>盖公章</w:t>
      </w:r>
      <w:r>
        <w:rPr>
          <w:rFonts w:hint="eastAsia"/>
          <w:sz w:val="24"/>
          <w:szCs w:val="24"/>
          <w:lang w:val="zh-CN" w:bidi="ar"/>
        </w:rPr>
        <w:t>）</w:t>
      </w:r>
      <w:r>
        <w:rPr>
          <w:sz w:val="24"/>
          <w:szCs w:val="24"/>
          <w:lang w:val="zh-CN" w:bidi="ar"/>
        </w:rPr>
        <w:t>：</w:t>
      </w:r>
    </w:p>
    <w:p>
      <w:pPr>
        <w:keepNext w:val="0"/>
        <w:keepLines w:val="0"/>
        <w:pageBreakBefore w:val="0"/>
        <w:widowControl w:val="0"/>
        <w:kinsoku/>
        <w:wordWrap/>
        <w:overflowPunct/>
        <w:topLinePunct w:val="0"/>
        <w:autoSpaceDE/>
        <w:autoSpaceDN/>
        <w:bidi w:val="0"/>
        <w:adjustRightInd/>
        <w:spacing w:line="360" w:lineRule="auto"/>
        <w:ind w:firstLine="2640" w:firstLineChars="1100"/>
        <w:textAlignment w:val="auto"/>
        <w:rPr>
          <w:sz w:val="24"/>
          <w:szCs w:val="24"/>
          <w:u w:val="single"/>
          <w:lang w:val="zh-CN"/>
        </w:rPr>
      </w:pPr>
      <w:r>
        <w:rPr>
          <w:sz w:val="24"/>
          <w:szCs w:val="24"/>
          <w:lang w:val="zh-CN" w:bidi="ar"/>
        </w:rPr>
        <w:t>法定代表人（签字或盖章</w:t>
      </w:r>
      <w:r>
        <w:rPr>
          <w:rFonts w:hint="eastAsia"/>
          <w:sz w:val="24"/>
          <w:szCs w:val="24"/>
          <w:lang w:val="zh-CN" w:bidi="ar"/>
        </w:rPr>
        <w:t>）</w:t>
      </w:r>
      <w:r>
        <w:rPr>
          <w:sz w:val="24"/>
          <w:szCs w:val="24"/>
          <w:lang w:val="zh-CN" w:bidi="ar"/>
        </w:rPr>
        <w:t>：</w:t>
      </w:r>
    </w:p>
    <w:p>
      <w:pPr>
        <w:keepNext w:val="0"/>
        <w:keepLines w:val="0"/>
        <w:pageBreakBefore w:val="0"/>
        <w:widowControl w:val="0"/>
        <w:kinsoku/>
        <w:wordWrap/>
        <w:overflowPunct/>
        <w:topLinePunct w:val="0"/>
        <w:autoSpaceDE/>
        <w:autoSpaceDN/>
        <w:bidi w:val="0"/>
        <w:adjustRightInd/>
        <w:spacing w:line="360" w:lineRule="auto"/>
        <w:ind w:firstLine="2640" w:firstLineChars="1100"/>
        <w:textAlignment w:val="auto"/>
        <w:rPr>
          <w:sz w:val="28"/>
          <w:szCs w:val="28"/>
          <w:lang w:val="zh-CN"/>
        </w:rPr>
      </w:pPr>
      <w:r>
        <w:rPr>
          <w:rFonts w:hint="eastAsia" w:ascii="宋体" w:hAnsi="宋体"/>
          <w:bCs/>
          <w:color w:val="000000"/>
          <w:sz w:val="24"/>
          <w:szCs w:val="21"/>
        </w:rPr>
        <w:t>日期：</w:t>
      </w:r>
      <w:r>
        <w:rPr>
          <w:rFonts w:hint="eastAsia" w:ascii="宋体" w:hAnsi="宋体"/>
          <w:bCs/>
          <w:color w:val="000000"/>
          <w:sz w:val="24"/>
          <w:szCs w:val="21"/>
          <w:lang w:val="en-US" w:eastAsia="zh-CN"/>
        </w:rPr>
        <w:t>2024</w:t>
      </w:r>
      <w:r>
        <w:rPr>
          <w:rFonts w:hint="eastAsia" w:ascii="宋体" w:hAnsi="宋体"/>
          <w:bCs/>
          <w:color w:val="000000"/>
          <w:sz w:val="24"/>
          <w:szCs w:val="21"/>
        </w:rPr>
        <w:t>年</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月</w:t>
      </w:r>
      <w:r>
        <w:rPr>
          <w:rFonts w:hint="eastAsia" w:ascii="宋体" w:hAnsi="宋体"/>
          <w:bCs/>
          <w:color w:val="000000"/>
          <w:sz w:val="24"/>
          <w:szCs w:val="21"/>
          <w:u w:val="none"/>
          <w:lang w:val="en-US" w:eastAsia="zh-CN"/>
        </w:rPr>
        <w:t xml:space="preserve">   </w:t>
      </w:r>
      <w:r>
        <w:rPr>
          <w:rFonts w:hint="eastAsia" w:ascii="宋体" w:hAnsi="宋体"/>
          <w:bCs/>
          <w:color w:val="000000"/>
          <w:sz w:val="24"/>
          <w:szCs w:val="21"/>
        </w:rPr>
        <w:t>日</w:t>
      </w:r>
    </w:p>
    <w:p>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eastAsia="方正黑体_GBK"/>
          <w:kern w:val="0"/>
          <w:sz w:val="32"/>
          <w:szCs w:val="32"/>
        </w:rPr>
        <w:sectPr>
          <w:headerReference r:id="rId5"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pPr>
    </w:p>
    <w:p>
      <w:pPr>
        <w:snapToGrid w:val="0"/>
        <w:spacing w:line="400" w:lineRule="exact"/>
        <w:contextualSpacing/>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5</w:t>
      </w:r>
    </w:p>
    <w:p>
      <w:pPr>
        <w:jc w:val="center"/>
        <w:rPr>
          <w:rFonts w:hint="eastAsia" w:ascii="宋体" w:hAnsi="宋体"/>
          <w:b/>
          <w:color w:val="000000"/>
          <w:sz w:val="30"/>
          <w:szCs w:val="30"/>
        </w:rPr>
      </w:pPr>
      <w:r>
        <w:rPr>
          <w:rFonts w:hint="eastAsia" w:ascii="宋体" w:hAnsi="宋体"/>
          <w:b/>
          <w:color w:val="000000"/>
          <w:sz w:val="30"/>
          <w:szCs w:val="30"/>
        </w:rPr>
        <w:t>承</w:t>
      </w:r>
      <w:r>
        <w:rPr>
          <w:rFonts w:hint="eastAsia" w:ascii="宋体" w:hAnsi="宋体"/>
          <w:b/>
          <w:color w:val="000000"/>
          <w:sz w:val="30"/>
          <w:szCs w:val="30"/>
          <w:lang w:val="en-US" w:eastAsia="zh-CN"/>
        </w:rPr>
        <w:t xml:space="preserve"> </w:t>
      </w:r>
      <w:r>
        <w:rPr>
          <w:rFonts w:hint="eastAsia" w:ascii="宋体" w:hAnsi="宋体"/>
          <w:b/>
          <w:color w:val="000000"/>
          <w:sz w:val="30"/>
          <w:szCs w:val="30"/>
        </w:rPr>
        <w:t>诺</w:t>
      </w:r>
      <w:r>
        <w:rPr>
          <w:rFonts w:hint="eastAsia" w:ascii="宋体" w:hAnsi="宋体"/>
          <w:b/>
          <w:color w:val="000000"/>
          <w:sz w:val="30"/>
          <w:szCs w:val="30"/>
          <w:lang w:val="en-US" w:eastAsia="zh-CN"/>
        </w:rPr>
        <w:t xml:space="preserve"> </w:t>
      </w:r>
      <w:r>
        <w:rPr>
          <w:rFonts w:hint="eastAsia" w:ascii="宋体" w:hAnsi="宋体"/>
          <w:b/>
          <w:color w:val="000000"/>
          <w:sz w:val="30"/>
          <w:szCs w:val="30"/>
        </w:rPr>
        <w:t>书</w:t>
      </w:r>
    </w:p>
    <w:p>
      <w:pPr>
        <w:keepNext w:val="0"/>
        <w:keepLines w:val="0"/>
        <w:pageBreakBefore w:val="0"/>
        <w:widowControl w:val="0"/>
        <w:spacing w:line="360" w:lineRule="auto"/>
        <w:jc w:val="both"/>
        <w:rPr>
          <w:rFonts w:ascii="宋体" w:hAnsi="宋体" w:eastAsia="宋体" w:cs="宋体"/>
          <w:color w:val="auto"/>
          <w:spacing w:val="0"/>
          <w:sz w:val="30"/>
          <w:szCs w:val="30"/>
          <w:highlight w:val="none"/>
          <w:u w:val="single"/>
        </w:rPr>
      </w:pPr>
    </w:p>
    <w:p>
      <w:pPr>
        <w:keepNext w:val="0"/>
        <w:keepLines w:val="0"/>
        <w:pageBreakBefore w:val="0"/>
        <w:widowControl w:val="0"/>
        <w:spacing w:line="360" w:lineRule="auto"/>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w:t>
      </w:r>
    </w:p>
    <w:p>
      <w:pPr>
        <w:keepNext w:val="0"/>
        <w:keepLines w:val="0"/>
        <w:pageBreakBefore w:val="0"/>
        <w:widowControl w:val="0"/>
        <w:spacing w:line="360" w:lineRule="auto"/>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我单位有幸参加</w:t>
      </w:r>
      <w:r>
        <w:rPr>
          <w:sz w:val="24"/>
        </w:rPr>
        <w:t>________（</w:t>
      </w:r>
      <w:r>
        <w:rPr>
          <w:rFonts w:hint="eastAsia"/>
          <w:sz w:val="24"/>
          <w:lang w:val="en-US" w:eastAsia="zh-CN"/>
        </w:rPr>
        <w:t>采购</w:t>
      </w:r>
      <w:r>
        <w:rPr>
          <w:sz w:val="24"/>
        </w:rPr>
        <w:t>项目名称、项目编号</w:t>
      </w:r>
      <w:r>
        <w:rPr>
          <w:rFonts w:hint="eastAsia"/>
          <w:sz w:val="24"/>
          <w:lang w:eastAsia="zh-CN"/>
        </w:rPr>
        <w:t>）</w:t>
      </w:r>
      <w:r>
        <w:rPr>
          <w:rFonts w:hint="eastAsia" w:ascii="宋体" w:hAnsi="宋体" w:eastAsia="宋体" w:cs="宋体"/>
          <w:color w:val="auto"/>
          <w:spacing w:val="0"/>
          <w:sz w:val="24"/>
          <w:szCs w:val="24"/>
          <w:highlight w:val="none"/>
        </w:rPr>
        <w:t>的招投标活动，在此承诺如下：</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1.投标项目经理部人员全部为本单位正式上岗人员；</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2.本工程不串通投标、不转包、不违法分包、不私招乱雇人员，并向管理部门提供自有劳务人员名单；</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3.总承包单位专业（劳务）分包，或专业公司劳务分包按规定办理分包合同备案手续；</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4.按要求办理民工维权告示牌、民工劳动计酬手册及民工上岗胸牌；</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5遵守廉洁相关规定，不向招投标各方主体及监管部门行贿、受贿；</w:t>
      </w:r>
    </w:p>
    <w:p>
      <w:pPr>
        <w:keepNext w:val="0"/>
        <w:keepLines w:val="0"/>
        <w:pageBreakBefore w:val="0"/>
        <w:widowControl w:val="0"/>
        <w:spacing w:line="360" w:lineRule="auto"/>
        <w:ind w:firstLine="420"/>
        <w:jc w:val="both"/>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6.选派建造师在开标前无在建工程。</w:t>
      </w:r>
    </w:p>
    <w:p>
      <w:pPr>
        <w:keepNext w:val="0"/>
        <w:keepLines w:val="0"/>
        <w:pageBreakBefore w:val="0"/>
        <w:widowControl w:val="0"/>
        <w:spacing w:line="360" w:lineRule="auto"/>
        <w:outlineLvl w:val="4"/>
        <w:rPr>
          <w:bCs/>
          <w:sz w:val="24"/>
        </w:rPr>
      </w:pPr>
      <w:r>
        <w:rPr>
          <w:rFonts w:hint="eastAsia" w:ascii="宋体" w:hAnsi="宋体" w:eastAsia="宋体" w:cs="宋体"/>
          <w:color w:val="auto"/>
          <w:spacing w:val="0"/>
          <w:sz w:val="24"/>
          <w:szCs w:val="24"/>
          <w:highlight w:val="none"/>
        </w:rPr>
        <w:t>以上承诺如有违反，愿自动放弃本次投标，接受相关部门处罚。</w:t>
      </w:r>
    </w:p>
    <w:p>
      <w:pPr>
        <w:keepNext w:val="0"/>
        <w:keepLines w:val="0"/>
        <w:pageBreakBefore w:val="0"/>
        <w:widowControl w:val="0"/>
        <w:spacing w:line="360" w:lineRule="auto"/>
        <w:rPr>
          <w:rFonts w:hint="eastAsia" w:ascii="宋体" w:hAnsi="宋体"/>
          <w:b/>
          <w:color w:val="000000"/>
          <w:sz w:val="30"/>
          <w:szCs w:val="30"/>
        </w:rPr>
      </w:pPr>
    </w:p>
    <w:p>
      <w:pPr>
        <w:keepNext w:val="0"/>
        <w:keepLines w:val="0"/>
        <w:pageBreakBefore w:val="0"/>
        <w:widowControl w:val="0"/>
        <w:spacing w:line="360" w:lineRule="auto"/>
        <w:jc w:val="center"/>
        <w:outlineLvl w:val="4"/>
        <w:rPr>
          <w:bCs/>
          <w:sz w:val="24"/>
        </w:rPr>
      </w:pPr>
      <w:r>
        <w:rPr>
          <w:rFonts w:hint="eastAsia"/>
          <w:bCs/>
          <w:sz w:val="24"/>
        </w:rPr>
        <w:t>响应</w:t>
      </w:r>
      <w:r>
        <w:rPr>
          <w:bCs/>
          <w:sz w:val="24"/>
        </w:rPr>
        <w:t>供应商：（加盖公章）</w:t>
      </w:r>
    </w:p>
    <w:p>
      <w:pPr>
        <w:keepNext w:val="0"/>
        <w:keepLines w:val="0"/>
        <w:pageBreakBefore w:val="0"/>
        <w:widowControl w:val="0"/>
        <w:spacing w:line="360" w:lineRule="auto"/>
        <w:jc w:val="center"/>
        <w:outlineLvl w:val="4"/>
        <w:rPr>
          <w:bCs/>
          <w:sz w:val="24"/>
        </w:rPr>
      </w:pPr>
      <w:r>
        <w:rPr>
          <w:bCs/>
          <w:sz w:val="24"/>
        </w:rPr>
        <w:t xml:space="preserve">            法定代表人或被授权人：（签字或盖章）</w:t>
      </w:r>
    </w:p>
    <w:p>
      <w:pPr>
        <w:rPr>
          <w:b/>
          <w:sz w:val="32"/>
          <w:szCs w:val="32"/>
        </w:rPr>
      </w:pPr>
      <w:r>
        <w:rPr>
          <w:bCs/>
          <w:sz w:val="24"/>
        </w:rPr>
        <w:t xml:space="preserve">                       </w:t>
      </w:r>
      <w:r>
        <w:rPr>
          <w:bCs/>
          <w:sz w:val="24"/>
          <w:lang w:val="zh-CN"/>
        </w:rPr>
        <w:t>时间：</w:t>
      </w:r>
      <w:r>
        <w:rPr>
          <w:rFonts w:hint="eastAsia"/>
          <w:bCs/>
          <w:sz w:val="24"/>
          <w:lang w:val="en-US" w:eastAsia="zh-CN"/>
        </w:rPr>
        <w:t>2024</w:t>
      </w:r>
      <w:r>
        <w:rPr>
          <w:bCs/>
          <w:sz w:val="24"/>
          <w:lang w:val="zh-CN"/>
        </w:rPr>
        <w:t>年  月   日</w:t>
      </w:r>
    </w:p>
    <w:p>
      <w:pPr>
        <w:snapToGrid w:val="0"/>
        <w:spacing w:line="300" w:lineRule="auto"/>
        <w:contextualSpacing/>
        <w:jc w:val="center"/>
        <w:rPr>
          <w:b/>
          <w:sz w:val="32"/>
          <w:szCs w:val="32"/>
        </w:rPr>
      </w:pPr>
    </w:p>
    <w:p>
      <w:pPr>
        <w:snapToGrid w:val="0"/>
        <w:spacing w:line="300" w:lineRule="auto"/>
        <w:contextualSpacing/>
        <w:jc w:val="center"/>
        <w:rPr>
          <w:b/>
          <w:sz w:val="32"/>
          <w:szCs w:val="32"/>
        </w:rPr>
      </w:pPr>
    </w:p>
    <w:p>
      <w:pPr>
        <w:rPr>
          <w:b/>
          <w:sz w:val="32"/>
          <w:szCs w:val="32"/>
        </w:rPr>
      </w:pPr>
      <w:r>
        <w:rPr>
          <w:b/>
          <w:sz w:val="32"/>
          <w:szCs w:val="32"/>
        </w:rPr>
        <w:br w:type="page"/>
      </w:r>
    </w:p>
    <w:p>
      <w:pPr>
        <w:snapToGrid w:val="0"/>
        <w:spacing w:line="300" w:lineRule="auto"/>
        <w:contextualSpacing/>
        <w:jc w:val="left"/>
        <w:rPr>
          <w:b/>
          <w:sz w:val="32"/>
          <w:szCs w:val="32"/>
        </w:rPr>
      </w:pPr>
      <w:r>
        <w:rPr>
          <w:rFonts w:eastAsia="方正黑体_GBK"/>
          <w:sz w:val="32"/>
          <w:szCs w:val="32"/>
        </w:rPr>
        <w:t>附件</w:t>
      </w:r>
      <w:r>
        <w:rPr>
          <w:rFonts w:hint="eastAsia" w:eastAsia="方正黑体_GBK"/>
          <w:sz w:val="32"/>
          <w:szCs w:val="32"/>
          <w:lang w:val="en-US" w:eastAsia="zh-CN"/>
        </w:rPr>
        <w:t>6</w:t>
      </w:r>
    </w:p>
    <w:p>
      <w:pPr>
        <w:snapToGrid w:val="0"/>
        <w:spacing w:line="300" w:lineRule="auto"/>
        <w:contextualSpacing/>
        <w:jc w:val="center"/>
        <w:rPr>
          <w:b/>
          <w:sz w:val="32"/>
          <w:szCs w:val="32"/>
        </w:rPr>
      </w:pPr>
      <w:r>
        <w:rPr>
          <w:b/>
          <w:sz w:val="32"/>
          <w:szCs w:val="32"/>
        </w:rPr>
        <w:t>现场勘察承诺函</w:t>
      </w:r>
    </w:p>
    <w:p>
      <w:pPr>
        <w:snapToGrid w:val="0"/>
        <w:spacing w:line="520" w:lineRule="exact"/>
        <w:jc w:val="center"/>
        <w:outlineLvl w:val="4"/>
        <w:rPr>
          <w:b/>
          <w:bCs/>
          <w:sz w:val="24"/>
        </w:rPr>
      </w:pPr>
    </w:p>
    <w:p>
      <w:pPr>
        <w:snapToGrid w:val="0"/>
        <w:spacing w:line="520" w:lineRule="exact"/>
        <w:jc w:val="left"/>
        <w:outlineLvl w:val="4"/>
        <w:rPr>
          <w:sz w:val="24"/>
        </w:rPr>
      </w:pPr>
      <w:r>
        <w:rPr>
          <w:sz w:val="24"/>
          <w:u w:val="single"/>
        </w:rPr>
        <w:t xml:space="preserve">   </w:t>
      </w:r>
      <w:r>
        <w:rPr>
          <w:rFonts w:hint="eastAsia"/>
          <w:sz w:val="24"/>
          <w:u w:val="single"/>
          <w:lang w:val="en-US" w:eastAsia="zh-CN"/>
        </w:rPr>
        <w:t xml:space="preserve">             </w:t>
      </w:r>
      <w:r>
        <w:rPr>
          <w:sz w:val="24"/>
          <w:u w:val="single"/>
        </w:rPr>
        <w:t xml:space="preserve"> </w:t>
      </w:r>
      <w:r>
        <w:rPr>
          <w:sz w:val="24"/>
          <w:u w:val="none"/>
        </w:rPr>
        <w:t>（采购人）：</w:t>
      </w:r>
    </w:p>
    <w:p>
      <w:pPr>
        <w:snapToGrid w:val="0"/>
        <w:spacing w:line="520" w:lineRule="exact"/>
        <w:ind w:firstLine="480" w:firstLineChars="200"/>
        <w:jc w:val="left"/>
        <w:outlineLvl w:val="4"/>
        <w:rPr>
          <w:sz w:val="24"/>
        </w:rPr>
      </w:pPr>
      <w:r>
        <w:rPr>
          <w:sz w:val="24"/>
        </w:rPr>
        <w:t>依据贵单位________（</w:t>
      </w:r>
      <w:r>
        <w:rPr>
          <w:rFonts w:hint="eastAsia"/>
          <w:sz w:val="24"/>
          <w:lang w:val="en-US" w:eastAsia="zh-CN"/>
        </w:rPr>
        <w:t>采购</w:t>
      </w:r>
      <w:r>
        <w:rPr>
          <w:sz w:val="24"/>
        </w:rPr>
        <w:t>项目名称、项目编号)项目</w:t>
      </w:r>
      <w:r>
        <w:rPr>
          <w:rFonts w:hint="eastAsia"/>
          <w:sz w:val="24"/>
          <w:lang w:val="en-US" w:eastAsia="zh-CN"/>
        </w:rPr>
        <w:t>采购</w:t>
      </w:r>
      <w:r>
        <w:rPr>
          <w:sz w:val="24"/>
        </w:rPr>
        <w:t>文件的要求。我方已于202</w:t>
      </w:r>
      <w:r>
        <w:rPr>
          <w:sz w:val="24"/>
          <w:u w:val="single"/>
        </w:rPr>
        <w:t xml:space="preserve">  </w:t>
      </w:r>
      <w:r>
        <w:rPr>
          <w:sz w:val="24"/>
        </w:rPr>
        <w:t>年__月__日对该项目进行了现场勘察，现就现场勘察情况做如下承诺：</w:t>
      </w:r>
    </w:p>
    <w:p>
      <w:pPr>
        <w:snapToGrid w:val="0"/>
        <w:spacing w:line="520" w:lineRule="exact"/>
        <w:ind w:firstLine="480" w:firstLineChars="200"/>
        <w:jc w:val="left"/>
        <w:outlineLvl w:val="4"/>
        <w:rPr>
          <w:sz w:val="24"/>
        </w:rPr>
      </w:pPr>
      <w:r>
        <w:rPr>
          <w:sz w:val="24"/>
        </w:rPr>
        <w:t>1</w:t>
      </w:r>
      <w:r>
        <w:rPr>
          <w:rFonts w:hint="eastAsia"/>
          <w:sz w:val="24"/>
          <w:lang w:val="en-US" w:eastAsia="zh-CN"/>
        </w:rPr>
        <w:t>.</w:t>
      </w:r>
      <w:r>
        <w:rPr>
          <w:sz w:val="24"/>
        </w:rPr>
        <w:t>经现场勘察，我方已熟悉与该项目相关的供货及安装现场、施工环境、现场周围交通道路等所有情况。</w:t>
      </w:r>
    </w:p>
    <w:p>
      <w:pPr>
        <w:snapToGrid w:val="0"/>
        <w:spacing w:line="520" w:lineRule="exact"/>
        <w:ind w:firstLine="480" w:firstLineChars="200"/>
        <w:jc w:val="left"/>
        <w:outlineLvl w:val="4"/>
        <w:rPr>
          <w:sz w:val="24"/>
        </w:rPr>
      </w:pPr>
      <w:r>
        <w:rPr>
          <w:sz w:val="24"/>
        </w:rPr>
        <w:t>2</w:t>
      </w:r>
      <w:r>
        <w:rPr>
          <w:rFonts w:hint="eastAsia"/>
          <w:sz w:val="24"/>
          <w:lang w:val="en-US" w:eastAsia="zh-CN"/>
        </w:rPr>
        <w:t>.</w:t>
      </w:r>
      <w:r>
        <w:rPr>
          <w:sz w:val="24"/>
        </w:rPr>
        <w:t>我方承诺自行承担本次现场勘察所发生的所有费用并承担勘察现场的相关责任和风险。</w:t>
      </w:r>
    </w:p>
    <w:p>
      <w:pPr>
        <w:snapToGrid w:val="0"/>
        <w:spacing w:line="520" w:lineRule="exact"/>
        <w:ind w:firstLine="480" w:firstLineChars="200"/>
        <w:jc w:val="left"/>
        <w:outlineLvl w:val="4"/>
        <w:rPr>
          <w:sz w:val="24"/>
        </w:rPr>
      </w:pPr>
      <w:r>
        <w:rPr>
          <w:sz w:val="24"/>
        </w:rPr>
        <w:t>3</w:t>
      </w:r>
      <w:r>
        <w:rPr>
          <w:rFonts w:hint="eastAsia"/>
          <w:sz w:val="24"/>
          <w:lang w:val="en-US" w:eastAsia="zh-CN"/>
        </w:rPr>
        <w:t>.</w:t>
      </w:r>
      <w:r>
        <w:rPr>
          <w:sz w:val="24"/>
        </w:rPr>
        <w:t>我方承诺在任何情况下均不以不完全了解现场情况为理由而向采购单位提出任何索赔的要求。</w:t>
      </w:r>
    </w:p>
    <w:p>
      <w:pPr>
        <w:snapToGrid w:val="0"/>
        <w:spacing w:line="520" w:lineRule="exact"/>
        <w:jc w:val="left"/>
        <w:outlineLvl w:val="4"/>
        <w:rPr>
          <w:sz w:val="24"/>
        </w:rPr>
      </w:pPr>
    </w:p>
    <w:p>
      <w:pPr>
        <w:snapToGrid w:val="0"/>
        <w:spacing w:line="520" w:lineRule="exact"/>
        <w:jc w:val="left"/>
        <w:outlineLvl w:val="4"/>
        <w:rPr>
          <w:sz w:val="24"/>
        </w:rPr>
      </w:pPr>
    </w:p>
    <w:p>
      <w:pPr>
        <w:snapToGrid w:val="0"/>
        <w:spacing w:line="360" w:lineRule="auto"/>
        <w:jc w:val="center"/>
        <w:outlineLvl w:val="4"/>
        <w:rPr>
          <w:bCs/>
          <w:sz w:val="24"/>
          <w:szCs w:val="24"/>
          <w:lang w:val="zh-CN"/>
        </w:rPr>
      </w:pPr>
      <w:r>
        <w:rPr>
          <w:rFonts w:hint="eastAsia"/>
          <w:bCs/>
          <w:sz w:val="24"/>
          <w:lang w:val="en-US" w:eastAsia="zh-CN"/>
        </w:rPr>
        <w:t xml:space="preserve">         </w:t>
      </w:r>
      <w:r>
        <w:rPr>
          <w:rFonts w:hint="eastAsia"/>
          <w:bCs/>
          <w:sz w:val="24"/>
        </w:rPr>
        <w:t>响应</w:t>
      </w:r>
      <w:r>
        <w:rPr>
          <w:bCs/>
          <w:sz w:val="24"/>
        </w:rPr>
        <w:t>供应商</w:t>
      </w:r>
      <w:r>
        <w:rPr>
          <w:rFonts w:hint="eastAsia"/>
          <w:bCs/>
          <w:sz w:val="24"/>
          <w:szCs w:val="24"/>
          <w:lang w:val="zh-CN"/>
        </w:rPr>
        <w:t>（</w:t>
      </w:r>
      <w:r>
        <w:rPr>
          <w:bCs/>
          <w:sz w:val="24"/>
          <w:szCs w:val="24"/>
          <w:lang w:val="zh-CN"/>
        </w:rPr>
        <w:t>盖公章</w:t>
      </w:r>
      <w:r>
        <w:rPr>
          <w:rFonts w:hint="eastAsia"/>
          <w:bCs/>
          <w:sz w:val="24"/>
          <w:szCs w:val="24"/>
          <w:lang w:val="zh-CN"/>
        </w:rPr>
        <w:t>）</w:t>
      </w:r>
      <w:r>
        <w:rPr>
          <w:bCs/>
          <w:sz w:val="24"/>
          <w:szCs w:val="24"/>
          <w:lang w:val="zh-CN"/>
        </w:rPr>
        <w:t>：</w:t>
      </w:r>
    </w:p>
    <w:p>
      <w:pPr>
        <w:snapToGrid w:val="0"/>
        <w:spacing w:line="360" w:lineRule="auto"/>
        <w:jc w:val="center"/>
        <w:outlineLvl w:val="4"/>
        <w:rPr>
          <w:bCs/>
          <w:sz w:val="24"/>
          <w:szCs w:val="24"/>
        </w:rPr>
      </w:pPr>
      <w:r>
        <w:rPr>
          <w:bCs/>
          <w:sz w:val="24"/>
          <w:szCs w:val="24"/>
        </w:rPr>
        <w:t xml:space="preserve">             </w:t>
      </w:r>
      <w:r>
        <w:rPr>
          <w:rFonts w:hint="eastAsia"/>
          <w:bCs/>
          <w:sz w:val="24"/>
          <w:szCs w:val="24"/>
        </w:rPr>
        <w:t xml:space="preserve">        </w:t>
      </w:r>
      <w:r>
        <w:rPr>
          <w:rFonts w:hint="eastAsia"/>
          <w:bCs/>
          <w:sz w:val="24"/>
          <w:szCs w:val="24"/>
          <w:lang w:val="en-US" w:eastAsia="zh-CN"/>
        </w:rPr>
        <w:t xml:space="preserve"> </w:t>
      </w:r>
      <w:r>
        <w:rPr>
          <w:rFonts w:hint="eastAsia"/>
          <w:bCs/>
          <w:sz w:val="24"/>
          <w:szCs w:val="24"/>
        </w:rPr>
        <w:t xml:space="preserve"> </w:t>
      </w:r>
      <w:r>
        <w:rPr>
          <w:bCs/>
          <w:sz w:val="24"/>
          <w:szCs w:val="24"/>
        </w:rPr>
        <w:t>法定代表人或被授权人（签字或盖章）：</w:t>
      </w:r>
    </w:p>
    <w:p>
      <w:pPr>
        <w:snapToGrid w:val="0"/>
        <w:spacing w:line="480" w:lineRule="exact"/>
        <w:jc w:val="center"/>
        <w:outlineLvl w:val="4"/>
        <w:rPr>
          <w:bCs/>
          <w:sz w:val="24"/>
        </w:rPr>
      </w:pPr>
      <w:r>
        <w:rPr>
          <w:bCs/>
          <w:sz w:val="24"/>
          <w:szCs w:val="24"/>
        </w:rPr>
        <w:t xml:space="preserve">           </w:t>
      </w:r>
      <w:r>
        <w:rPr>
          <w:rFonts w:hint="eastAsia" w:hAnsi="宋体"/>
          <w:bCs/>
          <w:color w:val="000000"/>
          <w:sz w:val="24"/>
          <w:szCs w:val="24"/>
        </w:rPr>
        <w:t>日期：2024年</w:t>
      </w:r>
      <w:r>
        <w:rPr>
          <w:rFonts w:hint="eastAsia" w:hAnsi="宋体"/>
          <w:bCs/>
          <w:color w:val="000000"/>
          <w:sz w:val="24"/>
          <w:szCs w:val="24"/>
          <w:u w:val="none"/>
          <w:lang w:val="en-US" w:eastAsia="zh-CN"/>
        </w:rPr>
        <w:t xml:space="preserve">  </w:t>
      </w:r>
      <w:r>
        <w:rPr>
          <w:rFonts w:hint="eastAsia" w:hAnsi="宋体"/>
          <w:bCs/>
          <w:color w:val="000000"/>
          <w:sz w:val="24"/>
          <w:szCs w:val="24"/>
        </w:rPr>
        <w:t>月</w:t>
      </w:r>
      <w:r>
        <w:rPr>
          <w:rFonts w:hint="eastAsia" w:hAnsi="宋体"/>
          <w:bCs/>
          <w:color w:val="000000"/>
          <w:sz w:val="24"/>
          <w:szCs w:val="24"/>
          <w:u w:val="none"/>
        </w:rPr>
        <w:t xml:space="preserve">    </w:t>
      </w:r>
      <w:r>
        <w:rPr>
          <w:rFonts w:hint="eastAsia" w:hAnsi="宋体"/>
          <w:bCs/>
          <w:color w:val="000000"/>
          <w:sz w:val="24"/>
          <w:szCs w:val="24"/>
        </w:rPr>
        <w:t>日</w:t>
      </w:r>
    </w:p>
    <w:p>
      <w:pPr>
        <w:rPr>
          <w:rFonts w:eastAsia="方正黑体_GBK"/>
          <w:sz w:val="32"/>
          <w:szCs w:val="32"/>
        </w:rPr>
      </w:pPr>
      <w:r>
        <w:rPr>
          <w:rFonts w:eastAsia="方正黑体_GBK"/>
          <w:sz w:val="32"/>
          <w:szCs w:val="32"/>
        </w:rPr>
        <w:br w:type="page"/>
      </w:r>
    </w:p>
    <w:p>
      <w:pPr>
        <w:snapToGrid w:val="0"/>
        <w:spacing w:line="400" w:lineRule="exact"/>
        <w:contextualSpacing/>
        <w:rPr>
          <w:rFonts w:hint="eastAsia" w:eastAsia="方正黑体_GBK"/>
          <w:kern w:val="0"/>
          <w:sz w:val="32"/>
          <w:szCs w:val="32"/>
          <w:lang w:eastAsia="zh-CN"/>
        </w:rPr>
      </w:pPr>
      <w:r>
        <w:rPr>
          <w:rFonts w:eastAsia="方正黑体_GBK"/>
          <w:sz w:val="32"/>
          <w:szCs w:val="32"/>
        </w:rPr>
        <w:t>附件</w:t>
      </w:r>
      <w:r>
        <w:rPr>
          <w:rFonts w:hint="eastAsia" w:eastAsia="方正黑体_GBK"/>
          <w:sz w:val="32"/>
          <w:szCs w:val="32"/>
          <w:lang w:val="en-US" w:eastAsia="zh-CN"/>
        </w:rPr>
        <w:t>7</w:t>
      </w:r>
    </w:p>
    <w:p>
      <w:pPr>
        <w:snapToGrid w:val="0"/>
        <w:spacing w:line="300" w:lineRule="auto"/>
        <w:contextualSpacing/>
        <w:jc w:val="center"/>
        <w:rPr>
          <w:b/>
          <w:sz w:val="32"/>
          <w:szCs w:val="32"/>
        </w:rPr>
      </w:pPr>
      <w:r>
        <w:rPr>
          <w:rFonts w:hint="eastAsia"/>
          <w:b/>
          <w:sz w:val="32"/>
          <w:szCs w:val="32"/>
        </w:rPr>
        <w:t>声 明</w:t>
      </w:r>
    </w:p>
    <w:p>
      <w:pPr>
        <w:spacing w:line="360" w:lineRule="auto"/>
        <w:ind w:firstLine="420"/>
        <w:rPr>
          <w:rFonts w:hAnsi="宋体" w:cs="宋体"/>
          <w:sz w:val="24"/>
          <w:szCs w:val="24"/>
          <w:u w:val="single"/>
        </w:rPr>
      </w:pPr>
    </w:p>
    <w:p>
      <w:pPr>
        <w:spacing w:line="360" w:lineRule="auto"/>
        <w:ind w:firstLine="420"/>
        <w:rPr>
          <w:rFonts w:hAnsi="宋体" w:cs="宋体"/>
          <w:sz w:val="24"/>
          <w:szCs w:val="24"/>
        </w:rPr>
      </w:pPr>
      <w:r>
        <w:rPr>
          <w:rFonts w:hint="eastAsia" w:hAnsi="宋体" w:cs="宋体"/>
          <w:sz w:val="24"/>
          <w:szCs w:val="24"/>
          <w:u w:val="single"/>
        </w:rPr>
        <w:t xml:space="preserve">                       </w:t>
      </w:r>
      <w:r>
        <w:rPr>
          <w:rFonts w:hint="eastAsia" w:hAnsi="宋体" w:cs="宋体"/>
          <w:sz w:val="24"/>
          <w:szCs w:val="24"/>
        </w:rPr>
        <w:t>（采购人）：</w:t>
      </w:r>
    </w:p>
    <w:p>
      <w:pPr>
        <w:spacing w:line="360" w:lineRule="auto"/>
        <w:ind w:firstLine="420"/>
        <w:rPr>
          <w:rFonts w:hAnsi="宋体" w:cs="宋体"/>
          <w:bCs/>
          <w:sz w:val="24"/>
          <w:szCs w:val="24"/>
        </w:rPr>
      </w:pPr>
      <w:r>
        <w:rPr>
          <w:rFonts w:hint="eastAsia" w:hAnsi="宋体" w:cs="宋体"/>
          <w:bCs/>
          <w:sz w:val="24"/>
          <w:szCs w:val="24"/>
        </w:rPr>
        <w:t>我单位不存在以下情况：</w:t>
      </w:r>
    </w:p>
    <w:p>
      <w:pPr>
        <w:spacing w:line="360" w:lineRule="auto"/>
        <w:ind w:firstLine="420"/>
        <w:rPr>
          <w:rFonts w:hint="eastAsia" w:hAnsi="宋体" w:cs="宋体"/>
          <w:bCs/>
          <w:sz w:val="24"/>
          <w:szCs w:val="24"/>
          <w:lang w:val="zh-CN"/>
        </w:rPr>
      </w:pPr>
      <w:r>
        <w:rPr>
          <w:rFonts w:hint="eastAsia" w:hAnsi="宋体" w:cs="宋体"/>
          <w:bCs/>
          <w:sz w:val="24"/>
          <w:szCs w:val="24"/>
          <w:lang w:val="en-US" w:eastAsia="zh-CN"/>
        </w:rPr>
        <w:t>a.</w:t>
      </w:r>
      <w:r>
        <w:rPr>
          <w:rFonts w:hint="eastAsia" w:hAnsi="宋体" w:cs="宋体"/>
          <w:bCs/>
          <w:sz w:val="24"/>
          <w:szCs w:val="24"/>
          <w:lang w:val="zh-CN"/>
        </w:rPr>
        <w:t xml:space="preserve">未处于被责令停业、投标资格被取消或财产被接管、冻结和破产状态的企业； </w:t>
      </w:r>
    </w:p>
    <w:p>
      <w:pPr>
        <w:spacing w:line="360" w:lineRule="auto"/>
        <w:ind w:firstLine="420"/>
        <w:rPr>
          <w:rFonts w:hAnsi="宋体" w:cs="宋体"/>
          <w:bCs/>
          <w:sz w:val="24"/>
          <w:szCs w:val="24"/>
        </w:rPr>
      </w:pPr>
      <w:r>
        <w:rPr>
          <w:rFonts w:hint="eastAsia" w:hAnsi="宋体" w:cs="宋体"/>
          <w:bCs/>
          <w:sz w:val="24"/>
          <w:szCs w:val="24"/>
          <w:lang w:val="en-US" w:eastAsia="zh-CN"/>
        </w:rPr>
        <w:t>b.</w:t>
      </w:r>
      <w:r>
        <w:rPr>
          <w:rFonts w:hint="eastAsia" w:hAnsi="宋体" w:cs="宋体"/>
          <w:bCs/>
          <w:sz w:val="24"/>
          <w:szCs w:val="24"/>
          <w:lang w:val="zh-CN"/>
        </w:rPr>
        <w:t>企业没有因骗取中标、严重违约或者违规用工、拖欠工人工资以及发生重大工程质量、安全生产事故等问题，被有关部门暂停投标资格并在暂停期内的。</w:t>
      </w:r>
    </w:p>
    <w:p>
      <w:pPr>
        <w:widowControl/>
        <w:spacing w:line="360" w:lineRule="auto"/>
        <w:ind w:left="18" w:right="1" w:firstLine="420"/>
        <w:jc w:val="left"/>
        <w:rPr>
          <w:rFonts w:hAnsi="宋体" w:cs="宋体"/>
          <w:sz w:val="24"/>
          <w:szCs w:val="24"/>
        </w:rPr>
      </w:pPr>
    </w:p>
    <w:p>
      <w:pPr>
        <w:widowControl/>
        <w:spacing w:line="360" w:lineRule="auto"/>
        <w:ind w:left="18" w:right="1" w:firstLine="420"/>
        <w:jc w:val="left"/>
        <w:rPr>
          <w:rFonts w:hAnsi="宋体" w:cs="宋体"/>
          <w:sz w:val="24"/>
          <w:szCs w:val="24"/>
        </w:rPr>
      </w:pPr>
      <w:r>
        <w:rPr>
          <w:rFonts w:hint="eastAsia" w:hAnsi="宋体" w:cs="宋体"/>
          <w:sz w:val="24"/>
          <w:szCs w:val="24"/>
        </w:rPr>
        <w:t>特此声明。</w:t>
      </w:r>
    </w:p>
    <w:p>
      <w:pPr>
        <w:spacing w:line="360" w:lineRule="auto"/>
        <w:rPr>
          <w:rFonts w:eastAsia="方正黑体_GBK"/>
          <w:sz w:val="24"/>
          <w:szCs w:val="24"/>
        </w:rPr>
      </w:pPr>
    </w:p>
    <w:p>
      <w:pPr>
        <w:snapToGrid w:val="0"/>
        <w:spacing w:line="360" w:lineRule="auto"/>
        <w:jc w:val="center"/>
        <w:outlineLvl w:val="4"/>
        <w:rPr>
          <w:bCs/>
          <w:sz w:val="24"/>
          <w:szCs w:val="24"/>
          <w:lang w:val="zh-CN"/>
        </w:rPr>
      </w:pPr>
      <w:r>
        <w:rPr>
          <w:rFonts w:hint="eastAsia"/>
          <w:bCs/>
          <w:sz w:val="24"/>
          <w:szCs w:val="24"/>
        </w:rPr>
        <w:t xml:space="preserve">          </w:t>
      </w:r>
      <w:r>
        <w:rPr>
          <w:rFonts w:hint="eastAsia"/>
          <w:bCs/>
          <w:sz w:val="24"/>
        </w:rPr>
        <w:t>响应</w:t>
      </w:r>
      <w:r>
        <w:rPr>
          <w:bCs/>
          <w:sz w:val="24"/>
        </w:rPr>
        <w:t>供应商</w:t>
      </w:r>
      <w:r>
        <w:rPr>
          <w:rFonts w:hint="eastAsia"/>
          <w:bCs/>
          <w:sz w:val="24"/>
          <w:szCs w:val="24"/>
          <w:lang w:val="zh-CN"/>
        </w:rPr>
        <w:t>（</w:t>
      </w:r>
      <w:r>
        <w:rPr>
          <w:bCs/>
          <w:sz w:val="24"/>
          <w:szCs w:val="24"/>
          <w:lang w:val="zh-CN"/>
        </w:rPr>
        <w:t>盖公章</w:t>
      </w:r>
      <w:r>
        <w:rPr>
          <w:rFonts w:hint="eastAsia"/>
          <w:bCs/>
          <w:sz w:val="24"/>
          <w:szCs w:val="24"/>
          <w:lang w:val="zh-CN"/>
        </w:rPr>
        <w:t>）</w:t>
      </w:r>
      <w:r>
        <w:rPr>
          <w:bCs/>
          <w:sz w:val="24"/>
          <w:szCs w:val="24"/>
          <w:lang w:val="zh-CN"/>
        </w:rPr>
        <w:t>：</w:t>
      </w:r>
    </w:p>
    <w:p>
      <w:pPr>
        <w:snapToGrid w:val="0"/>
        <w:spacing w:line="360" w:lineRule="auto"/>
        <w:jc w:val="center"/>
        <w:outlineLvl w:val="4"/>
        <w:rPr>
          <w:bCs/>
          <w:sz w:val="24"/>
          <w:szCs w:val="24"/>
        </w:rPr>
      </w:pPr>
      <w:r>
        <w:rPr>
          <w:bCs/>
          <w:sz w:val="24"/>
          <w:szCs w:val="24"/>
        </w:rPr>
        <w:t xml:space="preserve">             </w:t>
      </w:r>
      <w:r>
        <w:rPr>
          <w:rFonts w:hint="eastAsia"/>
          <w:bCs/>
          <w:sz w:val="24"/>
          <w:szCs w:val="24"/>
        </w:rPr>
        <w:t xml:space="preserve">         </w:t>
      </w:r>
      <w:r>
        <w:rPr>
          <w:bCs/>
          <w:sz w:val="24"/>
          <w:szCs w:val="24"/>
        </w:rPr>
        <w:t>法定代表人或被授权人（签字或盖章）：</w:t>
      </w:r>
    </w:p>
    <w:p>
      <w:pPr>
        <w:snapToGrid w:val="0"/>
        <w:spacing w:line="360" w:lineRule="auto"/>
        <w:jc w:val="center"/>
        <w:outlineLvl w:val="4"/>
        <w:rPr>
          <w:bCs/>
          <w:sz w:val="24"/>
          <w:szCs w:val="24"/>
        </w:rPr>
      </w:pPr>
      <w:r>
        <w:rPr>
          <w:bCs/>
          <w:sz w:val="24"/>
          <w:szCs w:val="24"/>
        </w:rPr>
        <w:t xml:space="preserve">           </w:t>
      </w:r>
      <w:r>
        <w:rPr>
          <w:rFonts w:hint="eastAsia" w:hAnsi="宋体"/>
          <w:bCs/>
          <w:color w:val="000000"/>
          <w:sz w:val="24"/>
          <w:szCs w:val="24"/>
        </w:rPr>
        <w:t>日期：2024年</w:t>
      </w:r>
      <w:r>
        <w:rPr>
          <w:rFonts w:hint="eastAsia" w:hAnsi="宋体"/>
          <w:bCs/>
          <w:color w:val="000000"/>
          <w:sz w:val="24"/>
          <w:szCs w:val="24"/>
          <w:u w:val="none"/>
          <w:lang w:val="en-US" w:eastAsia="zh-CN"/>
        </w:rPr>
        <w:t xml:space="preserve">  </w:t>
      </w:r>
      <w:r>
        <w:rPr>
          <w:rFonts w:hint="eastAsia" w:hAnsi="宋体"/>
          <w:bCs/>
          <w:color w:val="000000"/>
          <w:sz w:val="24"/>
          <w:szCs w:val="24"/>
        </w:rPr>
        <w:t>月</w:t>
      </w:r>
      <w:r>
        <w:rPr>
          <w:rFonts w:hint="eastAsia" w:hAnsi="宋体"/>
          <w:bCs/>
          <w:color w:val="000000"/>
          <w:sz w:val="24"/>
          <w:szCs w:val="24"/>
          <w:u w:val="none"/>
        </w:rPr>
        <w:t xml:space="preserve">    </w:t>
      </w:r>
      <w:r>
        <w:rPr>
          <w:rFonts w:hint="eastAsia" w:hAnsi="宋体"/>
          <w:bCs/>
          <w:color w:val="000000"/>
          <w:sz w:val="24"/>
          <w:szCs w:val="24"/>
        </w:rPr>
        <w:t>日</w:t>
      </w:r>
    </w:p>
    <w:p>
      <w:pPr>
        <w:spacing w:line="360" w:lineRule="auto"/>
        <w:rPr>
          <w:sz w:val="24"/>
          <w:szCs w:val="24"/>
        </w:rPr>
      </w:pPr>
    </w:p>
    <w:p>
      <w:pPr>
        <w:spacing w:line="360" w:lineRule="auto"/>
        <w:rPr>
          <w:rFonts w:ascii="Times New Roman"/>
          <w:b/>
          <w:bCs/>
          <w:sz w:val="28"/>
          <w:szCs w:val="28"/>
          <w:lang w:bidi="zh-CN"/>
        </w:rPr>
      </w:pPr>
      <w:r>
        <w:rPr>
          <w:rFonts w:ascii="Times New Roman"/>
          <w:b/>
          <w:bCs/>
          <w:sz w:val="28"/>
          <w:szCs w:val="28"/>
          <w:lang w:bidi="zh-CN"/>
        </w:rPr>
        <w:br w:type="page"/>
      </w:r>
    </w:p>
    <w:p>
      <w:pPr>
        <w:spacing w:line="360" w:lineRule="auto"/>
        <w:rPr>
          <w:rFonts w:hint="eastAsia" w:ascii="Times New Roman" w:eastAsia="宋体"/>
          <w:b/>
          <w:sz w:val="32"/>
          <w:szCs w:val="32"/>
          <w:lang w:eastAsia="zh-CN"/>
        </w:rPr>
      </w:pPr>
      <w:r>
        <w:rPr>
          <w:rFonts w:hint="eastAsia" w:ascii="Times New Roman"/>
          <w:b/>
          <w:sz w:val="32"/>
          <w:szCs w:val="32"/>
        </w:rPr>
        <w:t>附件</w:t>
      </w:r>
      <w:r>
        <w:rPr>
          <w:rFonts w:hint="eastAsia"/>
          <w:b/>
          <w:sz w:val="32"/>
          <w:szCs w:val="32"/>
          <w:lang w:val="en-US" w:eastAsia="zh-CN"/>
        </w:rPr>
        <w:t>8</w:t>
      </w:r>
    </w:p>
    <w:p>
      <w:pPr>
        <w:snapToGrid w:val="0"/>
        <w:spacing w:line="300" w:lineRule="auto"/>
        <w:contextualSpacing/>
        <w:jc w:val="center"/>
        <w:rPr>
          <w:rFonts w:hint="eastAsia"/>
          <w:b/>
          <w:sz w:val="32"/>
          <w:szCs w:val="32"/>
        </w:rPr>
      </w:pPr>
      <w:r>
        <w:rPr>
          <w:rFonts w:hint="eastAsia"/>
          <w:b/>
          <w:sz w:val="32"/>
          <w:szCs w:val="32"/>
        </w:rPr>
        <w:t>声 明</w:t>
      </w:r>
    </w:p>
    <w:p>
      <w:pPr>
        <w:widowControl/>
        <w:spacing w:line="360" w:lineRule="auto"/>
        <w:ind w:right="1"/>
        <w:jc w:val="left"/>
        <w:rPr>
          <w:rFonts w:hAnsi="宋体" w:cs="宋体"/>
          <w:u w:val="single"/>
        </w:rPr>
      </w:pPr>
    </w:p>
    <w:p>
      <w:pPr>
        <w:widowControl/>
        <w:spacing w:line="360" w:lineRule="auto"/>
        <w:ind w:right="1"/>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p>
    <w:p>
      <w:pPr>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我单位不存在以下情况：</w:t>
      </w:r>
    </w:p>
    <w:p>
      <w:pPr>
        <w:spacing w:line="360" w:lineRule="auto"/>
        <w:ind w:firstLine="420"/>
        <w:rPr>
          <w:rFonts w:hint="eastAsia" w:ascii="宋体" w:hAnsi="宋体" w:eastAsia="宋体" w:cs="宋体"/>
          <w:bCs/>
          <w:sz w:val="24"/>
          <w:szCs w:val="24"/>
        </w:rPr>
      </w:pPr>
      <w:r>
        <w:rPr>
          <w:rFonts w:hint="eastAsia" w:hAnsi="宋体" w:cs="宋体"/>
          <w:bCs/>
          <w:sz w:val="24"/>
          <w:szCs w:val="24"/>
          <w:lang w:val="en-US" w:eastAsia="zh-CN"/>
        </w:rPr>
        <w:t>1.</w:t>
      </w:r>
      <w:r>
        <w:rPr>
          <w:rFonts w:hint="eastAsia" w:hAnsi="宋体" w:cs="宋体"/>
          <w:bCs/>
          <w:sz w:val="24"/>
          <w:szCs w:val="24"/>
        </w:rPr>
        <w:t>单位负责人为同一人或者存在直接控股、管理关系的不同供应商，同时参加同一合同项下的政府采购活动。</w:t>
      </w:r>
    </w:p>
    <w:p>
      <w:pPr>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为采购项目提供整体设计、规范编制或者项目管理、监理、检测等服务的供应商，再参加该采购项目的其他采购活动。</w:t>
      </w:r>
    </w:p>
    <w:p>
      <w:pPr>
        <w:widowControl/>
        <w:spacing w:line="360" w:lineRule="auto"/>
        <w:ind w:left="18" w:right="1" w:firstLine="420"/>
        <w:jc w:val="left"/>
        <w:rPr>
          <w:rFonts w:hint="eastAsia" w:ascii="宋体" w:hAnsi="宋体" w:eastAsia="宋体" w:cs="宋体"/>
          <w:sz w:val="24"/>
          <w:szCs w:val="24"/>
        </w:rPr>
      </w:pPr>
    </w:p>
    <w:p>
      <w:pPr>
        <w:widowControl/>
        <w:spacing w:line="360" w:lineRule="auto"/>
        <w:ind w:left="18" w:right="1" w:firstLine="420"/>
        <w:jc w:val="left"/>
        <w:rPr>
          <w:rFonts w:hint="eastAsia" w:ascii="宋体" w:hAnsi="宋体" w:eastAsia="宋体" w:cs="宋体"/>
          <w:sz w:val="24"/>
          <w:szCs w:val="24"/>
        </w:rPr>
      </w:pPr>
      <w:r>
        <w:rPr>
          <w:rFonts w:hint="eastAsia" w:ascii="宋体" w:hAnsi="宋体" w:eastAsia="宋体" w:cs="宋体"/>
          <w:sz w:val="24"/>
          <w:szCs w:val="24"/>
        </w:rPr>
        <w:t>特此声明。</w:t>
      </w:r>
    </w:p>
    <w:p>
      <w:pPr>
        <w:snapToGrid w:val="0"/>
        <w:spacing w:line="360" w:lineRule="auto"/>
        <w:jc w:val="center"/>
        <w:outlineLvl w:val="4"/>
        <w:rPr>
          <w:bCs/>
          <w:sz w:val="24"/>
          <w:szCs w:val="24"/>
          <w:lang w:val="zh-CN"/>
        </w:rPr>
      </w:pPr>
      <w:r>
        <w:rPr>
          <w:rFonts w:hint="eastAsia" w:ascii="宋体" w:hAnsi="宋体" w:eastAsia="宋体" w:cs="宋体"/>
          <w:bCs/>
          <w:sz w:val="24"/>
          <w:szCs w:val="24"/>
        </w:rPr>
        <w:t xml:space="preserve">          </w:t>
      </w:r>
      <w:r>
        <w:rPr>
          <w:rFonts w:hint="eastAsia"/>
          <w:bCs/>
          <w:sz w:val="24"/>
          <w:lang w:val="en-US" w:eastAsia="zh-CN"/>
        </w:rPr>
        <w:t xml:space="preserve"> </w:t>
      </w:r>
      <w:r>
        <w:rPr>
          <w:rFonts w:hint="eastAsia"/>
          <w:bCs/>
          <w:sz w:val="24"/>
        </w:rPr>
        <w:t>响应</w:t>
      </w:r>
      <w:r>
        <w:rPr>
          <w:bCs/>
          <w:sz w:val="24"/>
        </w:rPr>
        <w:t>供应商</w:t>
      </w:r>
      <w:r>
        <w:rPr>
          <w:rFonts w:hint="eastAsia"/>
          <w:bCs/>
          <w:sz w:val="24"/>
          <w:szCs w:val="24"/>
          <w:lang w:val="zh-CN"/>
        </w:rPr>
        <w:t>（</w:t>
      </w:r>
      <w:r>
        <w:rPr>
          <w:bCs/>
          <w:sz w:val="24"/>
          <w:szCs w:val="24"/>
          <w:lang w:val="zh-CN"/>
        </w:rPr>
        <w:t>盖公章</w:t>
      </w:r>
      <w:r>
        <w:rPr>
          <w:rFonts w:hint="eastAsia"/>
          <w:bCs/>
          <w:sz w:val="24"/>
          <w:szCs w:val="24"/>
          <w:lang w:val="zh-CN"/>
        </w:rPr>
        <w:t>）</w:t>
      </w:r>
      <w:r>
        <w:rPr>
          <w:bCs/>
          <w:sz w:val="24"/>
          <w:szCs w:val="24"/>
          <w:lang w:val="zh-CN"/>
        </w:rPr>
        <w:t>：</w:t>
      </w:r>
    </w:p>
    <w:p>
      <w:pPr>
        <w:snapToGrid w:val="0"/>
        <w:spacing w:line="360" w:lineRule="auto"/>
        <w:jc w:val="center"/>
        <w:outlineLvl w:val="4"/>
        <w:rPr>
          <w:bCs/>
          <w:sz w:val="24"/>
          <w:szCs w:val="24"/>
        </w:rPr>
      </w:pPr>
      <w:r>
        <w:rPr>
          <w:bCs/>
          <w:sz w:val="24"/>
          <w:szCs w:val="24"/>
        </w:rPr>
        <w:t xml:space="preserve">             </w:t>
      </w:r>
      <w:r>
        <w:rPr>
          <w:rFonts w:hint="eastAsia"/>
          <w:bCs/>
          <w:sz w:val="24"/>
          <w:szCs w:val="24"/>
        </w:rPr>
        <w:t xml:space="preserve">        </w:t>
      </w:r>
      <w:r>
        <w:rPr>
          <w:rFonts w:hint="eastAsia"/>
          <w:bCs/>
          <w:sz w:val="24"/>
          <w:szCs w:val="24"/>
          <w:lang w:val="en-US" w:eastAsia="zh-CN"/>
        </w:rPr>
        <w:t xml:space="preserve">  </w:t>
      </w:r>
      <w:r>
        <w:rPr>
          <w:rFonts w:hint="eastAsia"/>
          <w:bCs/>
          <w:sz w:val="24"/>
          <w:szCs w:val="24"/>
        </w:rPr>
        <w:t xml:space="preserve"> </w:t>
      </w:r>
      <w:r>
        <w:rPr>
          <w:bCs/>
          <w:sz w:val="24"/>
          <w:szCs w:val="24"/>
        </w:rPr>
        <w:t>法定代表人或被授权人（签字或盖章）：</w:t>
      </w:r>
    </w:p>
    <w:p>
      <w:pPr>
        <w:snapToGrid w:val="0"/>
        <w:spacing w:line="360" w:lineRule="auto"/>
        <w:jc w:val="center"/>
        <w:outlineLvl w:val="4"/>
        <w:rPr>
          <w:rFonts w:hint="eastAsia" w:ascii="宋体" w:hAnsi="宋体" w:eastAsia="宋体" w:cs="宋体"/>
          <w:b/>
          <w:sz w:val="24"/>
          <w:szCs w:val="24"/>
        </w:rPr>
      </w:pPr>
      <w:r>
        <w:rPr>
          <w:rFonts w:hint="eastAsia"/>
          <w:bCs/>
          <w:sz w:val="24"/>
          <w:szCs w:val="24"/>
          <w:lang w:val="en-US" w:eastAsia="zh-CN"/>
        </w:rPr>
        <w:t xml:space="preserve">           </w:t>
      </w:r>
      <w:r>
        <w:rPr>
          <w:rFonts w:hint="eastAsia" w:hAnsi="宋体"/>
          <w:bCs/>
          <w:color w:val="000000"/>
          <w:sz w:val="24"/>
          <w:szCs w:val="24"/>
        </w:rPr>
        <w:t>日期：2024年</w:t>
      </w:r>
      <w:r>
        <w:rPr>
          <w:rFonts w:hint="eastAsia" w:hAnsi="宋体"/>
          <w:bCs/>
          <w:color w:val="000000"/>
          <w:sz w:val="24"/>
          <w:szCs w:val="24"/>
          <w:u w:val="none"/>
          <w:lang w:val="en-US" w:eastAsia="zh-CN"/>
        </w:rPr>
        <w:t xml:space="preserve">  </w:t>
      </w:r>
      <w:r>
        <w:rPr>
          <w:rFonts w:hint="eastAsia" w:hAnsi="宋体"/>
          <w:bCs/>
          <w:color w:val="000000"/>
          <w:sz w:val="24"/>
          <w:szCs w:val="24"/>
        </w:rPr>
        <w:t>月</w:t>
      </w:r>
      <w:r>
        <w:rPr>
          <w:rFonts w:hint="eastAsia" w:hAnsi="宋体"/>
          <w:bCs/>
          <w:color w:val="000000"/>
          <w:sz w:val="24"/>
          <w:szCs w:val="24"/>
          <w:u w:val="none"/>
        </w:rPr>
        <w:t xml:space="preserve">    </w:t>
      </w:r>
      <w:r>
        <w:rPr>
          <w:rFonts w:hint="eastAsia" w:hAnsi="宋体"/>
          <w:bCs/>
          <w:color w:val="000000"/>
          <w:sz w:val="24"/>
          <w:szCs w:val="24"/>
        </w:rPr>
        <w:t>日</w:t>
      </w:r>
    </w:p>
    <w:p>
      <w:pPr>
        <w:rPr>
          <w:rFonts w:eastAsia="方正黑体_GBK"/>
          <w:sz w:val="32"/>
          <w:szCs w:val="32"/>
        </w:rPr>
      </w:pPr>
      <w:r>
        <w:rPr>
          <w:rFonts w:eastAsia="方正黑体_GBK"/>
          <w:sz w:val="32"/>
          <w:szCs w:val="32"/>
        </w:rPr>
        <w:br w:type="page"/>
      </w:r>
    </w:p>
    <w:p>
      <w:pPr>
        <w:snapToGrid w:val="0"/>
        <w:spacing w:line="400" w:lineRule="exact"/>
        <w:contextualSpacing/>
        <w:rPr>
          <w:rFonts w:hint="eastAsia" w:eastAsia="方正黑体_GBK"/>
          <w:kern w:val="0"/>
          <w:sz w:val="32"/>
          <w:szCs w:val="32"/>
          <w:lang w:eastAsia="zh-CN"/>
        </w:rPr>
      </w:pPr>
      <w:r>
        <w:rPr>
          <w:rFonts w:eastAsia="方正黑体_GBK"/>
          <w:sz w:val="32"/>
          <w:szCs w:val="32"/>
        </w:rPr>
        <w:t>附件</w:t>
      </w:r>
      <w:r>
        <w:rPr>
          <w:rFonts w:hint="eastAsia" w:eastAsia="方正黑体_GBK"/>
          <w:sz w:val="32"/>
          <w:szCs w:val="32"/>
          <w:lang w:val="en-US" w:eastAsia="zh-CN"/>
        </w:rPr>
        <w:t>9</w:t>
      </w:r>
    </w:p>
    <w:p>
      <w:pPr>
        <w:snapToGrid w:val="0"/>
        <w:spacing w:line="300" w:lineRule="auto"/>
        <w:contextualSpacing/>
        <w:jc w:val="center"/>
        <w:rPr>
          <w:rFonts w:hint="eastAsia"/>
          <w:b/>
          <w:sz w:val="32"/>
          <w:szCs w:val="32"/>
          <w:lang w:val="en-US" w:eastAsia="zh-CN"/>
        </w:rPr>
      </w:pPr>
      <w:r>
        <w:rPr>
          <w:rFonts w:hint="eastAsia"/>
          <w:b/>
          <w:sz w:val="32"/>
          <w:szCs w:val="32"/>
          <w:lang w:val="en-US" w:eastAsia="zh-CN"/>
        </w:rPr>
        <w:t>不拖欠农民工工资承诺书</w:t>
      </w:r>
    </w:p>
    <w:p>
      <w:pPr>
        <w:keepNext w:val="0"/>
        <w:keepLines w:val="0"/>
        <w:pageBreakBefore w:val="0"/>
        <w:kinsoku/>
        <w:wordWrap/>
        <w:overflowPunct/>
        <w:topLinePunct w:val="0"/>
        <w:autoSpaceDE/>
        <w:autoSpaceDN/>
        <w:bidi w:val="0"/>
        <w:adjustRightInd/>
        <w:snapToGrid/>
        <w:spacing w:before="100" w:beforeAutospacing="1" w:after="100" w:afterAutospacing="1" w:line="360" w:lineRule="auto"/>
        <w:ind w:firstLine="420"/>
        <w:textAlignment w:val="auto"/>
        <w:rPr>
          <w:rFonts w:hint="eastAsia" w:hAnsi="宋体" w:cs="宋体"/>
          <w:sz w:val="24"/>
          <w:szCs w:val="24"/>
        </w:rPr>
      </w:pPr>
      <w:r>
        <w:rPr>
          <w:rFonts w:hint="eastAsia" w:hAnsi="宋体" w:cs="宋体"/>
          <w:sz w:val="24"/>
          <w:szCs w:val="24"/>
          <w:u w:val="single"/>
        </w:rPr>
        <w:t xml:space="preserve">                       </w:t>
      </w:r>
      <w:r>
        <w:rPr>
          <w:rFonts w:hint="eastAsia" w:hAnsi="宋体" w:cs="宋体"/>
          <w:sz w:val="24"/>
          <w:szCs w:val="24"/>
        </w:rPr>
        <w:t>（采购人）：</w:t>
      </w:r>
    </w:p>
    <w:p>
      <w:pPr>
        <w:keepNext w:val="0"/>
        <w:keepLines w:val="0"/>
        <w:pageBreakBefore w:val="0"/>
        <w:kinsoku/>
        <w:wordWrap/>
        <w:overflowPunct/>
        <w:topLinePunct w:val="0"/>
        <w:autoSpaceDE/>
        <w:autoSpaceDN/>
        <w:bidi w:val="0"/>
        <w:adjustRightInd/>
        <w:snapToGrid/>
        <w:spacing w:before="100" w:beforeAutospacing="1" w:after="100" w:afterAutospacing="1" w:line="360" w:lineRule="auto"/>
        <w:ind w:firstLine="42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如我公司</w:t>
      </w:r>
      <w:r>
        <w:rPr>
          <w:rFonts w:hint="eastAsia" w:ascii="宋体" w:hAnsi="宋体" w:cs="宋体"/>
          <w:color w:val="auto"/>
          <w:spacing w:val="0"/>
          <w:sz w:val="24"/>
          <w:szCs w:val="24"/>
          <w:highlight w:val="none"/>
          <w:lang w:val="en-US" w:eastAsia="zh-CN"/>
        </w:rPr>
        <w:t>成交</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项目</w:t>
      </w:r>
      <w:r>
        <w:rPr>
          <w:rFonts w:hint="eastAsia" w:ascii="宋体" w:hAnsi="宋体" w:eastAsia="宋体" w:cs="宋体"/>
          <w:color w:val="auto"/>
          <w:spacing w:val="0"/>
          <w:sz w:val="24"/>
          <w:szCs w:val="24"/>
          <w:highlight w:val="none"/>
          <w:lang w:val="en-US" w:eastAsia="zh-CN"/>
        </w:rPr>
        <w:t>，在工程实施期间及竣工验收后，保证按时按期足额支付所有建筑工人及民工工资，如有违反，将承担由此发生的和可能带来的一切后果和费用，发包人有权扣除相应的款项代为支付，特此承诺。</w:t>
      </w: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 （公章）：</w:t>
      </w: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法定代表人或授权代表人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br w:type="page"/>
      </w:r>
    </w:p>
    <w:p>
      <w:pPr>
        <w:tabs>
          <w:tab w:val="left" w:pos="1260"/>
        </w:tabs>
        <w:snapToGrid w:val="0"/>
        <w:spacing w:line="300" w:lineRule="auto"/>
        <w:contextualSpacing/>
        <w:jc w:val="left"/>
        <w:rPr>
          <w:rFonts w:hint="default" w:ascii="宋体" w:hAnsi="宋体" w:eastAsia="方正黑体_GBK"/>
          <w:b/>
          <w:sz w:val="32"/>
          <w:szCs w:val="32"/>
          <w:lang w:val="en-US" w:eastAsia="zh-CN"/>
        </w:rPr>
      </w:pPr>
      <w:r>
        <w:rPr>
          <w:rFonts w:eastAsia="方正黑体_GBK"/>
          <w:sz w:val="32"/>
          <w:szCs w:val="32"/>
        </w:rPr>
        <w:t>附件</w:t>
      </w:r>
      <w:r>
        <w:rPr>
          <w:rFonts w:hint="eastAsia" w:eastAsia="方正黑体_GBK"/>
          <w:sz w:val="32"/>
          <w:szCs w:val="32"/>
          <w:lang w:val="en-US" w:eastAsia="zh-CN"/>
        </w:rPr>
        <w:t>10</w:t>
      </w:r>
    </w:p>
    <w:p>
      <w:pPr>
        <w:snapToGrid w:val="0"/>
        <w:spacing w:line="300" w:lineRule="auto"/>
        <w:contextualSpacing/>
        <w:jc w:val="center"/>
        <w:rPr>
          <w:rFonts w:hint="eastAsia"/>
          <w:b/>
          <w:sz w:val="32"/>
          <w:szCs w:val="32"/>
          <w:lang w:val="en-US" w:eastAsia="zh-CN"/>
        </w:rPr>
      </w:pPr>
      <w:r>
        <w:rPr>
          <w:rFonts w:hint="eastAsia"/>
          <w:b/>
          <w:sz w:val="32"/>
          <w:szCs w:val="32"/>
          <w:lang w:val="en-US" w:eastAsia="zh-CN"/>
        </w:rPr>
        <w:t>供应商情况一览表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pPr>
              <w:tabs>
                <w:tab w:val="left" w:pos="4320"/>
              </w:tabs>
              <w:jc w:val="center"/>
              <w:rPr>
                <w:rFonts w:hint="eastAsia" w:ascii="宋体" w:hAnsi="宋体"/>
                <w:sz w:val="24"/>
              </w:rPr>
            </w:pPr>
            <w:r>
              <w:rPr>
                <w:rFonts w:hint="eastAsia" w:ascii="宋体" w:hAnsi="宋体"/>
                <w:sz w:val="24"/>
              </w:rPr>
              <w:t>单位名称</w:t>
            </w:r>
          </w:p>
        </w:tc>
        <w:tc>
          <w:tcPr>
            <w:tcW w:w="7923" w:type="dxa"/>
            <w:gridSpan w:val="10"/>
            <w:tcBorders>
              <w:top w:val="double" w:color="auto" w:sz="4" w:space="0"/>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pPr>
              <w:tabs>
                <w:tab w:val="left" w:pos="4320"/>
              </w:tabs>
              <w:rPr>
                <w:rFonts w:hint="eastAsia" w:ascii="宋体" w:hAnsi="宋体"/>
                <w:sz w:val="24"/>
              </w:rPr>
            </w:pPr>
            <w:r>
              <w:rPr>
                <w:rFonts w:hint="eastAsia" w:ascii="宋体" w:hAnsi="宋体"/>
                <w:sz w:val="24"/>
              </w:rPr>
              <w:t>单位优势及特长</w:t>
            </w:r>
          </w:p>
        </w:tc>
        <w:tc>
          <w:tcPr>
            <w:tcW w:w="7072" w:type="dxa"/>
            <w:gridSpan w:val="9"/>
            <w:tcBorders>
              <w:left w:val="single" w:color="auto" w:sz="4" w:space="0"/>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ind w:left="266" w:hanging="266" w:hangingChars="111"/>
              <w:rPr>
                <w:rFonts w:hint="eastAsia" w:ascii="宋体" w:hAnsi="宋体"/>
                <w:sz w:val="24"/>
              </w:rPr>
            </w:pPr>
            <w:r>
              <w:rPr>
                <w:rFonts w:hint="eastAsia" w:ascii="宋体" w:hAnsi="宋体"/>
                <w:sz w:val="24"/>
              </w:rPr>
              <w:t>单位</w:t>
            </w:r>
          </w:p>
          <w:p>
            <w:pPr>
              <w:tabs>
                <w:tab w:val="left" w:pos="4320"/>
              </w:tabs>
              <w:ind w:left="266" w:hanging="266" w:hangingChars="111"/>
              <w:rPr>
                <w:rFonts w:hint="eastAsia" w:ascii="宋体" w:hAnsi="宋体"/>
                <w:sz w:val="24"/>
              </w:rPr>
            </w:pPr>
            <w:r>
              <w:rPr>
                <w:rFonts w:hint="eastAsia" w:ascii="宋体" w:hAnsi="宋体"/>
                <w:sz w:val="24"/>
              </w:rPr>
              <w:t>概况</w:t>
            </w:r>
          </w:p>
        </w:tc>
        <w:tc>
          <w:tcPr>
            <w:tcW w:w="1276" w:type="dxa"/>
            <w:gridSpan w:val="2"/>
            <w:noWrap w:val="0"/>
            <w:vAlign w:val="center"/>
          </w:tcPr>
          <w:p>
            <w:pPr>
              <w:tabs>
                <w:tab w:val="left" w:pos="4320"/>
              </w:tabs>
              <w:jc w:val="center"/>
              <w:rPr>
                <w:rFonts w:hint="eastAsia" w:ascii="宋体" w:hAnsi="宋体"/>
                <w:sz w:val="24"/>
              </w:rPr>
            </w:pPr>
            <w:r>
              <w:rPr>
                <w:rFonts w:hint="eastAsia" w:ascii="宋体" w:hAnsi="宋体"/>
                <w:sz w:val="24"/>
              </w:rPr>
              <w:t>职工总数</w:t>
            </w:r>
          </w:p>
        </w:tc>
        <w:tc>
          <w:tcPr>
            <w:tcW w:w="1417" w:type="dxa"/>
            <w:gridSpan w:val="2"/>
            <w:noWrap w:val="0"/>
            <w:vAlign w:val="center"/>
          </w:tcPr>
          <w:p>
            <w:pPr>
              <w:tabs>
                <w:tab w:val="left" w:pos="4320"/>
              </w:tabs>
              <w:jc w:val="right"/>
              <w:rPr>
                <w:rFonts w:hint="eastAsia" w:ascii="宋体" w:hAnsi="宋体"/>
                <w:sz w:val="24"/>
              </w:rPr>
            </w:pPr>
            <w:r>
              <w:rPr>
                <w:rFonts w:hint="eastAsia" w:ascii="宋体" w:hAnsi="宋体"/>
                <w:sz w:val="24"/>
              </w:rPr>
              <w:t>人</w:t>
            </w:r>
          </w:p>
        </w:tc>
        <w:tc>
          <w:tcPr>
            <w:tcW w:w="567" w:type="dxa"/>
            <w:vMerge w:val="restart"/>
            <w:noWrap w:val="0"/>
            <w:vAlign w:val="center"/>
          </w:tcPr>
          <w:p>
            <w:pPr>
              <w:tabs>
                <w:tab w:val="left" w:pos="4320"/>
              </w:tabs>
              <w:rPr>
                <w:rFonts w:hint="eastAsia" w:ascii="宋体" w:hAnsi="宋体"/>
                <w:sz w:val="24"/>
              </w:rPr>
            </w:pPr>
            <w:r>
              <w:rPr>
                <w:rFonts w:hint="eastAsia" w:ascii="宋体" w:hAnsi="宋体"/>
                <w:sz w:val="24"/>
              </w:rPr>
              <w:t>上一年主要经济指标</w:t>
            </w:r>
          </w:p>
        </w:tc>
        <w:tc>
          <w:tcPr>
            <w:tcW w:w="946" w:type="dxa"/>
            <w:noWrap w:val="0"/>
            <w:vAlign w:val="center"/>
          </w:tcPr>
          <w:p>
            <w:pPr>
              <w:tabs>
                <w:tab w:val="left" w:pos="4320"/>
              </w:tabs>
              <w:jc w:val="center"/>
              <w:rPr>
                <w:rFonts w:hint="eastAsia" w:ascii="宋体" w:hAnsi="宋体"/>
                <w:sz w:val="24"/>
              </w:rPr>
            </w:pPr>
            <w:r>
              <w:rPr>
                <w:rFonts w:hint="eastAsia" w:ascii="宋体" w:hAnsi="宋体"/>
                <w:sz w:val="24"/>
              </w:rPr>
              <w:t>营业额</w:t>
            </w:r>
          </w:p>
        </w:tc>
        <w:tc>
          <w:tcPr>
            <w:tcW w:w="1414" w:type="dxa"/>
            <w:gridSpan w:val="2"/>
            <w:noWrap w:val="0"/>
            <w:vAlign w:val="center"/>
          </w:tcPr>
          <w:p>
            <w:pPr>
              <w:tabs>
                <w:tab w:val="left" w:pos="4320"/>
              </w:tabs>
              <w:rPr>
                <w:rFonts w:hint="eastAsia" w:ascii="宋体" w:hAnsi="宋体"/>
                <w:sz w:val="24"/>
              </w:rPr>
            </w:pPr>
          </w:p>
        </w:tc>
        <w:tc>
          <w:tcPr>
            <w:tcW w:w="1184" w:type="dxa"/>
            <w:gridSpan w:val="2"/>
            <w:noWrap w:val="0"/>
            <w:vAlign w:val="center"/>
          </w:tcPr>
          <w:p>
            <w:pPr>
              <w:tabs>
                <w:tab w:val="left" w:pos="4320"/>
              </w:tabs>
              <w:jc w:val="center"/>
              <w:rPr>
                <w:rFonts w:hint="eastAsia" w:ascii="宋体" w:hAnsi="宋体"/>
                <w:sz w:val="24"/>
              </w:rPr>
            </w:pPr>
            <w:r>
              <w:rPr>
                <w:rFonts w:hint="eastAsia" w:ascii="宋体" w:hAnsi="宋体"/>
                <w:sz w:val="24"/>
              </w:rPr>
              <w:t>实现利润</w:t>
            </w:r>
          </w:p>
        </w:tc>
        <w:tc>
          <w:tcPr>
            <w:tcW w:w="1544" w:type="dxa"/>
            <w:tcBorders>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sz w:val="24"/>
              </w:rPr>
            </w:pPr>
          </w:p>
        </w:tc>
        <w:tc>
          <w:tcPr>
            <w:tcW w:w="1276" w:type="dxa"/>
            <w:gridSpan w:val="2"/>
            <w:noWrap w:val="0"/>
            <w:vAlign w:val="center"/>
          </w:tcPr>
          <w:p>
            <w:pPr>
              <w:tabs>
                <w:tab w:val="left" w:pos="4320"/>
              </w:tabs>
              <w:jc w:val="center"/>
              <w:rPr>
                <w:rFonts w:hint="eastAsia" w:ascii="宋体" w:hAnsi="宋体"/>
                <w:sz w:val="24"/>
              </w:rPr>
            </w:pPr>
            <w:r>
              <w:rPr>
                <w:rFonts w:hint="eastAsia" w:ascii="宋体" w:hAnsi="宋体"/>
                <w:sz w:val="24"/>
              </w:rPr>
              <w:t>流动资金</w:t>
            </w:r>
          </w:p>
        </w:tc>
        <w:tc>
          <w:tcPr>
            <w:tcW w:w="1417" w:type="dxa"/>
            <w:gridSpan w:val="2"/>
            <w:noWrap w:val="0"/>
            <w:vAlign w:val="center"/>
          </w:tcPr>
          <w:p>
            <w:pPr>
              <w:tabs>
                <w:tab w:val="left" w:pos="4320"/>
              </w:tabs>
              <w:jc w:val="right"/>
              <w:rPr>
                <w:rFonts w:hint="eastAsia" w:ascii="宋体" w:hAnsi="宋体"/>
                <w:sz w:val="24"/>
              </w:rPr>
            </w:pPr>
            <w:r>
              <w:rPr>
                <w:rFonts w:hint="eastAsia" w:ascii="宋体" w:hAnsi="宋体"/>
                <w:sz w:val="24"/>
              </w:rPr>
              <w:t>万元</w:t>
            </w:r>
          </w:p>
        </w:tc>
        <w:tc>
          <w:tcPr>
            <w:tcW w:w="567" w:type="dxa"/>
            <w:vMerge w:val="continue"/>
            <w:noWrap w:val="0"/>
            <w:vAlign w:val="center"/>
          </w:tcPr>
          <w:p>
            <w:pPr>
              <w:tabs>
                <w:tab w:val="left" w:pos="4320"/>
              </w:tabs>
              <w:rPr>
                <w:rFonts w:hint="eastAsia" w:ascii="宋体" w:hAnsi="宋体"/>
                <w:sz w:val="24"/>
              </w:rPr>
            </w:pPr>
          </w:p>
        </w:tc>
        <w:tc>
          <w:tcPr>
            <w:tcW w:w="946" w:type="dxa"/>
            <w:vMerge w:val="restart"/>
            <w:noWrap w:val="0"/>
            <w:vAlign w:val="center"/>
          </w:tcPr>
          <w:p>
            <w:pPr>
              <w:tabs>
                <w:tab w:val="left" w:pos="4320"/>
              </w:tabs>
              <w:jc w:val="center"/>
              <w:rPr>
                <w:rFonts w:hint="eastAsia" w:ascii="宋体" w:hAnsi="宋体"/>
                <w:sz w:val="24"/>
              </w:rPr>
            </w:pPr>
            <w:r>
              <w:rPr>
                <w:rFonts w:hint="eastAsia" w:ascii="宋体" w:hAnsi="宋体"/>
                <w:sz w:val="24"/>
              </w:rPr>
              <w:t>主要</w:t>
            </w:r>
          </w:p>
          <w:p>
            <w:pPr>
              <w:tabs>
                <w:tab w:val="left" w:pos="4320"/>
              </w:tabs>
              <w:jc w:val="center"/>
              <w:rPr>
                <w:rFonts w:hint="eastAsia" w:ascii="宋体" w:hAnsi="宋体"/>
                <w:sz w:val="24"/>
              </w:rPr>
            </w:pPr>
            <w:r>
              <w:rPr>
                <w:rFonts w:hint="eastAsia" w:ascii="宋体" w:hAnsi="宋体"/>
                <w:sz w:val="24"/>
              </w:rPr>
              <w:t>产品</w:t>
            </w:r>
          </w:p>
        </w:tc>
        <w:tc>
          <w:tcPr>
            <w:tcW w:w="4142" w:type="dxa"/>
            <w:gridSpan w:val="5"/>
            <w:tcBorders>
              <w:right w:val="double" w:color="auto" w:sz="4" w:space="0"/>
            </w:tcBorders>
            <w:noWrap w:val="0"/>
            <w:vAlign w:val="center"/>
          </w:tcPr>
          <w:p>
            <w:pPr>
              <w:tabs>
                <w:tab w:val="left" w:pos="4320"/>
              </w:tabs>
              <w:spacing w:before="120" w:after="120"/>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sz w:val="24"/>
              </w:rPr>
            </w:pPr>
          </w:p>
        </w:tc>
        <w:tc>
          <w:tcPr>
            <w:tcW w:w="1276" w:type="dxa"/>
            <w:gridSpan w:val="2"/>
            <w:noWrap w:val="0"/>
            <w:vAlign w:val="center"/>
          </w:tcPr>
          <w:p>
            <w:pPr>
              <w:tabs>
                <w:tab w:val="left" w:pos="4320"/>
              </w:tabs>
              <w:jc w:val="center"/>
              <w:rPr>
                <w:rFonts w:hint="eastAsia" w:ascii="宋体" w:hAnsi="宋体"/>
                <w:sz w:val="24"/>
              </w:rPr>
            </w:pPr>
            <w:r>
              <w:rPr>
                <w:rFonts w:hint="eastAsia" w:ascii="宋体" w:hAnsi="宋体"/>
                <w:sz w:val="24"/>
              </w:rPr>
              <w:t>固定资产</w:t>
            </w:r>
          </w:p>
          <w:p>
            <w:pPr>
              <w:tabs>
                <w:tab w:val="left" w:pos="4320"/>
              </w:tabs>
              <w:jc w:val="center"/>
              <w:rPr>
                <w:rFonts w:hint="eastAsia" w:ascii="宋体" w:hAnsi="宋体"/>
                <w:sz w:val="24"/>
              </w:rPr>
            </w:pPr>
            <w:r>
              <w:rPr>
                <w:rFonts w:hint="eastAsia" w:ascii="宋体" w:hAnsi="宋体"/>
                <w:sz w:val="24"/>
              </w:rPr>
              <w:t>（万元）</w:t>
            </w:r>
          </w:p>
        </w:tc>
        <w:tc>
          <w:tcPr>
            <w:tcW w:w="1417" w:type="dxa"/>
            <w:gridSpan w:val="2"/>
            <w:noWrap w:val="0"/>
            <w:vAlign w:val="center"/>
          </w:tcPr>
          <w:p>
            <w:pPr>
              <w:tabs>
                <w:tab w:val="left" w:pos="-48"/>
                <w:tab w:val="left" w:pos="4320"/>
              </w:tabs>
              <w:ind w:right="-133" w:hanging="48"/>
              <w:rPr>
                <w:rFonts w:hint="eastAsia" w:ascii="宋体" w:hAnsi="宋体"/>
                <w:sz w:val="24"/>
              </w:rPr>
            </w:pPr>
            <w:r>
              <w:rPr>
                <w:rFonts w:hint="eastAsia" w:ascii="宋体" w:hAnsi="宋体"/>
                <w:sz w:val="24"/>
              </w:rPr>
              <w:t>原值：</w:t>
            </w:r>
          </w:p>
          <w:p>
            <w:pPr>
              <w:tabs>
                <w:tab w:val="left" w:pos="-48"/>
                <w:tab w:val="left" w:pos="4320"/>
              </w:tabs>
              <w:ind w:hanging="48"/>
              <w:jc w:val="right"/>
              <w:rPr>
                <w:rFonts w:hint="eastAsia" w:ascii="宋体" w:hAnsi="宋体"/>
                <w:sz w:val="24"/>
              </w:rPr>
            </w:pPr>
          </w:p>
          <w:p>
            <w:pPr>
              <w:tabs>
                <w:tab w:val="left" w:pos="-48"/>
                <w:tab w:val="left" w:pos="4320"/>
              </w:tabs>
              <w:ind w:right="-133" w:hanging="48"/>
              <w:rPr>
                <w:rFonts w:hint="eastAsia" w:ascii="宋体" w:hAnsi="宋体"/>
                <w:sz w:val="24"/>
              </w:rPr>
            </w:pPr>
            <w:r>
              <w:rPr>
                <w:rFonts w:hint="eastAsia" w:ascii="宋体" w:hAnsi="宋体"/>
                <w:sz w:val="24"/>
              </w:rPr>
              <w:t>净值：</w:t>
            </w:r>
          </w:p>
          <w:p>
            <w:pPr>
              <w:tabs>
                <w:tab w:val="left" w:pos="-48"/>
                <w:tab w:val="left" w:pos="4320"/>
              </w:tabs>
              <w:ind w:hanging="48"/>
              <w:jc w:val="right"/>
              <w:rPr>
                <w:rFonts w:hint="eastAsia" w:ascii="宋体" w:hAnsi="宋体"/>
                <w:sz w:val="24"/>
              </w:rPr>
            </w:pPr>
          </w:p>
        </w:tc>
        <w:tc>
          <w:tcPr>
            <w:tcW w:w="567" w:type="dxa"/>
            <w:vMerge w:val="continue"/>
            <w:noWrap w:val="0"/>
            <w:vAlign w:val="center"/>
          </w:tcPr>
          <w:p>
            <w:pPr>
              <w:tabs>
                <w:tab w:val="left" w:pos="4320"/>
              </w:tabs>
              <w:rPr>
                <w:rFonts w:hint="eastAsia" w:ascii="宋体" w:hAnsi="宋体"/>
                <w:sz w:val="24"/>
              </w:rPr>
            </w:pPr>
          </w:p>
        </w:tc>
        <w:tc>
          <w:tcPr>
            <w:tcW w:w="946" w:type="dxa"/>
            <w:vMerge w:val="continue"/>
            <w:noWrap w:val="0"/>
            <w:vAlign w:val="center"/>
          </w:tcPr>
          <w:p>
            <w:pPr>
              <w:tabs>
                <w:tab w:val="left" w:pos="4320"/>
              </w:tabs>
              <w:jc w:val="center"/>
              <w:rPr>
                <w:rFonts w:hint="eastAsia" w:ascii="宋体" w:hAnsi="宋体"/>
                <w:sz w:val="24"/>
              </w:rPr>
            </w:pPr>
          </w:p>
        </w:tc>
        <w:tc>
          <w:tcPr>
            <w:tcW w:w="4142" w:type="dxa"/>
            <w:gridSpan w:val="5"/>
            <w:tcBorders>
              <w:right w:val="double" w:color="auto" w:sz="4" w:space="0"/>
            </w:tcBorders>
            <w:noWrap w:val="0"/>
            <w:vAlign w:val="center"/>
          </w:tcPr>
          <w:p>
            <w:pPr>
              <w:tabs>
                <w:tab w:val="left" w:pos="4320"/>
              </w:tabs>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ind w:left="266" w:hanging="266" w:hangingChars="111"/>
              <w:rPr>
                <w:rFonts w:hint="eastAsia" w:ascii="宋体" w:hAnsi="宋体"/>
                <w:sz w:val="24"/>
              </w:rPr>
            </w:pPr>
          </w:p>
        </w:tc>
        <w:tc>
          <w:tcPr>
            <w:tcW w:w="1276" w:type="dxa"/>
            <w:gridSpan w:val="2"/>
            <w:noWrap w:val="0"/>
            <w:vAlign w:val="center"/>
          </w:tcPr>
          <w:p>
            <w:pPr>
              <w:tabs>
                <w:tab w:val="left" w:pos="4320"/>
              </w:tabs>
              <w:jc w:val="center"/>
              <w:rPr>
                <w:rFonts w:hint="eastAsia" w:ascii="宋体" w:hAnsi="宋体"/>
                <w:sz w:val="24"/>
              </w:rPr>
            </w:pPr>
            <w:r>
              <w:rPr>
                <w:rFonts w:hint="eastAsia" w:ascii="宋体" w:hAnsi="宋体"/>
                <w:sz w:val="24"/>
              </w:rPr>
              <w:t>占地面积</w:t>
            </w:r>
          </w:p>
        </w:tc>
        <w:tc>
          <w:tcPr>
            <w:tcW w:w="1417" w:type="dxa"/>
            <w:gridSpan w:val="2"/>
            <w:noWrap w:val="0"/>
            <w:vAlign w:val="center"/>
          </w:tcPr>
          <w:p>
            <w:pPr>
              <w:tabs>
                <w:tab w:val="left" w:pos="4320"/>
              </w:tabs>
              <w:jc w:val="right"/>
              <w:rPr>
                <w:rFonts w:hint="eastAsia" w:ascii="宋体" w:hAnsi="宋体"/>
                <w:sz w:val="24"/>
              </w:rPr>
            </w:pPr>
            <w:r>
              <w:rPr>
                <w:rFonts w:hint="eastAsia" w:ascii="宋体" w:hAnsi="宋体"/>
                <w:sz w:val="24"/>
              </w:rPr>
              <w:t>M</w:t>
            </w:r>
            <w:r>
              <w:rPr>
                <w:rFonts w:hint="eastAsia" w:ascii="宋体" w:hAnsi="宋体"/>
                <w:sz w:val="24"/>
                <w:vertAlign w:val="superscript"/>
              </w:rPr>
              <w:t>2</w:t>
            </w:r>
          </w:p>
        </w:tc>
        <w:tc>
          <w:tcPr>
            <w:tcW w:w="567" w:type="dxa"/>
            <w:vMerge w:val="continue"/>
            <w:noWrap w:val="0"/>
            <w:vAlign w:val="center"/>
          </w:tcPr>
          <w:p>
            <w:pPr>
              <w:tabs>
                <w:tab w:val="left" w:pos="4320"/>
              </w:tabs>
              <w:rPr>
                <w:rFonts w:hint="eastAsia" w:ascii="宋体" w:hAnsi="宋体"/>
                <w:sz w:val="24"/>
              </w:rPr>
            </w:pPr>
          </w:p>
        </w:tc>
        <w:tc>
          <w:tcPr>
            <w:tcW w:w="946" w:type="dxa"/>
            <w:vMerge w:val="continue"/>
            <w:noWrap w:val="0"/>
            <w:vAlign w:val="center"/>
          </w:tcPr>
          <w:p>
            <w:pPr>
              <w:tabs>
                <w:tab w:val="left" w:pos="4320"/>
              </w:tabs>
              <w:jc w:val="center"/>
              <w:rPr>
                <w:rFonts w:hint="eastAsia" w:ascii="宋体" w:hAnsi="宋体"/>
                <w:sz w:val="24"/>
              </w:rPr>
            </w:pPr>
          </w:p>
        </w:tc>
        <w:tc>
          <w:tcPr>
            <w:tcW w:w="4142" w:type="dxa"/>
            <w:gridSpan w:val="5"/>
            <w:tcBorders>
              <w:right w:val="double" w:color="auto" w:sz="4" w:space="0"/>
            </w:tcBorders>
            <w:noWrap w:val="0"/>
            <w:vAlign w:val="center"/>
          </w:tcPr>
          <w:p>
            <w:pPr>
              <w:tabs>
                <w:tab w:val="left" w:pos="4320"/>
              </w:tabs>
              <w:spacing w:before="120" w:after="120"/>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ind w:left="266" w:hanging="266" w:hangingChars="111"/>
              <w:rPr>
                <w:rFonts w:hint="eastAsia" w:ascii="宋体" w:hAnsi="宋体"/>
                <w:sz w:val="24"/>
              </w:rPr>
            </w:pPr>
            <w:r>
              <w:rPr>
                <w:rFonts w:hint="eastAsia" w:ascii="宋体" w:hAnsi="宋体"/>
                <w:sz w:val="24"/>
              </w:rPr>
              <w:t>本次</w:t>
            </w:r>
          </w:p>
          <w:p>
            <w:pPr>
              <w:tabs>
                <w:tab w:val="left" w:pos="4320"/>
              </w:tabs>
              <w:ind w:left="266" w:hanging="266" w:hangingChars="111"/>
              <w:rPr>
                <w:rFonts w:hint="eastAsia" w:ascii="宋体" w:hAnsi="宋体"/>
                <w:sz w:val="24"/>
              </w:rPr>
            </w:pPr>
            <w:r>
              <w:rPr>
                <w:rFonts w:hint="eastAsia" w:ascii="宋体" w:hAnsi="宋体"/>
                <w:sz w:val="24"/>
              </w:rPr>
              <w:t>响应</w:t>
            </w:r>
          </w:p>
          <w:p>
            <w:pPr>
              <w:tabs>
                <w:tab w:val="left" w:pos="4320"/>
              </w:tabs>
              <w:ind w:left="266" w:hanging="266" w:hangingChars="111"/>
              <w:rPr>
                <w:rFonts w:hint="eastAsia" w:ascii="宋体" w:hAnsi="宋体"/>
                <w:sz w:val="24"/>
              </w:rPr>
            </w:pPr>
            <w:r>
              <w:rPr>
                <w:rFonts w:hint="eastAsia" w:ascii="宋体" w:hAnsi="宋体"/>
                <w:sz w:val="24"/>
              </w:rPr>
              <w:t>产品</w:t>
            </w:r>
          </w:p>
          <w:p>
            <w:pPr>
              <w:tabs>
                <w:tab w:val="left" w:pos="4320"/>
              </w:tabs>
              <w:ind w:left="266" w:hanging="266" w:hangingChars="111"/>
              <w:rPr>
                <w:rFonts w:hint="eastAsia" w:ascii="宋体" w:hAnsi="宋体"/>
                <w:sz w:val="24"/>
              </w:rPr>
            </w:pPr>
            <w:r>
              <w:rPr>
                <w:rFonts w:hint="eastAsia" w:ascii="宋体" w:hAnsi="宋体"/>
                <w:sz w:val="24"/>
              </w:rPr>
              <w:t>情况</w:t>
            </w:r>
          </w:p>
        </w:tc>
        <w:tc>
          <w:tcPr>
            <w:tcW w:w="1643" w:type="dxa"/>
            <w:gridSpan w:val="3"/>
            <w:noWrap w:val="0"/>
            <w:vAlign w:val="center"/>
          </w:tcPr>
          <w:p>
            <w:pPr>
              <w:tabs>
                <w:tab w:val="left" w:pos="4320"/>
              </w:tabs>
              <w:spacing w:before="60" w:after="60"/>
              <w:jc w:val="center"/>
              <w:rPr>
                <w:rFonts w:hint="eastAsia" w:ascii="宋体" w:hAnsi="宋体" w:eastAsia="宋体"/>
                <w:sz w:val="24"/>
                <w:lang w:eastAsia="zh-CN"/>
              </w:rPr>
            </w:pPr>
            <w:r>
              <w:rPr>
                <w:rFonts w:hint="eastAsia" w:ascii="宋体" w:hAnsi="宋体"/>
                <w:sz w:val="24"/>
              </w:rPr>
              <w:t>本次响应</w:t>
            </w:r>
          </w:p>
          <w:p>
            <w:pPr>
              <w:tabs>
                <w:tab w:val="left" w:pos="4320"/>
              </w:tabs>
              <w:spacing w:before="60" w:after="60"/>
              <w:jc w:val="center"/>
              <w:rPr>
                <w:rFonts w:hint="eastAsia" w:ascii="宋体" w:hAnsi="宋体"/>
                <w:sz w:val="24"/>
              </w:rPr>
            </w:pPr>
            <w:r>
              <w:rPr>
                <w:rFonts w:hint="eastAsia" w:ascii="宋体" w:hAnsi="宋体"/>
                <w:sz w:val="24"/>
              </w:rPr>
              <w:t>产品名称</w:t>
            </w:r>
          </w:p>
        </w:tc>
        <w:tc>
          <w:tcPr>
            <w:tcW w:w="1617" w:type="dxa"/>
            <w:gridSpan w:val="2"/>
            <w:noWrap w:val="0"/>
            <w:vAlign w:val="center"/>
          </w:tcPr>
          <w:p>
            <w:pPr>
              <w:tabs>
                <w:tab w:val="left" w:pos="4320"/>
              </w:tabs>
              <w:spacing w:before="60" w:after="60"/>
              <w:jc w:val="center"/>
              <w:rPr>
                <w:rFonts w:hint="eastAsia" w:ascii="宋体" w:hAnsi="宋体"/>
                <w:sz w:val="24"/>
              </w:rPr>
            </w:pPr>
            <w:r>
              <w:rPr>
                <w:rFonts w:hint="eastAsia" w:ascii="宋体" w:hAnsi="宋体"/>
                <w:sz w:val="24"/>
              </w:rPr>
              <w:t>型    号</w:t>
            </w:r>
          </w:p>
        </w:tc>
        <w:tc>
          <w:tcPr>
            <w:tcW w:w="946" w:type="dxa"/>
            <w:noWrap w:val="0"/>
            <w:vAlign w:val="center"/>
          </w:tcPr>
          <w:p>
            <w:pPr>
              <w:tabs>
                <w:tab w:val="left" w:pos="4320"/>
              </w:tabs>
              <w:spacing w:before="60" w:after="60"/>
              <w:jc w:val="center"/>
              <w:rPr>
                <w:rFonts w:hint="eastAsia" w:ascii="宋体" w:hAnsi="宋体" w:eastAsia="宋体"/>
                <w:sz w:val="24"/>
                <w:lang w:eastAsia="zh-CN"/>
              </w:rPr>
            </w:pPr>
            <w:r>
              <w:rPr>
                <w:rFonts w:hint="eastAsia" w:ascii="宋体" w:hAnsi="宋体"/>
                <w:sz w:val="24"/>
              </w:rPr>
              <w:t>上年</w:t>
            </w:r>
          </w:p>
          <w:p>
            <w:pPr>
              <w:tabs>
                <w:tab w:val="left" w:pos="4320"/>
              </w:tabs>
              <w:spacing w:before="60" w:after="60"/>
              <w:jc w:val="center"/>
              <w:rPr>
                <w:rFonts w:hint="eastAsia" w:ascii="宋体" w:hAnsi="宋体"/>
                <w:sz w:val="24"/>
              </w:rPr>
            </w:pPr>
            <w:r>
              <w:rPr>
                <w:rFonts w:hint="eastAsia" w:ascii="宋体" w:hAnsi="宋体"/>
                <w:sz w:val="24"/>
              </w:rPr>
              <w:t>产销量</w:t>
            </w:r>
          </w:p>
        </w:tc>
        <w:tc>
          <w:tcPr>
            <w:tcW w:w="1263" w:type="dxa"/>
            <w:noWrap w:val="0"/>
            <w:vAlign w:val="center"/>
          </w:tcPr>
          <w:p>
            <w:pPr>
              <w:tabs>
                <w:tab w:val="left" w:pos="4320"/>
              </w:tabs>
              <w:spacing w:before="60" w:after="60"/>
              <w:jc w:val="center"/>
              <w:rPr>
                <w:rFonts w:hint="eastAsia" w:ascii="宋体" w:hAnsi="宋体"/>
                <w:sz w:val="24"/>
              </w:rPr>
            </w:pPr>
            <w:r>
              <w:rPr>
                <w:rFonts w:hint="eastAsia" w:ascii="宋体" w:hAnsi="宋体"/>
                <w:sz w:val="24"/>
              </w:rPr>
              <w:t>产品技术</w:t>
            </w:r>
          </w:p>
          <w:p>
            <w:pPr>
              <w:tabs>
                <w:tab w:val="left" w:pos="4320"/>
              </w:tabs>
              <w:spacing w:before="60" w:after="60"/>
              <w:jc w:val="center"/>
              <w:rPr>
                <w:rFonts w:hint="eastAsia" w:ascii="宋体" w:hAnsi="宋体"/>
                <w:sz w:val="24"/>
              </w:rPr>
            </w:pPr>
            <w:r>
              <w:rPr>
                <w:rFonts w:hint="eastAsia" w:ascii="宋体" w:hAnsi="宋体"/>
                <w:sz w:val="24"/>
              </w:rPr>
              <w:t>先进水平</w:t>
            </w:r>
          </w:p>
        </w:tc>
        <w:tc>
          <w:tcPr>
            <w:tcW w:w="1273" w:type="dxa"/>
            <w:gridSpan w:val="2"/>
            <w:noWrap w:val="0"/>
            <w:vAlign w:val="center"/>
          </w:tcPr>
          <w:p>
            <w:pPr>
              <w:tabs>
                <w:tab w:val="left" w:pos="4320"/>
              </w:tabs>
              <w:spacing w:before="60" w:after="60"/>
              <w:jc w:val="center"/>
              <w:rPr>
                <w:rFonts w:hint="eastAsia" w:ascii="宋体" w:hAnsi="宋体"/>
                <w:sz w:val="24"/>
              </w:rPr>
            </w:pPr>
            <w:r>
              <w:rPr>
                <w:rFonts w:hint="eastAsia" w:ascii="宋体" w:hAnsi="宋体"/>
                <w:sz w:val="24"/>
              </w:rPr>
              <w:t>曾获何级</w:t>
            </w:r>
          </w:p>
          <w:p>
            <w:pPr>
              <w:tabs>
                <w:tab w:val="left" w:pos="4320"/>
              </w:tabs>
              <w:spacing w:before="60" w:after="60"/>
              <w:jc w:val="center"/>
              <w:rPr>
                <w:rFonts w:hint="eastAsia" w:ascii="宋体" w:hAnsi="宋体"/>
                <w:sz w:val="24"/>
              </w:rPr>
            </w:pPr>
            <w:r>
              <w:rPr>
                <w:rFonts w:hint="eastAsia" w:ascii="宋体" w:hAnsi="宋体"/>
                <w:sz w:val="24"/>
              </w:rPr>
              <w:t>何种奖励</w:t>
            </w:r>
          </w:p>
        </w:tc>
        <w:tc>
          <w:tcPr>
            <w:tcW w:w="1606" w:type="dxa"/>
            <w:gridSpan w:val="2"/>
            <w:tcBorders>
              <w:right w:val="double" w:color="auto" w:sz="4" w:space="0"/>
            </w:tcBorders>
            <w:noWrap w:val="0"/>
            <w:vAlign w:val="center"/>
          </w:tcPr>
          <w:p>
            <w:pPr>
              <w:tabs>
                <w:tab w:val="left" w:pos="4320"/>
              </w:tabs>
              <w:spacing w:before="60" w:after="60"/>
              <w:jc w:val="center"/>
              <w:rPr>
                <w:rFonts w:hint="eastAsia" w:ascii="宋体" w:hAnsi="宋体" w:eastAsia="宋体"/>
                <w:sz w:val="24"/>
                <w:lang w:eastAsia="zh-CN"/>
              </w:rPr>
            </w:pPr>
            <w:r>
              <w:rPr>
                <w:rFonts w:hint="eastAsia" w:ascii="宋体" w:hAnsi="宋体"/>
                <w:sz w:val="24"/>
              </w:rPr>
              <w:t>主要用户</w:t>
            </w:r>
          </w:p>
          <w:p>
            <w:pPr>
              <w:tabs>
                <w:tab w:val="left" w:pos="4320"/>
              </w:tabs>
              <w:spacing w:before="60" w:after="60"/>
              <w:jc w:val="center"/>
              <w:rPr>
                <w:rFonts w:hint="eastAsia" w:ascii="宋体" w:hAnsi="宋体"/>
                <w:sz w:val="24"/>
              </w:rPr>
            </w:pP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sz w:val="24"/>
              </w:rPr>
            </w:pPr>
          </w:p>
        </w:tc>
        <w:tc>
          <w:tcPr>
            <w:tcW w:w="1643" w:type="dxa"/>
            <w:gridSpan w:val="3"/>
            <w:noWrap w:val="0"/>
            <w:vAlign w:val="center"/>
          </w:tcPr>
          <w:p>
            <w:pPr>
              <w:tabs>
                <w:tab w:val="left" w:pos="4320"/>
              </w:tabs>
              <w:rPr>
                <w:rFonts w:hint="eastAsia" w:ascii="宋体" w:hAnsi="宋体"/>
                <w:sz w:val="24"/>
              </w:rPr>
            </w:pPr>
          </w:p>
        </w:tc>
        <w:tc>
          <w:tcPr>
            <w:tcW w:w="1617" w:type="dxa"/>
            <w:gridSpan w:val="2"/>
            <w:noWrap w:val="0"/>
            <w:vAlign w:val="center"/>
          </w:tcPr>
          <w:p>
            <w:pPr>
              <w:tabs>
                <w:tab w:val="left" w:pos="4320"/>
              </w:tabs>
              <w:rPr>
                <w:rFonts w:hint="eastAsia" w:ascii="宋体" w:hAnsi="宋体"/>
                <w:sz w:val="24"/>
              </w:rPr>
            </w:pPr>
          </w:p>
        </w:tc>
        <w:tc>
          <w:tcPr>
            <w:tcW w:w="946" w:type="dxa"/>
            <w:noWrap w:val="0"/>
            <w:vAlign w:val="center"/>
          </w:tcPr>
          <w:p>
            <w:pPr>
              <w:tabs>
                <w:tab w:val="left" w:pos="4320"/>
              </w:tabs>
              <w:rPr>
                <w:rFonts w:hint="eastAsia" w:ascii="宋体" w:hAnsi="宋体"/>
                <w:sz w:val="24"/>
              </w:rPr>
            </w:pPr>
          </w:p>
        </w:tc>
        <w:tc>
          <w:tcPr>
            <w:tcW w:w="1263" w:type="dxa"/>
            <w:noWrap w:val="0"/>
            <w:vAlign w:val="center"/>
          </w:tcPr>
          <w:p>
            <w:pPr>
              <w:tabs>
                <w:tab w:val="left" w:pos="4320"/>
              </w:tabs>
              <w:rPr>
                <w:rFonts w:hint="eastAsia" w:ascii="宋体" w:hAnsi="宋体"/>
                <w:sz w:val="24"/>
              </w:rPr>
            </w:pPr>
          </w:p>
        </w:tc>
        <w:tc>
          <w:tcPr>
            <w:tcW w:w="1273" w:type="dxa"/>
            <w:gridSpan w:val="2"/>
            <w:noWrap w:val="0"/>
            <w:vAlign w:val="center"/>
          </w:tcPr>
          <w:p>
            <w:pPr>
              <w:tabs>
                <w:tab w:val="left" w:pos="4320"/>
              </w:tabs>
              <w:rPr>
                <w:rFonts w:hint="eastAsia" w:ascii="宋体" w:hAnsi="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sz w:val="24"/>
              </w:rPr>
            </w:pPr>
          </w:p>
        </w:tc>
        <w:tc>
          <w:tcPr>
            <w:tcW w:w="1643" w:type="dxa"/>
            <w:gridSpan w:val="3"/>
            <w:noWrap w:val="0"/>
            <w:vAlign w:val="center"/>
          </w:tcPr>
          <w:p>
            <w:pPr>
              <w:tabs>
                <w:tab w:val="left" w:pos="4320"/>
              </w:tabs>
              <w:rPr>
                <w:rFonts w:hint="eastAsia" w:ascii="宋体" w:hAnsi="宋体"/>
                <w:sz w:val="24"/>
              </w:rPr>
            </w:pPr>
          </w:p>
        </w:tc>
        <w:tc>
          <w:tcPr>
            <w:tcW w:w="1617" w:type="dxa"/>
            <w:gridSpan w:val="2"/>
            <w:noWrap w:val="0"/>
            <w:vAlign w:val="center"/>
          </w:tcPr>
          <w:p>
            <w:pPr>
              <w:tabs>
                <w:tab w:val="left" w:pos="4320"/>
              </w:tabs>
              <w:rPr>
                <w:rFonts w:hint="eastAsia" w:ascii="宋体" w:hAnsi="宋体"/>
                <w:sz w:val="24"/>
              </w:rPr>
            </w:pPr>
          </w:p>
        </w:tc>
        <w:tc>
          <w:tcPr>
            <w:tcW w:w="946" w:type="dxa"/>
            <w:noWrap w:val="0"/>
            <w:vAlign w:val="center"/>
          </w:tcPr>
          <w:p>
            <w:pPr>
              <w:tabs>
                <w:tab w:val="left" w:pos="4320"/>
              </w:tabs>
              <w:rPr>
                <w:rFonts w:hint="eastAsia" w:ascii="宋体" w:hAnsi="宋体"/>
                <w:sz w:val="24"/>
              </w:rPr>
            </w:pPr>
          </w:p>
        </w:tc>
        <w:tc>
          <w:tcPr>
            <w:tcW w:w="1263" w:type="dxa"/>
            <w:noWrap w:val="0"/>
            <w:vAlign w:val="center"/>
          </w:tcPr>
          <w:p>
            <w:pPr>
              <w:tabs>
                <w:tab w:val="left" w:pos="4320"/>
              </w:tabs>
              <w:rPr>
                <w:rFonts w:hint="eastAsia" w:ascii="宋体" w:hAnsi="宋体"/>
                <w:sz w:val="24"/>
              </w:rPr>
            </w:pPr>
          </w:p>
        </w:tc>
        <w:tc>
          <w:tcPr>
            <w:tcW w:w="1273" w:type="dxa"/>
            <w:gridSpan w:val="2"/>
            <w:noWrap w:val="0"/>
            <w:vAlign w:val="center"/>
          </w:tcPr>
          <w:p>
            <w:pPr>
              <w:tabs>
                <w:tab w:val="left" w:pos="4320"/>
              </w:tabs>
              <w:rPr>
                <w:rFonts w:hint="eastAsia" w:ascii="宋体" w:hAnsi="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sz w:val="24"/>
              </w:rPr>
            </w:pPr>
          </w:p>
        </w:tc>
        <w:tc>
          <w:tcPr>
            <w:tcW w:w="1643" w:type="dxa"/>
            <w:gridSpan w:val="3"/>
            <w:noWrap w:val="0"/>
            <w:vAlign w:val="center"/>
          </w:tcPr>
          <w:p>
            <w:pPr>
              <w:tabs>
                <w:tab w:val="left" w:pos="4320"/>
              </w:tabs>
              <w:rPr>
                <w:rFonts w:hint="eastAsia" w:ascii="宋体" w:hAnsi="宋体"/>
                <w:sz w:val="24"/>
              </w:rPr>
            </w:pPr>
          </w:p>
        </w:tc>
        <w:tc>
          <w:tcPr>
            <w:tcW w:w="1617" w:type="dxa"/>
            <w:gridSpan w:val="2"/>
            <w:noWrap w:val="0"/>
            <w:vAlign w:val="center"/>
          </w:tcPr>
          <w:p>
            <w:pPr>
              <w:tabs>
                <w:tab w:val="left" w:pos="4320"/>
              </w:tabs>
              <w:rPr>
                <w:rFonts w:hint="eastAsia" w:ascii="宋体" w:hAnsi="宋体"/>
                <w:sz w:val="24"/>
              </w:rPr>
            </w:pPr>
          </w:p>
        </w:tc>
        <w:tc>
          <w:tcPr>
            <w:tcW w:w="946" w:type="dxa"/>
            <w:noWrap w:val="0"/>
            <w:vAlign w:val="center"/>
          </w:tcPr>
          <w:p>
            <w:pPr>
              <w:tabs>
                <w:tab w:val="left" w:pos="4320"/>
              </w:tabs>
              <w:rPr>
                <w:rFonts w:hint="eastAsia" w:ascii="宋体" w:hAnsi="宋体"/>
                <w:sz w:val="24"/>
              </w:rPr>
            </w:pPr>
          </w:p>
        </w:tc>
        <w:tc>
          <w:tcPr>
            <w:tcW w:w="1263" w:type="dxa"/>
            <w:noWrap w:val="0"/>
            <w:vAlign w:val="center"/>
          </w:tcPr>
          <w:p>
            <w:pPr>
              <w:tabs>
                <w:tab w:val="left" w:pos="4320"/>
              </w:tabs>
              <w:rPr>
                <w:rFonts w:hint="eastAsia" w:ascii="宋体" w:hAnsi="宋体"/>
                <w:sz w:val="24"/>
              </w:rPr>
            </w:pPr>
          </w:p>
        </w:tc>
        <w:tc>
          <w:tcPr>
            <w:tcW w:w="1273" w:type="dxa"/>
            <w:gridSpan w:val="2"/>
            <w:noWrap w:val="0"/>
            <w:vAlign w:val="center"/>
          </w:tcPr>
          <w:p>
            <w:pPr>
              <w:tabs>
                <w:tab w:val="left" w:pos="4320"/>
              </w:tabs>
              <w:rPr>
                <w:rFonts w:hint="eastAsia" w:ascii="宋体" w:hAnsi="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pPr>
              <w:tabs>
                <w:tab w:val="left" w:pos="4320"/>
              </w:tabs>
              <w:rPr>
                <w:rFonts w:hint="eastAsia" w:ascii="宋体" w:hAnsi="宋体"/>
                <w:sz w:val="24"/>
              </w:rPr>
            </w:pPr>
          </w:p>
        </w:tc>
        <w:tc>
          <w:tcPr>
            <w:tcW w:w="1643" w:type="dxa"/>
            <w:gridSpan w:val="3"/>
            <w:noWrap w:val="0"/>
            <w:vAlign w:val="center"/>
          </w:tcPr>
          <w:p>
            <w:pPr>
              <w:tabs>
                <w:tab w:val="left" w:pos="4320"/>
              </w:tabs>
              <w:rPr>
                <w:rFonts w:hint="eastAsia" w:ascii="宋体" w:hAnsi="宋体"/>
                <w:sz w:val="24"/>
              </w:rPr>
            </w:pPr>
          </w:p>
        </w:tc>
        <w:tc>
          <w:tcPr>
            <w:tcW w:w="1617" w:type="dxa"/>
            <w:gridSpan w:val="2"/>
            <w:noWrap w:val="0"/>
            <w:vAlign w:val="center"/>
          </w:tcPr>
          <w:p>
            <w:pPr>
              <w:tabs>
                <w:tab w:val="left" w:pos="4320"/>
              </w:tabs>
              <w:rPr>
                <w:rFonts w:hint="eastAsia" w:ascii="宋体" w:hAnsi="宋体"/>
                <w:sz w:val="24"/>
              </w:rPr>
            </w:pPr>
          </w:p>
        </w:tc>
        <w:tc>
          <w:tcPr>
            <w:tcW w:w="946" w:type="dxa"/>
            <w:noWrap w:val="0"/>
            <w:vAlign w:val="center"/>
          </w:tcPr>
          <w:p>
            <w:pPr>
              <w:tabs>
                <w:tab w:val="left" w:pos="4320"/>
              </w:tabs>
              <w:rPr>
                <w:rFonts w:hint="eastAsia" w:ascii="宋体" w:hAnsi="宋体"/>
                <w:sz w:val="24"/>
              </w:rPr>
            </w:pPr>
          </w:p>
        </w:tc>
        <w:tc>
          <w:tcPr>
            <w:tcW w:w="1263" w:type="dxa"/>
            <w:noWrap w:val="0"/>
            <w:vAlign w:val="center"/>
          </w:tcPr>
          <w:p>
            <w:pPr>
              <w:tabs>
                <w:tab w:val="left" w:pos="4320"/>
              </w:tabs>
              <w:rPr>
                <w:rFonts w:hint="eastAsia" w:ascii="宋体" w:hAnsi="宋体"/>
                <w:sz w:val="24"/>
              </w:rPr>
            </w:pPr>
          </w:p>
        </w:tc>
        <w:tc>
          <w:tcPr>
            <w:tcW w:w="1273" w:type="dxa"/>
            <w:gridSpan w:val="2"/>
            <w:noWrap w:val="0"/>
            <w:vAlign w:val="center"/>
          </w:tcPr>
          <w:p>
            <w:pPr>
              <w:tabs>
                <w:tab w:val="left" w:pos="4320"/>
              </w:tabs>
              <w:rPr>
                <w:rFonts w:hint="eastAsia" w:ascii="宋体" w:hAnsi="宋体"/>
                <w:sz w:val="24"/>
              </w:rPr>
            </w:pPr>
          </w:p>
        </w:tc>
        <w:tc>
          <w:tcPr>
            <w:tcW w:w="1606" w:type="dxa"/>
            <w:gridSpan w:val="2"/>
            <w:tcBorders>
              <w:right w:val="double" w:color="auto" w:sz="4" w:space="0"/>
            </w:tcBorders>
            <w:noWrap w:val="0"/>
            <w:vAlign w:val="center"/>
          </w:tcPr>
          <w:p>
            <w:pPr>
              <w:tabs>
                <w:tab w:val="left" w:pos="4320"/>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pPr>
              <w:tabs>
                <w:tab w:val="left" w:pos="4320"/>
              </w:tabs>
              <w:rPr>
                <w:rFonts w:hint="eastAsia" w:ascii="宋体" w:hAnsi="宋体"/>
                <w:sz w:val="24"/>
              </w:rPr>
            </w:pPr>
            <w:r>
              <w:rPr>
                <w:rFonts w:hint="eastAsia" w:ascii="宋体" w:hAnsi="宋体"/>
                <w:sz w:val="24"/>
              </w:rPr>
              <w:t>其它</w:t>
            </w:r>
          </w:p>
        </w:tc>
        <w:tc>
          <w:tcPr>
            <w:tcW w:w="4206" w:type="dxa"/>
            <w:gridSpan w:val="6"/>
            <w:noWrap w:val="0"/>
            <w:vAlign w:val="center"/>
          </w:tcPr>
          <w:p>
            <w:pPr>
              <w:tabs>
                <w:tab w:val="left" w:pos="4320"/>
              </w:tabs>
              <w:spacing w:before="60" w:after="60"/>
              <w:rPr>
                <w:rFonts w:hint="eastAsia" w:ascii="宋体" w:hAnsi="宋体"/>
                <w:sz w:val="24"/>
              </w:rPr>
            </w:pPr>
            <w:r>
              <w:rPr>
                <w:rFonts w:hint="eastAsia" w:ascii="宋体" w:hAnsi="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pPr>
              <w:tabs>
                <w:tab w:val="left" w:pos="4320"/>
              </w:tabs>
              <w:spacing w:before="60" w:after="60"/>
              <w:rPr>
                <w:rFonts w:hint="eastAsia" w:ascii="宋体" w:hAnsi="宋体"/>
                <w:sz w:val="24"/>
              </w:rPr>
            </w:pPr>
            <w:r>
              <w:rPr>
                <w:rFonts w:hint="eastAsia" w:ascii="宋体" w:hAnsi="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pPr>
              <w:tabs>
                <w:tab w:val="left" w:pos="4320"/>
              </w:tabs>
              <w:rPr>
                <w:rFonts w:hint="eastAsia" w:ascii="宋体" w:hAnsi="宋体"/>
                <w:sz w:val="24"/>
              </w:rPr>
            </w:pPr>
          </w:p>
        </w:tc>
        <w:tc>
          <w:tcPr>
            <w:tcW w:w="4206" w:type="dxa"/>
            <w:gridSpan w:val="6"/>
            <w:tcBorders>
              <w:bottom w:val="double" w:color="auto" w:sz="4" w:space="0"/>
            </w:tcBorders>
            <w:noWrap w:val="0"/>
            <w:vAlign w:val="center"/>
          </w:tcPr>
          <w:p>
            <w:pPr>
              <w:tabs>
                <w:tab w:val="left" w:pos="4320"/>
              </w:tabs>
              <w:rPr>
                <w:rFonts w:hint="eastAsia" w:ascii="宋体" w:hAnsi="宋体"/>
                <w:sz w:val="24"/>
              </w:rPr>
            </w:pPr>
          </w:p>
        </w:tc>
        <w:tc>
          <w:tcPr>
            <w:tcW w:w="4142" w:type="dxa"/>
            <w:gridSpan w:val="5"/>
            <w:tcBorders>
              <w:bottom w:val="double" w:color="auto" w:sz="4" w:space="0"/>
              <w:right w:val="double" w:color="auto" w:sz="4" w:space="0"/>
            </w:tcBorders>
            <w:noWrap w:val="0"/>
            <w:vAlign w:val="center"/>
          </w:tcPr>
          <w:p>
            <w:pPr>
              <w:tabs>
                <w:tab w:val="left" w:pos="4320"/>
              </w:tabs>
              <w:rPr>
                <w:rFonts w:hint="eastAsia" w:ascii="宋体" w:hAnsi="宋体"/>
                <w:sz w:val="24"/>
              </w:rPr>
            </w:pPr>
          </w:p>
        </w:tc>
      </w:tr>
    </w:tbl>
    <w:p>
      <w:pPr>
        <w:snapToGrid w:val="0"/>
        <w:spacing w:line="300" w:lineRule="auto"/>
        <w:contextualSpacing/>
        <w:rPr>
          <w:rFonts w:hint="eastAsia" w:ascii="仿宋_GB2312" w:hAnsi="宋体" w:eastAsia="仿宋_GB2312"/>
          <w:sz w:val="28"/>
          <w:szCs w:val="28"/>
        </w:rPr>
      </w:pPr>
    </w:p>
    <w:p>
      <w:pPr>
        <w:snapToGrid w:val="0"/>
        <w:spacing w:line="400" w:lineRule="exact"/>
        <w:contextualSpacing/>
        <w:rPr>
          <w:rFonts w:eastAsia="方正黑体_GBK"/>
          <w:kern w:val="0"/>
          <w:sz w:val="32"/>
          <w:szCs w:val="32"/>
        </w:rPr>
        <w:sectPr>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pPr>
    </w:p>
    <w:p>
      <w:pPr>
        <w:snapToGrid w:val="0"/>
        <w:spacing w:line="400" w:lineRule="exact"/>
        <w:contextualSpacing/>
        <w:rPr>
          <w:rFonts w:hint="default" w:eastAsia="方正黑体_GBK"/>
          <w:kern w:val="0"/>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11</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tcBorders>
              <w:tl2br w:val="nil"/>
              <w:tr2bl w:val="nil"/>
            </w:tcBorders>
            <w:noWrap w:val="0"/>
            <w:vAlign w:val="center"/>
          </w:tcPr>
          <w:p>
            <w:pPr>
              <w:spacing w:line="340" w:lineRule="exact"/>
              <w:jc w:val="center"/>
              <w:rPr>
                <w:rFonts w:ascii="宋体" w:hAnsi="宋体"/>
                <w:sz w:val="24"/>
              </w:rPr>
            </w:pPr>
            <w:r>
              <w:rPr>
                <w:rFonts w:hint="eastAsia" w:ascii="宋体" w:hAnsi="宋体"/>
                <w:sz w:val="24"/>
              </w:rPr>
              <w:t>序号</w:t>
            </w:r>
          </w:p>
        </w:tc>
        <w:tc>
          <w:tcPr>
            <w:tcW w:w="1254" w:type="pct"/>
            <w:tcBorders>
              <w:tl2br w:val="nil"/>
              <w:tr2bl w:val="nil"/>
            </w:tcBorders>
            <w:noWrap w:val="0"/>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l2br w:val="nil"/>
              <w:tr2bl w:val="nil"/>
            </w:tcBorders>
            <w:noWrap w:val="0"/>
            <w:vAlign w:val="center"/>
          </w:tcPr>
          <w:p>
            <w:pPr>
              <w:spacing w:line="340" w:lineRule="exact"/>
              <w:jc w:val="center"/>
              <w:rPr>
                <w:rFonts w:ascii="宋体" w:hAnsi="宋体"/>
                <w:sz w:val="24"/>
              </w:rPr>
            </w:pPr>
            <w:r>
              <w:rPr>
                <w:rFonts w:hint="eastAsia" w:ascii="宋体" w:hAnsi="宋体"/>
                <w:sz w:val="24"/>
              </w:rPr>
              <w:t>磋商文件要求的商务条款</w:t>
            </w:r>
          </w:p>
        </w:tc>
        <w:tc>
          <w:tcPr>
            <w:tcW w:w="1413" w:type="pct"/>
            <w:tcBorders>
              <w:tl2br w:val="nil"/>
              <w:tr2bl w:val="nil"/>
            </w:tcBorders>
            <w:noWrap w:val="0"/>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l2br w:val="nil"/>
              <w:tr2bl w:val="nil"/>
            </w:tcBorders>
            <w:noWrap w:val="0"/>
            <w:vAlign w:val="top"/>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60" w:type="pct"/>
            <w:tcBorders>
              <w:tl2br w:val="nil"/>
              <w:tr2bl w:val="nil"/>
            </w:tcBorders>
            <w:noWrap w:val="0"/>
            <w:vAlign w:val="top"/>
          </w:tcPr>
          <w:p>
            <w:pPr>
              <w:spacing w:line="340" w:lineRule="exact"/>
              <w:jc w:val="center"/>
              <w:rPr>
                <w:rFonts w:ascii="宋体" w:hAnsi="宋体"/>
                <w:sz w:val="24"/>
              </w:rPr>
            </w:pPr>
            <w:r>
              <w:rPr>
                <w:rFonts w:hint="eastAsia" w:ascii="宋体" w:hAnsi="宋体"/>
                <w:sz w:val="24"/>
              </w:rPr>
              <w:t>1</w:t>
            </w:r>
          </w:p>
        </w:tc>
        <w:tc>
          <w:tcPr>
            <w:tcW w:w="1254" w:type="pct"/>
            <w:tcBorders>
              <w:tl2br w:val="nil"/>
              <w:tr2bl w:val="nil"/>
            </w:tcBorders>
            <w:noWrap w:val="0"/>
            <w:vAlign w:val="center"/>
          </w:tcPr>
          <w:p>
            <w:pPr>
              <w:spacing w:line="340" w:lineRule="exact"/>
              <w:jc w:val="left"/>
              <w:rPr>
                <w:rFonts w:ascii="宋体" w:hAnsi="宋体"/>
                <w:sz w:val="24"/>
              </w:rPr>
            </w:pPr>
          </w:p>
        </w:tc>
        <w:tc>
          <w:tcPr>
            <w:tcW w:w="1095" w:type="pct"/>
            <w:tcBorders>
              <w:tl2br w:val="nil"/>
              <w:tr2bl w:val="nil"/>
            </w:tcBorders>
            <w:noWrap w:val="0"/>
            <w:vAlign w:val="center"/>
          </w:tcPr>
          <w:p>
            <w:pPr>
              <w:spacing w:line="340" w:lineRule="exact"/>
              <w:jc w:val="left"/>
              <w:rPr>
                <w:rFonts w:ascii="宋体" w:hAnsi="宋体"/>
                <w:sz w:val="24"/>
              </w:rPr>
            </w:pPr>
          </w:p>
        </w:tc>
        <w:tc>
          <w:tcPr>
            <w:tcW w:w="1413" w:type="pct"/>
            <w:tcBorders>
              <w:tl2br w:val="nil"/>
              <w:tr2bl w:val="nil"/>
            </w:tcBorders>
            <w:noWrap w:val="0"/>
            <w:vAlign w:val="center"/>
          </w:tcPr>
          <w:p>
            <w:pPr>
              <w:spacing w:line="340" w:lineRule="exact"/>
              <w:jc w:val="left"/>
              <w:rPr>
                <w:sz w:val="24"/>
              </w:rPr>
            </w:pPr>
          </w:p>
        </w:tc>
        <w:tc>
          <w:tcPr>
            <w:tcW w:w="778" w:type="pct"/>
            <w:tcBorders>
              <w:tl2br w:val="nil"/>
              <w:tr2bl w:val="nil"/>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60" w:type="pct"/>
            <w:tcBorders>
              <w:tl2br w:val="nil"/>
              <w:tr2bl w:val="nil"/>
            </w:tcBorders>
            <w:noWrap w:val="0"/>
            <w:vAlign w:val="top"/>
          </w:tcPr>
          <w:p>
            <w:pPr>
              <w:spacing w:line="340" w:lineRule="exact"/>
              <w:jc w:val="center"/>
              <w:rPr>
                <w:rFonts w:ascii="宋体" w:hAnsi="宋体"/>
                <w:sz w:val="24"/>
              </w:rPr>
            </w:pPr>
            <w:r>
              <w:rPr>
                <w:rFonts w:hint="eastAsia" w:ascii="宋体" w:hAnsi="宋体"/>
                <w:sz w:val="24"/>
              </w:rPr>
              <w:t>2</w:t>
            </w:r>
          </w:p>
        </w:tc>
        <w:tc>
          <w:tcPr>
            <w:tcW w:w="1254" w:type="pct"/>
            <w:tcBorders>
              <w:tl2br w:val="nil"/>
              <w:tr2bl w:val="nil"/>
            </w:tcBorders>
            <w:noWrap w:val="0"/>
            <w:vAlign w:val="center"/>
          </w:tcPr>
          <w:p>
            <w:pPr>
              <w:spacing w:line="340" w:lineRule="exact"/>
              <w:jc w:val="left"/>
              <w:rPr>
                <w:rFonts w:ascii="宋体" w:hAnsi="宋体"/>
                <w:sz w:val="24"/>
              </w:rPr>
            </w:pPr>
          </w:p>
        </w:tc>
        <w:tc>
          <w:tcPr>
            <w:tcW w:w="1095" w:type="pct"/>
            <w:tcBorders>
              <w:tl2br w:val="nil"/>
              <w:tr2bl w:val="nil"/>
            </w:tcBorders>
            <w:noWrap w:val="0"/>
            <w:vAlign w:val="center"/>
          </w:tcPr>
          <w:p>
            <w:pPr>
              <w:spacing w:line="340" w:lineRule="exact"/>
              <w:jc w:val="left"/>
              <w:rPr>
                <w:rFonts w:ascii="宋体" w:hAnsi="宋体"/>
                <w:sz w:val="24"/>
              </w:rPr>
            </w:pPr>
          </w:p>
        </w:tc>
        <w:tc>
          <w:tcPr>
            <w:tcW w:w="1413" w:type="pct"/>
            <w:tcBorders>
              <w:tl2br w:val="nil"/>
              <w:tr2bl w:val="nil"/>
            </w:tcBorders>
            <w:noWrap w:val="0"/>
            <w:vAlign w:val="center"/>
          </w:tcPr>
          <w:p>
            <w:pPr>
              <w:spacing w:line="340" w:lineRule="exact"/>
              <w:jc w:val="left"/>
              <w:rPr>
                <w:sz w:val="24"/>
              </w:rPr>
            </w:pPr>
          </w:p>
        </w:tc>
        <w:tc>
          <w:tcPr>
            <w:tcW w:w="778" w:type="pct"/>
            <w:tcBorders>
              <w:tl2br w:val="nil"/>
              <w:tr2bl w:val="nil"/>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60" w:type="pct"/>
            <w:tcBorders>
              <w:tl2br w:val="nil"/>
              <w:tr2bl w:val="nil"/>
            </w:tcBorders>
            <w:noWrap w:val="0"/>
            <w:vAlign w:val="top"/>
          </w:tcPr>
          <w:p>
            <w:pPr>
              <w:spacing w:line="340" w:lineRule="exact"/>
              <w:jc w:val="center"/>
              <w:rPr>
                <w:rFonts w:ascii="宋体" w:hAnsi="宋体"/>
                <w:sz w:val="24"/>
              </w:rPr>
            </w:pPr>
            <w:r>
              <w:rPr>
                <w:rFonts w:hint="eastAsia" w:ascii="宋体" w:hAnsi="宋体"/>
                <w:sz w:val="24"/>
              </w:rPr>
              <w:t>3</w:t>
            </w:r>
          </w:p>
        </w:tc>
        <w:tc>
          <w:tcPr>
            <w:tcW w:w="1254" w:type="pct"/>
            <w:tcBorders>
              <w:tl2br w:val="nil"/>
              <w:tr2bl w:val="nil"/>
            </w:tcBorders>
            <w:noWrap w:val="0"/>
            <w:vAlign w:val="center"/>
          </w:tcPr>
          <w:p>
            <w:pPr>
              <w:spacing w:line="340" w:lineRule="exact"/>
              <w:jc w:val="left"/>
              <w:rPr>
                <w:rFonts w:ascii="宋体" w:hAnsi="宋体"/>
                <w:sz w:val="24"/>
              </w:rPr>
            </w:pPr>
          </w:p>
        </w:tc>
        <w:tc>
          <w:tcPr>
            <w:tcW w:w="1095" w:type="pct"/>
            <w:tcBorders>
              <w:tl2br w:val="nil"/>
              <w:tr2bl w:val="nil"/>
            </w:tcBorders>
            <w:noWrap w:val="0"/>
            <w:vAlign w:val="center"/>
          </w:tcPr>
          <w:p>
            <w:pPr>
              <w:spacing w:line="340" w:lineRule="exact"/>
              <w:jc w:val="left"/>
              <w:rPr>
                <w:sz w:val="24"/>
              </w:rPr>
            </w:pPr>
          </w:p>
        </w:tc>
        <w:tc>
          <w:tcPr>
            <w:tcW w:w="1413" w:type="pct"/>
            <w:tcBorders>
              <w:tl2br w:val="nil"/>
              <w:tr2bl w:val="nil"/>
            </w:tcBorders>
            <w:noWrap w:val="0"/>
            <w:vAlign w:val="center"/>
          </w:tcPr>
          <w:p>
            <w:pPr>
              <w:spacing w:line="340" w:lineRule="exact"/>
              <w:jc w:val="left"/>
              <w:rPr>
                <w:sz w:val="24"/>
              </w:rPr>
            </w:pPr>
          </w:p>
        </w:tc>
        <w:tc>
          <w:tcPr>
            <w:tcW w:w="778" w:type="pct"/>
            <w:tcBorders>
              <w:tl2br w:val="nil"/>
              <w:tr2bl w:val="nil"/>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60" w:type="pct"/>
            <w:tcBorders>
              <w:tl2br w:val="nil"/>
              <w:tr2bl w:val="nil"/>
            </w:tcBorders>
            <w:noWrap w:val="0"/>
            <w:vAlign w:val="top"/>
          </w:tcPr>
          <w:p>
            <w:pPr>
              <w:spacing w:line="340" w:lineRule="exact"/>
              <w:jc w:val="center"/>
              <w:rPr>
                <w:rFonts w:ascii="宋体" w:hAnsi="宋体"/>
                <w:sz w:val="24"/>
              </w:rPr>
            </w:pPr>
            <w:r>
              <w:rPr>
                <w:rFonts w:hint="eastAsia" w:ascii="宋体" w:hAnsi="宋体"/>
                <w:sz w:val="24"/>
              </w:rPr>
              <w:t>4</w:t>
            </w:r>
          </w:p>
        </w:tc>
        <w:tc>
          <w:tcPr>
            <w:tcW w:w="1254" w:type="pct"/>
            <w:tcBorders>
              <w:tl2br w:val="nil"/>
              <w:tr2bl w:val="nil"/>
            </w:tcBorders>
            <w:noWrap w:val="0"/>
            <w:vAlign w:val="center"/>
          </w:tcPr>
          <w:p>
            <w:pPr>
              <w:spacing w:line="340" w:lineRule="exact"/>
              <w:jc w:val="left"/>
              <w:rPr>
                <w:rFonts w:ascii="宋体" w:hAnsi="宋体"/>
                <w:sz w:val="24"/>
              </w:rPr>
            </w:pPr>
          </w:p>
        </w:tc>
        <w:tc>
          <w:tcPr>
            <w:tcW w:w="1095" w:type="pct"/>
            <w:tcBorders>
              <w:tl2br w:val="nil"/>
              <w:tr2bl w:val="nil"/>
            </w:tcBorders>
            <w:noWrap w:val="0"/>
            <w:vAlign w:val="center"/>
          </w:tcPr>
          <w:p>
            <w:pPr>
              <w:spacing w:line="340" w:lineRule="exact"/>
              <w:jc w:val="left"/>
              <w:rPr>
                <w:rFonts w:ascii="宋体" w:hAnsi="宋体"/>
                <w:sz w:val="24"/>
              </w:rPr>
            </w:pPr>
          </w:p>
        </w:tc>
        <w:tc>
          <w:tcPr>
            <w:tcW w:w="1413" w:type="pct"/>
            <w:tcBorders>
              <w:tl2br w:val="nil"/>
              <w:tr2bl w:val="nil"/>
            </w:tcBorders>
            <w:noWrap w:val="0"/>
            <w:vAlign w:val="center"/>
          </w:tcPr>
          <w:p>
            <w:pPr>
              <w:spacing w:line="340" w:lineRule="exact"/>
              <w:jc w:val="left"/>
              <w:rPr>
                <w:sz w:val="24"/>
              </w:rPr>
            </w:pPr>
          </w:p>
        </w:tc>
        <w:tc>
          <w:tcPr>
            <w:tcW w:w="778" w:type="pct"/>
            <w:tcBorders>
              <w:tl2br w:val="nil"/>
              <w:tr2bl w:val="nil"/>
            </w:tcBorders>
            <w:noWrap w:val="0"/>
            <w:vAlign w:val="top"/>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1.供应商提交的响应文件中与磋商文件第三部分“项目需求”中的商务部分的要求，应逐条填列在偏离表中。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w:t>
      </w:r>
      <w:r>
        <w:rPr>
          <w:rFonts w:hint="eastAsia" w:ascii="宋体" w:hAnsi="宋体"/>
          <w:color w:val="000000"/>
          <w:sz w:val="24"/>
        </w:rPr>
        <w:t>的是否响应</w:t>
      </w:r>
      <w:r>
        <w:rPr>
          <w:rFonts w:hint="eastAsia" w:ascii="宋体" w:hAnsi="宋体"/>
          <w:color w:val="000000"/>
          <w:sz w:val="24"/>
          <w:lang w:val="en-US" w:eastAsia="zh-CN"/>
        </w:rPr>
        <w:t>采购</w:t>
      </w:r>
      <w:r>
        <w:rPr>
          <w:rFonts w:hint="eastAsia" w:ascii="宋体" w:hAnsi="宋体"/>
          <w:color w:val="000000"/>
          <w:sz w:val="24"/>
        </w:rPr>
        <w:t>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pPr>
        <w:snapToGrid w:val="0"/>
        <w:spacing w:line="400" w:lineRule="exact"/>
        <w:contextualSpacing/>
        <w:rPr>
          <w:rFonts w:eastAsia="方正黑体_GBK"/>
          <w:kern w:val="0"/>
          <w:sz w:val="32"/>
          <w:szCs w:val="32"/>
        </w:rPr>
        <w:sectPr>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pPr>
    </w:p>
    <w:p>
      <w:pPr>
        <w:snapToGrid w:val="0"/>
        <w:spacing w:line="400" w:lineRule="exact"/>
        <w:contextualSpacing/>
        <w:rPr>
          <w:rFonts w:hint="default" w:eastAsia="方正黑体_GBK"/>
          <w:kern w:val="0"/>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12</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安防部分正负偏离表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14"/>
        <w:tblW w:w="52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575"/>
        <w:gridCol w:w="1470"/>
        <w:gridCol w:w="1992"/>
        <w:gridCol w:w="1241"/>
        <w:gridCol w:w="1094"/>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86" w:type="pct"/>
            <w:tcBorders>
              <w:tl2br w:val="nil"/>
              <w:tr2bl w:val="nil"/>
            </w:tcBorders>
            <w:noWrap w:val="0"/>
            <w:vAlign w:val="center"/>
          </w:tcPr>
          <w:p>
            <w:pPr>
              <w:keepNext w:val="0"/>
              <w:keepLines w:val="0"/>
              <w:widowControl/>
              <w:suppressLineNumbers w:val="0"/>
              <w:jc w:val="center"/>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序号</w:t>
            </w:r>
          </w:p>
        </w:tc>
        <w:tc>
          <w:tcPr>
            <w:tcW w:w="876" w:type="pct"/>
            <w:tcBorders>
              <w:tl2br w:val="nil"/>
              <w:tr2bl w:val="nil"/>
            </w:tcBorders>
            <w:noWrap w:val="0"/>
            <w:vAlign w:val="center"/>
          </w:tcPr>
          <w:p>
            <w:pPr>
              <w:keepNext w:val="0"/>
              <w:keepLines w:val="0"/>
              <w:widowControl/>
              <w:suppressLineNumbers w:val="0"/>
              <w:jc w:val="center"/>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货物名称</w:t>
            </w:r>
          </w:p>
        </w:tc>
        <w:tc>
          <w:tcPr>
            <w:tcW w:w="818" w:type="pct"/>
            <w:tcBorders>
              <w:tl2br w:val="nil"/>
              <w:tr2bl w:val="nil"/>
            </w:tcBorders>
            <w:noWrap w:val="0"/>
            <w:vAlign w:val="center"/>
          </w:tcPr>
          <w:p>
            <w:pPr>
              <w:keepNext w:val="0"/>
              <w:keepLines w:val="0"/>
              <w:widowControl/>
              <w:suppressLineNumbers w:val="0"/>
              <w:jc w:val="center"/>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招标文件要求的技术要求</w:t>
            </w:r>
          </w:p>
        </w:tc>
        <w:tc>
          <w:tcPr>
            <w:tcW w:w="1109" w:type="pct"/>
            <w:tcBorders>
              <w:tl2br w:val="nil"/>
              <w:tr2bl w:val="nil"/>
            </w:tcBorders>
            <w:noWrap w:val="0"/>
            <w:vAlign w:val="center"/>
          </w:tcPr>
          <w:p>
            <w:pPr>
              <w:keepNext w:val="0"/>
              <w:keepLines w:val="0"/>
              <w:widowControl/>
              <w:suppressLineNumbers w:val="0"/>
              <w:jc w:val="center"/>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投标文件响应情况</w:t>
            </w:r>
          </w:p>
        </w:tc>
        <w:tc>
          <w:tcPr>
            <w:tcW w:w="690" w:type="pct"/>
            <w:tcBorders>
              <w:tl2br w:val="nil"/>
              <w:tr2bl w:val="nil"/>
            </w:tcBorders>
            <w:noWrap w:val="0"/>
            <w:vAlign w:val="center"/>
          </w:tcPr>
          <w:p>
            <w:pPr>
              <w:keepNext w:val="0"/>
              <w:keepLines w:val="0"/>
              <w:widowControl/>
              <w:suppressLineNumbers w:val="0"/>
              <w:jc w:val="center"/>
              <w:rPr>
                <w:rFonts w:hint="eastAsia" w:ascii="宋体" w:hAnsi="宋体" w:eastAsia="宋体" w:cs="宋体"/>
                <w:b/>
                <w:bCs/>
                <w:color w:val="auto"/>
                <w:spacing w:val="0"/>
                <w:sz w:val="24"/>
                <w:szCs w:val="24"/>
                <w:highlight w:val="none"/>
                <w:lang w:val="zh-CN"/>
              </w:rPr>
            </w:pPr>
            <w:r>
              <w:rPr>
                <w:rFonts w:hint="eastAsia" w:ascii="宋体" w:hAnsi="宋体" w:eastAsia="宋体" w:cs="宋体"/>
                <w:b/>
                <w:bCs/>
                <w:color w:val="auto"/>
                <w:spacing w:val="0"/>
                <w:sz w:val="24"/>
                <w:szCs w:val="24"/>
                <w:highlight w:val="none"/>
                <w:lang w:val="zh-CN"/>
              </w:rPr>
              <w:t>偏离说明</w:t>
            </w:r>
          </w:p>
        </w:tc>
        <w:tc>
          <w:tcPr>
            <w:tcW w:w="609" w:type="pct"/>
            <w:tcBorders>
              <w:tl2br w:val="nil"/>
              <w:tr2bl w:val="nil"/>
            </w:tcBorders>
            <w:noWrap w:val="0"/>
            <w:vAlign w:val="center"/>
          </w:tcPr>
          <w:p>
            <w:pPr>
              <w:keepNext w:val="0"/>
              <w:keepLines w:val="0"/>
              <w:pageBreakBefore w:val="0"/>
              <w:widowControl/>
              <w:spacing w:line="360" w:lineRule="auto"/>
              <w:jc w:val="center"/>
              <w:rPr>
                <w:rFonts w:hint="eastAsia" w:ascii="宋体" w:hAnsi="宋体" w:eastAsia="宋体" w:cs="宋体"/>
                <w:b/>
                <w:bCs/>
                <w:color w:val="auto"/>
                <w:spacing w:val="0"/>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供应商拟用品牌</w:t>
            </w:r>
          </w:p>
        </w:tc>
        <w:tc>
          <w:tcPr>
            <w:tcW w:w="609" w:type="pct"/>
            <w:tcBorders>
              <w:tl2br w:val="nil"/>
              <w:tr2bl w:val="nil"/>
            </w:tcBorders>
            <w:noWrap w:val="0"/>
            <w:vAlign w:val="center"/>
          </w:tcPr>
          <w:p>
            <w:pPr>
              <w:keepNext w:val="0"/>
              <w:keepLines w:val="0"/>
              <w:pageBreakBefore w:val="0"/>
              <w:widowControl/>
              <w:spacing w:line="360" w:lineRule="auto"/>
              <w:jc w:val="center"/>
              <w:rPr>
                <w:rFonts w:hint="eastAsia" w:ascii="宋体" w:hAnsi="宋体" w:eastAsia="宋体" w:cs="宋体"/>
                <w:b/>
                <w:bCs/>
                <w:color w:val="auto"/>
                <w:spacing w:val="0"/>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相关佐证材料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tcBorders>
              <w:tl2br w:val="nil"/>
              <w:tr2bl w:val="nil"/>
            </w:tcBorders>
            <w:noWrap w:val="0"/>
            <w:vAlign w:val="top"/>
          </w:tcPr>
          <w:p>
            <w:pPr>
              <w:spacing w:line="340" w:lineRule="exact"/>
              <w:jc w:val="center"/>
              <w:rPr>
                <w:rFonts w:ascii="宋体" w:hAnsi="宋体"/>
                <w:color w:val="auto"/>
                <w:sz w:val="24"/>
              </w:rPr>
            </w:pPr>
            <w:r>
              <w:rPr>
                <w:rFonts w:hint="eastAsia" w:ascii="宋体" w:hAnsi="宋体"/>
                <w:color w:val="auto"/>
                <w:sz w:val="24"/>
              </w:rPr>
              <w:t>1</w:t>
            </w:r>
          </w:p>
        </w:tc>
        <w:tc>
          <w:tcPr>
            <w:tcW w:w="876" w:type="pct"/>
            <w:tcBorders>
              <w:tl2br w:val="nil"/>
              <w:tr2bl w:val="nil"/>
            </w:tcBorders>
            <w:noWrap w:val="0"/>
            <w:vAlign w:val="center"/>
          </w:tcPr>
          <w:p>
            <w:pPr>
              <w:spacing w:line="340" w:lineRule="exact"/>
              <w:jc w:val="left"/>
              <w:rPr>
                <w:rFonts w:ascii="宋体" w:hAnsi="宋体"/>
                <w:color w:val="auto"/>
                <w:sz w:val="24"/>
              </w:rPr>
            </w:pPr>
          </w:p>
        </w:tc>
        <w:tc>
          <w:tcPr>
            <w:tcW w:w="818" w:type="pct"/>
            <w:tcBorders>
              <w:tl2br w:val="nil"/>
              <w:tr2bl w:val="nil"/>
            </w:tcBorders>
            <w:noWrap w:val="0"/>
            <w:vAlign w:val="center"/>
          </w:tcPr>
          <w:p>
            <w:pPr>
              <w:spacing w:line="340" w:lineRule="exact"/>
              <w:jc w:val="left"/>
              <w:rPr>
                <w:rFonts w:ascii="宋体" w:hAnsi="宋体"/>
                <w:color w:val="auto"/>
                <w:sz w:val="24"/>
              </w:rPr>
            </w:pPr>
          </w:p>
        </w:tc>
        <w:tc>
          <w:tcPr>
            <w:tcW w:w="1109" w:type="pct"/>
            <w:tcBorders>
              <w:tl2br w:val="nil"/>
              <w:tr2bl w:val="nil"/>
            </w:tcBorders>
            <w:noWrap w:val="0"/>
            <w:vAlign w:val="center"/>
          </w:tcPr>
          <w:p>
            <w:pPr>
              <w:spacing w:line="340" w:lineRule="exact"/>
              <w:jc w:val="left"/>
              <w:rPr>
                <w:color w:val="auto"/>
                <w:sz w:val="24"/>
              </w:rPr>
            </w:pPr>
          </w:p>
        </w:tc>
        <w:tc>
          <w:tcPr>
            <w:tcW w:w="690"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tcBorders>
              <w:tl2br w:val="nil"/>
              <w:tr2bl w:val="nil"/>
            </w:tcBorders>
            <w:noWrap w:val="0"/>
            <w:vAlign w:val="top"/>
          </w:tcPr>
          <w:p>
            <w:pPr>
              <w:spacing w:line="340" w:lineRule="exact"/>
              <w:jc w:val="center"/>
              <w:rPr>
                <w:rFonts w:ascii="宋体" w:hAnsi="宋体"/>
                <w:color w:val="auto"/>
                <w:sz w:val="24"/>
              </w:rPr>
            </w:pPr>
            <w:r>
              <w:rPr>
                <w:rFonts w:hint="eastAsia" w:ascii="宋体" w:hAnsi="宋体"/>
                <w:color w:val="auto"/>
                <w:sz w:val="24"/>
              </w:rPr>
              <w:t>2</w:t>
            </w:r>
          </w:p>
        </w:tc>
        <w:tc>
          <w:tcPr>
            <w:tcW w:w="876" w:type="pct"/>
            <w:tcBorders>
              <w:tl2br w:val="nil"/>
              <w:tr2bl w:val="nil"/>
            </w:tcBorders>
            <w:noWrap w:val="0"/>
            <w:vAlign w:val="center"/>
          </w:tcPr>
          <w:p>
            <w:pPr>
              <w:spacing w:line="340" w:lineRule="exact"/>
              <w:jc w:val="left"/>
              <w:rPr>
                <w:rFonts w:ascii="宋体" w:hAnsi="宋体"/>
                <w:color w:val="auto"/>
                <w:sz w:val="24"/>
              </w:rPr>
            </w:pPr>
          </w:p>
        </w:tc>
        <w:tc>
          <w:tcPr>
            <w:tcW w:w="818" w:type="pct"/>
            <w:tcBorders>
              <w:tl2br w:val="nil"/>
              <w:tr2bl w:val="nil"/>
            </w:tcBorders>
            <w:noWrap w:val="0"/>
            <w:vAlign w:val="center"/>
          </w:tcPr>
          <w:p>
            <w:pPr>
              <w:spacing w:line="340" w:lineRule="exact"/>
              <w:jc w:val="left"/>
              <w:rPr>
                <w:rFonts w:ascii="宋体" w:hAnsi="宋体"/>
                <w:color w:val="auto"/>
                <w:sz w:val="24"/>
              </w:rPr>
            </w:pPr>
          </w:p>
        </w:tc>
        <w:tc>
          <w:tcPr>
            <w:tcW w:w="1109" w:type="pct"/>
            <w:tcBorders>
              <w:tl2br w:val="nil"/>
              <w:tr2bl w:val="nil"/>
            </w:tcBorders>
            <w:noWrap w:val="0"/>
            <w:vAlign w:val="center"/>
          </w:tcPr>
          <w:p>
            <w:pPr>
              <w:spacing w:line="340" w:lineRule="exact"/>
              <w:jc w:val="left"/>
              <w:rPr>
                <w:color w:val="auto"/>
                <w:sz w:val="24"/>
              </w:rPr>
            </w:pPr>
          </w:p>
        </w:tc>
        <w:tc>
          <w:tcPr>
            <w:tcW w:w="690"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tcBorders>
              <w:tl2br w:val="nil"/>
              <w:tr2bl w:val="nil"/>
            </w:tcBorders>
            <w:noWrap w:val="0"/>
            <w:vAlign w:val="top"/>
          </w:tcPr>
          <w:p>
            <w:pPr>
              <w:spacing w:line="340" w:lineRule="exact"/>
              <w:jc w:val="center"/>
              <w:rPr>
                <w:rFonts w:ascii="宋体" w:hAnsi="宋体"/>
                <w:color w:val="auto"/>
                <w:sz w:val="24"/>
              </w:rPr>
            </w:pPr>
            <w:r>
              <w:rPr>
                <w:rFonts w:hint="eastAsia" w:ascii="宋体" w:hAnsi="宋体"/>
                <w:color w:val="auto"/>
                <w:sz w:val="24"/>
              </w:rPr>
              <w:t>3</w:t>
            </w:r>
          </w:p>
        </w:tc>
        <w:tc>
          <w:tcPr>
            <w:tcW w:w="876" w:type="pct"/>
            <w:tcBorders>
              <w:tl2br w:val="nil"/>
              <w:tr2bl w:val="nil"/>
            </w:tcBorders>
            <w:noWrap w:val="0"/>
            <w:vAlign w:val="center"/>
          </w:tcPr>
          <w:p>
            <w:pPr>
              <w:spacing w:line="340" w:lineRule="exact"/>
              <w:jc w:val="left"/>
              <w:rPr>
                <w:rFonts w:ascii="宋体" w:hAnsi="宋体"/>
                <w:color w:val="auto"/>
                <w:sz w:val="24"/>
              </w:rPr>
            </w:pPr>
          </w:p>
        </w:tc>
        <w:tc>
          <w:tcPr>
            <w:tcW w:w="818" w:type="pct"/>
            <w:tcBorders>
              <w:tl2br w:val="nil"/>
              <w:tr2bl w:val="nil"/>
            </w:tcBorders>
            <w:noWrap w:val="0"/>
            <w:vAlign w:val="center"/>
          </w:tcPr>
          <w:p>
            <w:pPr>
              <w:spacing w:line="340" w:lineRule="exact"/>
              <w:jc w:val="left"/>
              <w:rPr>
                <w:color w:val="auto"/>
                <w:sz w:val="24"/>
              </w:rPr>
            </w:pPr>
          </w:p>
        </w:tc>
        <w:tc>
          <w:tcPr>
            <w:tcW w:w="1109" w:type="pct"/>
            <w:tcBorders>
              <w:tl2br w:val="nil"/>
              <w:tr2bl w:val="nil"/>
            </w:tcBorders>
            <w:noWrap w:val="0"/>
            <w:vAlign w:val="center"/>
          </w:tcPr>
          <w:p>
            <w:pPr>
              <w:spacing w:line="340" w:lineRule="exact"/>
              <w:jc w:val="left"/>
              <w:rPr>
                <w:color w:val="auto"/>
                <w:sz w:val="24"/>
              </w:rPr>
            </w:pPr>
          </w:p>
        </w:tc>
        <w:tc>
          <w:tcPr>
            <w:tcW w:w="690"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tcBorders>
              <w:tl2br w:val="nil"/>
              <w:tr2bl w:val="nil"/>
            </w:tcBorders>
            <w:noWrap w:val="0"/>
            <w:vAlign w:val="top"/>
          </w:tcPr>
          <w:p>
            <w:pPr>
              <w:spacing w:line="340" w:lineRule="exact"/>
              <w:jc w:val="center"/>
              <w:rPr>
                <w:rFonts w:ascii="宋体" w:hAnsi="宋体"/>
                <w:color w:val="auto"/>
                <w:sz w:val="24"/>
              </w:rPr>
            </w:pPr>
            <w:r>
              <w:rPr>
                <w:rFonts w:hint="eastAsia" w:ascii="宋体" w:hAnsi="宋体"/>
                <w:color w:val="auto"/>
                <w:sz w:val="24"/>
              </w:rPr>
              <w:t>4</w:t>
            </w:r>
          </w:p>
        </w:tc>
        <w:tc>
          <w:tcPr>
            <w:tcW w:w="876" w:type="pct"/>
            <w:tcBorders>
              <w:tl2br w:val="nil"/>
              <w:tr2bl w:val="nil"/>
            </w:tcBorders>
            <w:noWrap w:val="0"/>
            <w:vAlign w:val="center"/>
          </w:tcPr>
          <w:p>
            <w:pPr>
              <w:spacing w:line="340" w:lineRule="exact"/>
              <w:jc w:val="left"/>
              <w:rPr>
                <w:rFonts w:ascii="宋体" w:hAnsi="宋体"/>
                <w:color w:val="auto"/>
                <w:sz w:val="24"/>
              </w:rPr>
            </w:pPr>
          </w:p>
        </w:tc>
        <w:tc>
          <w:tcPr>
            <w:tcW w:w="818" w:type="pct"/>
            <w:tcBorders>
              <w:tl2br w:val="nil"/>
              <w:tr2bl w:val="nil"/>
            </w:tcBorders>
            <w:noWrap w:val="0"/>
            <w:vAlign w:val="center"/>
          </w:tcPr>
          <w:p>
            <w:pPr>
              <w:spacing w:line="340" w:lineRule="exact"/>
              <w:jc w:val="left"/>
              <w:rPr>
                <w:rFonts w:ascii="宋体" w:hAnsi="宋体"/>
                <w:color w:val="auto"/>
                <w:sz w:val="24"/>
              </w:rPr>
            </w:pPr>
          </w:p>
        </w:tc>
        <w:tc>
          <w:tcPr>
            <w:tcW w:w="1109" w:type="pct"/>
            <w:tcBorders>
              <w:tl2br w:val="nil"/>
              <w:tr2bl w:val="nil"/>
            </w:tcBorders>
            <w:noWrap w:val="0"/>
            <w:vAlign w:val="center"/>
          </w:tcPr>
          <w:p>
            <w:pPr>
              <w:spacing w:line="340" w:lineRule="exact"/>
              <w:jc w:val="left"/>
              <w:rPr>
                <w:color w:val="auto"/>
                <w:sz w:val="24"/>
              </w:rPr>
            </w:pPr>
          </w:p>
        </w:tc>
        <w:tc>
          <w:tcPr>
            <w:tcW w:w="690"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c>
          <w:tcPr>
            <w:tcW w:w="609" w:type="pct"/>
            <w:tcBorders>
              <w:tl2br w:val="nil"/>
              <w:tr2bl w:val="nil"/>
            </w:tcBorders>
            <w:noWrap w:val="0"/>
            <w:vAlign w:val="top"/>
          </w:tcPr>
          <w:p>
            <w:pPr>
              <w:spacing w:line="340" w:lineRule="exact"/>
              <w:jc w:val="left"/>
              <w:rPr>
                <w:color w:val="auto"/>
                <w:sz w:val="24"/>
              </w:rPr>
            </w:pPr>
          </w:p>
        </w:tc>
      </w:tr>
    </w:tbl>
    <w:p>
      <w:pPr>
        <w:snapToGrid w:val="0"/>
        <w:spacing w:line="300" w:lineRule="auto"/>
        <w:contextualSpacing/>
        <w:rPr>
          <w:rFonts w:hint="eastAsia" w:ascii="宋体" w:hAnsi="宋体"/>
          <w:b/>
          <w:sz w:val="24"/>
        </w:rPr>
      </w:pPr>
    </w:p>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1.供应商提交的响应文件中与磋商文件第三部分“项目需求”中的技术部分的要求，应逐条填列在偏离表中。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w:t>
      </w:r>
      <w:r>
        <w:rPr>
          <w:rFonts w:hint="eastAsia" w:ascii="宋体" w:hAnsi="宋体"/>
          <w:color w:val="000000"/>
          <w:sz w:val="24"/>
        </w:rPr>
        <w:t>偏离的是否响应</w:t>
      </w:r>
      <w:r>
        <w:rPr>
          <w:rFonts w:hint="eastAsia" w:ascii="宋体" w:hAnsi="宋体"/>
          <w:color w:val="000000"/>
          <w:sz w:val="24"/>
          <w:lang w:val="en-US" w:eastAsia="zh-CN"/>
        </w:rPr>
        <w:t>采购</w:t>
      </w:r>
      <w:r>
        <w:rPr>
          <w:rFonts w:hint="eastAsia" w:ascii="宋体" w:hAnsi="宋体"/>
          <w:color w:val="000000"/>
          <w:sz w:val="24"/>
        </w:rPr>
        <w:t>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sz w:val="24"/>
        </w:rPr>
        <w:t>3.</w:t>
      </w:r>
      <w:r>
        <w:rPr>
          <w:rFonts w:hint="eastAsia" w:ascii="宋体" w:hAnsi="宋体"/>
          <w:bCs/>
          <w:sz w:val="24"/>
        </w:rPr>
        <w:t>供应商若提供其他增值服务，可以在表中自行据实填写。</w:t>
      </w:r>
    </w:p>
    <w:p>
      <w:pPr>
        <w:snapToGrid w:val="0"/>
        <w:spacing w:line="400" w:lineRule="exact"/>
        <w:contextualSpacing/>
        <w:rPr>
          <w:rFonts w:eastAsia="方正黑体_GBK"/>
          <w:kern w:val="0"/>
          <w:sz w:val="32"/>
          <w:szCs w:val="32"/>
        </w:rPr>
        <w:sectPr>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pPr>
    </w:p>
    <w:p>
      <w:pPr>
        <w:rPr>
          <w:rFonts w:hint="eastAsia" w:eastAsia="方正黑体_GBK"/>
          <w:kern w:val="0"/>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13</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b/>
          <w:color w:val="000000"/>
          <w:sz w:val="30"/>
          <w:szCs w:val="30"/>
          <w:lang w:val="en-US" w:eastAsia="zh-CN"/>
        </w:rPr>
      </w:pPr>
      <w:r>
        <w:rPr>
          <w:rFonts w:hint="eastAsia" w:ascii="宋体" w:hAnsi="宋体"/>
          <w:b/>
          <w:color w:val="000000"/>
          <w:sz w:val="30"/>
          <w:szCs w:val="30"/>
          <w:lang w:val="en-US" w:eastAsia="zh-CN"/>
        </w:rPr>
        <w:t>环境装修部分材料品牌约定</w:t>
      </w:r>
    </w:p>
    <w:tbl>
      <w:tblPr>
        <w:tblStyle w:val="14"/>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2348"/>
        <w:gridCol w:w="2760"/>
        <w:gridCol w:w="1766"/>
        <w:gridCol w:w="1457"/>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auto"/>
                <w:spacing w:val="0"/>
                <w:sz w:val="24"/>
                <w:szCs w:val="24"/>
                <w:highlight w:val="none"/>
                <w:lang w:val="en-US" w:eastAsia="zh-CN"/>
              </w:rPr>
              <w:t>采购文件</w:t>
            </w:r>
            <w:r>
              <w:rPr>
                <w:rFonts w:hint="eastAsia" w:ascii="宋体" w:hAnsi="宋体" w:eastAsia="宋体" w:cs="宋体"/>
                <w:b/>
                <w:bCs/>
                <w:color w:val="auto"/>
                <w:spacing w:val="0"/>
                <w:sz w:val="24"/>
                <w:szCs w:val="24"/>
                <w:highlight w:val="none"/>
                <w:lang w:val="zh-CN"/>
              </w:rPr>
              <w:t>推荐品牌</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供应商拟用品牌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如非推荐品牌，相关佐证材料</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墙顶面漆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上海立邦、多乐士、三棵树或不低于此</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供应商名称（公章）：</w:t>
      </w: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法定代表人或授权代表人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sz w:val="24"/>
          <w:szCs w:val="24"/>
          <w:highlight w:val="none"/>
        </w:rPr>
      </w:pP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sz w:val="24"/>
          <w:szCs w:val="24"/>
          <w:highlight w:val="none"/>
        </w:rPr>
      </w:pPr>
    </w:p>
    <w:p>
      <w:pPr>
        <w:rPr>
          <w:rFonts w:eastAsia="方正黑体_GBK"/>
          <w:kern w:val="0"/>
          <w:sz w:val="32"/>
          <w:szCs w:val="32"/>
        </w:rPr>
      </w:pPr>
      <w:r>
        <w:rPr>
          <w:rFonts w:eastAsia="方正黑体_GBK"/>
          <w:kern w:val="0"/>
          <w:sz w:val="32"/>
          <w:szCs w:val="32"/>
        </w:rPr>
        <w:br w:type="page"/>
      </w:r>
    </w:p>
    <w:p>
      <w:pPr>
        <w:snapToGrid w:val="0"/>
        <w:spacing w:line="400" w:lineRule="exact"/>
        <w:contextualSpacing/>
        <w:rPr>
          <w:rFonts w:hint="eastAsia" w:ascii="宋体" w:hAnsi="宋体" w:eastAsia="宋体" w:cs="Times New Roman"/>
          <w:b/>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14</w:t>
      </w:r>
    </w:p>
    <w:p>
      <w:pPr>
        <w:snapToGrid w:val="0"/>
        <w:spacing w:line="300" w:lineRule="auto"/>
        <w:contextualSpacing/>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竞争性磋商申请及声明</w:t>
      </w:r>
    </w:p>
    <w:p>
      <w:pPr>
        <w:keepNext w:val="0"/>
        <w:keepLines w:val="0"/>
        <w:pageBreakBefore w:val="0"/>
        <w:kinsoku/>
        <w:wordWrap/>
        <w:overflowPunct/>
        <w:topLinePunct w:val="0"/>
        <w:autoSpaceDE/>
        <w:autoSpaceDN/>
        <w:bidi w:val="0"/>
        <w:adjustRightInd/>
        <w:spacing w:line="360" w:lineRule="auto"/>
        <w:ind w:left="6"/>
        <w:textAlignment w:val="auto"/>
        <w:rPr>
          <w:rFonts w:hint="eastAsia" w:ascii="宋体" w:hAnsi="宋体" w:eastAsia="宋体" w:cs="宋体"/>
          <w:color w:val="auto"/>
          <w:spacing w:val="0"/>
          <w:highlight w:val="none"/>
        </w:rPr>
      </w:pPr>
    </w:p>
    <w:p>
      <w:pPr>
        <w:keepNext w:val="0"/>
        <w:keepLines w:val="0"/>
        <w:pageBreakBefore w:val="0"/>
        <w:kinsoku/>
        <w:wordWrap/>
        <w:overflowPunct/>
        <w:topLinePunct w:val="0"/>
        <w:autoSpaceDE/>
        <w:autoSpaceDN/>
        <w:bidi w:val="0"/>
        <w:adjustRightInd/>
        <w:spacing w:line="360" w:lineRule="auto"/>
        <w:ind w:left="6"/>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致：</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（采购人）</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lang w:val="zh-CN"/>
        </w:rPr>
      </w:pPr>
      <w:r>
        <w:rPr>
          <w:rFonts w:hint="eastAsia" w:ascii="宋体" w:hAnsi="宋体" w:eastAsia="宋体" w:cs="宋体"/>
          <w:color w:val="auto"/>
          <w:spacing w:val="0"/>
          <w:highlight w:val="none"/>
          <w:lang w:val="zh-CN"/>
        </w:rPr>
        <w:t>根据贵方</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（项目名称）</w:t>
      </w:r>
      <w:r>
        <w:rPr>
          <w:rFonts w:hint="eastAsia" w:ascii="宋体" w:hAnsi="宋体" w:eastAsia="宋体" w:cs="宋体"/>
          <w:b/>
          <w:color w:val="auto"/>
          <w:spacing w:val="0"/>
          <w:highlight w:val="none"/>
          <w:u w:val="single"/>
        </w:rPr>
        <w:t xml:space="preserve">         </w:t>
      </w:r>
      <w:r>
        <w:rPr>
          <w:rFonts w:hint="eastAsia" w:ascii="宋体" w:hAnsi="宋体" w:eastAsia="宋体" w:cs="宋体"/>
          <w:color w:val="auto"/>
          <w:spacing w:val="0"/>
          <w:highlight w:val="none"/>
          <w:lang w:val="zh-CN"/>
        </w:rPr>
        <w:t>（项目编号）竞争性磋商公告，正式授权下述签字人</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（姓名和职务）代表</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（供应商名称），提交响应文件并参加磋商。</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据此函，签字人兹宣布同意如下：</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1.我方完全理解贵方不一定将合同授予最低报价的响应人。</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2.我方已详细审核全部竞争性磋商文件及其有效补充文件，我们知道必须放弃提出含糊不清或误解问题的权利。</w:t>
      </w:r>
    </w:p>
    <w:p>
      <w:pPr>
        <w:keepNext w:val="0"/>
        <w:keepLines w:val="0"/>
        <w:pageBreakBefore w:val="0"/>
        <w:tabs>
          <w:tab w:val="left" w:pos="0"/>
        </w:tabs>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3.我方愿以人民币（大写）</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的总价，按磋商文件的要求承包本次磋商范围内的全部工程。</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4</w:t>
      </w:r>
      <w:r>
        <w:rPr>
          <w:rFonts w:hint="eastAsia" w:ascii="宋体" w:hAnsi="宋体" w:eastAsia="宋体" w:cs="宋体"/>
          <w:color w:val="auto"/>
          <w:spacing w:val="0"/>
          <w:highlight w:val="none"/>
        </w:rPr>
        <w:t>.我方保证在收到贵单位发出的书面开工通知立即开工，并在</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日历天内竣工。</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.我方保证本工程质量达到</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.我方同意向贵方提供贵方可能另外要求的与磋商有关的任何证据或资料，并保证我方已提供和将要提供的文件是真实的、准确的。</w:t>
      </w:r>
    </w:p>
    <w:p>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eastAsia="宋体" w:cs="宋体"/>
          <w:color w:val="auto"/>
          <w:spacing w:val="0"/>
          <w:highlight w:val="none"/>
        </w:rPr>
      </w:pPr>
      <w:r>
        <w:rPr>
          <w:rFonts w:hint="eastAsia" w:ascii="宋体" w:hAnsi="宋体" w:cs="宋体"/>
          <w:color w:val="auto"/>
          <w:spacing w:val="0"/>
          <w:highlight w:val="none"/>
          <w:lang w:val="en-US" w:eastAsia="zh-CN"/>
        </w:rPr>
        <w:t>7</w:t>
      </w:r>
      <w:r>
        <w:rPr>
          <w:rFonts w:hint="eastAsia" w:ascii="宋体" w:hAnsi="宋体" w:eastAsia="宋体" w:cs="宋体"/>
          <w:color w:val="auto"/>
          <w:spacing w:val="0"/>
          <w:highlight w:val="none"/>
        </w:rPr>
        <w:t>.遵守竞争性磋商文件中要求的收费项目和标准。</w:t>
      </w:r>
    </w:p>
    <w:p>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auto"/>
          <w:spacing w:val="0"/>
          <w:szCs w:val="21"/>
          <w:highlight w:val="none"/>
        </w:rPr>
      </w:pPr>
      <w:r>
        <w:rPr>
          <w:rFonts w:hint="eastAsia" w:ascii="宋体" w:hAnsi="宋体" w:cs="宋体"/>
          <w:b/>
          <w:bCs/>
          <w:color w:val="auto"/>
          <w:spacing w:val="0"/>
          <w:szCs w:val="21"/>
          <w:highlight w:val="none"/>
          <w:lang w:val="en-US" w:eastAsia="zh-CN"/>
        </w:rPr>
        <w:t>8</w:t>
      </w:r>
      <w:r>
        <w:rPr>
          <w:rFonts w:hint="eastAsia" w:ascii="宋体" w:hAnsi="宋体" w:eastAsia="宋体" w:cs="宋体"/>
          <w:b/>
          <w:bCs/>
          <w:color w:val="auto"/>
          <w:spacing w:val="0"/>
          <w:szCs w:val="21"/>
          <w:highlight w:val="none"/>
        </w:rPr>
        <w:t>.我方的响应有效期为60天。</w:t>
      </w:r>
    </w:p>
    <w:p>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auto"/>
          <w:spacing w:val="0"/>
          <w:szCs w:val="21"/>
          <w:highlight w:val="none"/>
          <w:lang w:eastAsia="zh-CN"/>
        </w:rPr>
      </w:pPr>
      <w:r>
        <w:rPr>
          <w:rFonts w:hint="eastAsia" w:ascii="宋体" w:hAnsi="宋体" w:eastAsia="宋体" w:cs="宋体"/>
          <w:b/>
          <w:bCs/>
          <w:color w:val="auto"/>
          <w:spacing w:val="0"/>
          <w:szCs w:val="21"/>
          <w:highlight w:val="none"/>
          <w:lang w:val="en-US" w:eastAsia="zh-CN"/>
        </w:rPr>
        <w:t>9</w:t>
      </w:r>
      <w:r>
        <w:rPr>
          <w:rFonts w:hint="eastAsia" w:ascii="宋体" w:hAnsi="宋体" w:eastAsia="宋体" w:cs="宋体"/>
          <w:b/>
          <w:bCs/>
          <w:color w:val="auto"/>
          <w:spacing w:val="0"/>
          <w:szCs w:val="21"/>
          <w:highlight w:val="none"/>
        </w:rPr>
        <w:t>.</w:t>
      </w:r>
      <w:r>
        <w:rPr>
          <w:rFonts w:hint="eastAsia" w:ascii="宋体" w:hAnsi="宋体" w:eastAsia="宋体" w:cs="宋体"/>
          <w:b/>
          <w:bCs/>
          <w:color w:val="auto"/>
          <w:spacing w:val="0"/>
          <w:szCs w:val="21"/>
          <w:highlight w:val="none"/>
          <w:lang w:val="en-US" w:eastAsia="zh-CN"/>
        </w:rPr>
        <w:t>我方承诺：</w:t>
      </w:r>
      <w:r>
        <w:rPr>
          <w:rFonts w:hint="eastAsia" w:ascii="宋体" w:hAnsi="宋体" w:eastAsia="宋体" w:cs="宋体"/>
          <w:b/>
          <w:bCs/>
          <w:color w:val="auto"/>
          <w:spacing w:val="0"/>
          <w:szCs w:val="21"/>
          <w:highlight w:val="none"/>
        </w:rPr>
        <w:t>本项目中的所有服务内容</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转包、</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分包或变相外包给第三方</w:t>
      </w:r>
      <w:r>
        <w:rPr>
          <w:rFonts w:hint="eastAsia" w:ascii="宋体" w:hAnsi="宋体" w:eastAsia="宋体" w:cs="宋体"/>
          <w:b/>
          <w:bCs/>
          <w:color w:val="auto"/>
          <w:spacing w:val="0"/>
          <w:szCs w:val="21"/>
          <w:highlight w:val="none"/>
          <w:lang w:eastAsia="zh-CN"/>
        </w:rPr>
        <w:t>。</w:t>
      </w:r>
    </w:p>
    <w:p>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lang w:val="en-US" w:eastAsia="zh-CN"/>
        </w:rPr>
        <w:t>1</w:t>
      </w:r>
      <w:r>
        <w:rPr>
          <w:rFonts w:hint="eastAsia" w:ascii="宋体" w:hAnsi="宋体" w:cs="宋体"/>
          <w:b/>
          <w:bCs/>
          <w:color w:val="auto"/>
          <w:spacing w:val="0"/>
          <w:szCs w:val="21"/>
          <w:highlight w:val="none"/>
          <w:lang w:val="en-US" w:eastAsia="zh-CN"/>
        </w:rPr>
        <w:t>0</w:t>
      </w:r>
      <w:r>
        <w:rPr>
          <w:rFonts w:hint="eastAsia" w:ascii="宋体" w:hAnsi="宋体" w:eastAsia="宋体" w:cs="宋体"/>
          <w:b/>
          <w:bCs/>
          <w:color w:val="auto"/>
          <w:spacing w:val="0"/>
          <w:szCs w:val="21"/>
          <w:highlight w:val="none"/>
          <w:lang w:val="en-US" w:eastAsia="zh-CN"/>
        </w:rPr>
        <w:t>.</w:t>
      </w:r>
      <w:r>
        <w:rPr>
          <w:rFonts w:hint="eastAsia" w:ascii="宋体" w:hAnsi="宋体" w:eastAsia="宋体" w:cs="宋体"/>
          <w:b/>
          <w:bCs/>
          <w:color w:val="auto"/>
          <w:spacing w:val="0"/>
          <w:szCs w:val="21"/>
          <w:highlight w:val="none"/>
        </w:rPr>
        <w:t>我方非联合体响应。</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lang w:val="en-US" w:eastAsia="zh-CN"/>
        </w:rPr>
        <w:t>1</w:t>
      </w:r>
      <w:r>
        <w:rPr>
          <w:rFonts w:hint="eastAsia" w:ascii="宋体" w:hAnsi="宋体" w:cs="宋体"/>
          <w:bCs/>
          <w:color w:val="auto"/>
          <w:spacing w:val="0"/>
          <w:szCs w:val="21"/>
          <w:highlight w:val="none"/>
          <w:lang w:val="en-US" w:eastAsia="zh-CN"/>
        </w:rPr>
        <w:t>1</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rPr>
        <w:t>我方正式通讯方式为：</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地   址：</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电   话：</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传   真：</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.我方正式开户银行和账号为：</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开户银行：</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账    号：</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供应商授权代表姓名（签字或签章）：</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供应商名称（公章）：</w:t>
      </w:r>
      <w:r>
        <w:rPr>
          <w:rFonts w:hint="eastAsia" w:ascii="宋体" w:hAnsi="宋体" w:eastAsia="宋体" w:cs="宋体"/>
          <w:color w:val="auto"/>
          <w:spacing w:val="0"/>
          <w:szCs w:val="21"/>
          <w:highlight w:val="none"/>
          <w:u w:val="single"/>
        </w:rPr>
        <w:t xml:space="preserve">                 </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    期：</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eastAsia="方正黑体_GBK"/>
          <w:kern w:val="0"/>
          <w:sz w:val="32"/>
          <w:szCs w:val="32"/>
        </w:rPr>
      </w:pPr>
    </w:p>
    <w:p>
      <w:pPr>
        <w:rPr>
          <w:rFonts w:eastAsia="方正黑体_GBK"/>
          <w:kern w:val="0"/>
          <w:sz w:val="32"/>
          <w:szCs w:val="32"/>
        </w:rPr>
      </w:pPr>
      <w:r>
        <w:rPr>
          <w:rFonts w:eastAsia="方正黑体_GBK"/>
          <w:kern w:val="0"/>
          <w:sz w:val="32"/>
          <w:szCs w:val="32"/>
        </w:rPr>
        <w:br w:type="page"/>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sz w:val="20"/>
          <w:szCs w:val="20"/>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b/>
          <w:color w:val="000000"/>
          <w:sz w:val="30"/>
          <w:szCs w:val="30"/>
          <w:lang w:val="en-US" w:eastAsia="zh-CN"/>
        </w:rPr>
      </w:pPr>
      <w:r>
        <w:rPr>
          <w:rFonts w:hint="eastAsia" w:ascii="宋体" w:hAnsi="宋体" w:eastAsia="宋体" w:cs="宋体"/>
          <w:color w:val="auto"/>
          <w:spacing w:val="0"/>
          <w:sz w:val="20"/>
          <w:szCs w:val="20"/>
          <w:highlight w:val="none"/>
        </w:rPr>
        <w:t>磋商后提交下表：</w:t>
      </w:r>
    </w:p>
    <w:p>
      <w:pPr>
        <w:snapToGrid w:val="0"/>
        <w:spacing w:line="300" w:lineRule="auto"/>
        <w:contextualSpacing/>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最终报价表</w:t>
      </w:r>
    </w:p>
    <w:p>
      <w:pPr>
        <w:rPr>
          <w:color w:val="auto"/>
          <w:highlight w:val="none"/>
        </w:rPr>
      </w:pPr>
    </w:p>
    <w:p>
      <w:pPr>
        <w:pageBreakBefore w:val="0"/>
        <w:spacing w:before="195" w:line="228" w:lineRule="auto"/>
        <w:ind w:left="156"/>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项目名称：</w:t>
      </w:r>
    </w:p>
    <w:p>
      <w:pPr>
        <w:pageBreakBefore w:val="0"/>
        <w:spacing w:before="195" w:line="228" w:lineRule="auto"/>
        <w:ind w:left="156"/>
        <w:rPr>
          <w:rFonts w:ascii="宋体" w:hAnsi="宋体" w:eastAsia="宋体" w:cs="宋体"/>
          <w:color w:val="auto"/>
          <w:spacing w:val="0"/>
          <w:highlight w:val="none"/>
        </w:rPr>
      </w:pPr>
      <w:r>
        <w:rPr>
          <w:rFonts w:hint="eastAsia" w:ascii="宋体" w:hAnsi="宋体" w:eastAsia="宋体" w:cs="宋体"/>
          <w:color w:val="auto"/>
          <w:spacing w:val="0"/>
          <w:highlight w:val="none"/>
        </w:rPr>
        <w:t xml:space="preserve">项目编号：                                     </w:t>
      </w:r>
    </w:p>
    <w:tbl>
      <w:tblPr>
        <w:tblStyle w:val="1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36" w:type="dxa"/>
            <w:noWrap/>
            <w:vAlign w:val="center"/>
          </w:tcPr>
          <w:p>
            <w:pPr>
              <w:pageBreakBefore w:val="0"/>
              <w:spacing w:line="360" w:lineRule="auto"/>
              <w:jc w:val="center"/>
              <w:rPr>
                <w:rFonts w:ascii="宋体" w:hAnsi="宋体" w:eastAsia="宋体" w:cs="宋体"/>
                <w:color w:val="auto"/>
                <w:spacing w:val="0"/>
                <w:highlight w:val="none"/>
              </w:rPr>
            </w:pPr>
            <w:r>
              <w:rPr>
                <w:rFonts w:hint="eastAsia" w:ascii="宋体" w:hAnsi="宋体" w:eastAsia="宋体" w:cs="宋体"/>
                <w:bCs/>
                <w:color w:val="auto"/>
                <w:spacing w:val="0"/>
                <w:highlight w:val="none"/>
              </w:rPr>
              <w:t>响应报价</w:t>
            </w:r>
          </w:p>
        </w:tc>
        <w:tc>
          <w:tcPr>
            <w:tcW w:w="6924" w:type="dxa"/>
            <w:noWrap/>
            <w:vAlign w:val="center"/>
          </w:tcPr>
          <w:p>
            <w:pPr>
              <w:pageBreakBefore w:val="0"/>
              <w:spacing w:line="360" w:lineRule="auto"/>
              <w:jc w:val="both"/>
              <w:rPr>
                <w:rFonts w:hint="default"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小写：</w:t>
            </w:r>
            <w:r>
              <w:rPr>
                <w:rFonts w:hint="eastAsia" w:ascii="宋体" w:hAnsi="宋体" w:eastAsia="宋体" w:cs="宋体"/>
                <w:color w:val="auto"/>
                <w:spacing w:val="0"/>
                <w:highlight w:val="none"/>
                <w:lang w:val="en-US" w:eastAsia="zh-CN"/>
              </w:rPr>
              <w:t>¥</w:t>
            </w:r>
          </w:p>
          <w:p>
            <w:pPr>
              <w:pageBreakBefore w:val="0"/>
              <w:spacing w:line="360" w:lineRule="auto"/>
              <w:jc w:val="both"/>
              <w:rPr>
                <w:rFonts w:ascii="宋体" w:hAnsi="宋体" w:eastAsia="宋体" w:cs="宋体"/>
                <w:color w:val="auto"/>
                <w:spacing w:val="0"/>
                <w:highlight w:val="none"/>
              </w:rPr>
            </w:pPr>
            <w:r>
              <w:rPr>
                <w:rFonts w:hint="eastAsia" w:ascii="宋体" w:hAnsi="宋体" w:eastAsia="宋体" w:cs="宋体"/>
                <w:color w:val="auto"/>
                <w:spacing w:val="0"/>
                <w:highlight w:val="none"/>
              </w:rPr>
              <w:t>大写</w:t>
            </w:r>
            <w:r>
              <w:rPr>
                <w:rFonts w:hint="eastAsia" w:ascii="宋体" w:hAnsi="宋体" w:eastAsia="宋体" w:cs="宋体"/>
                <w:color w:val="auto"/>
                <w:spacing w:val="0"/>
                <w:highlight w:val="none"/>
                <w:lang w:eastAsia="zh-CN"/>
              </w:rPr>
              <w:t>：人民币</w:t>
            </w:r>
            <w:r>
              <w:rPr>
                <w:rFonts w:hint="eastAsia" w:ascii="宋体" w:hAnsi="宋体" w:eastAsia="宋体" w:cs="宋体"/>
                <w:color w:val="auto"/>
                <w:spacing w:val="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0" w:type="dxa"/>
            <w:gridSpan w:val="2"/>
            <w:noWrap/>
            <w:vAlign w:val="center"/>
          </w:tcPr>
          <w:p>
            <w:pPr>
              <w:pageBreakBefore w:val="0"/>
              <w:spacing w:line="360" w:lineRule="auto"/>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澄清与承诺（如有）</w:t>
            </w:r>
          </w:p>
        </w:tc>
      </w:tr>
    </w:tbl>
    <w:p>
      <w:pPr>
        <w:keepNext w:val="0"/>
        <w:keepLines w:val="0"/>
        <w:pageBreakBefore w:val="0"/>
        <w:widowControl/>
        <w:kinsoku/>
        <w:wordWrap/>
        <w:overflowPunct/>
        <w:topLinePunct w:val="0"/>
        <w:autoSpaceDE/>
        <w:autoSpaceDN/>
        <w:bidi w:val="0"/>
        <w:adjustRightInd/>
        <w:snapToGrid/>
        <w:spacing w:line="360" w:lineRule="auto"/>
        <w:ind w:firstLine="4201"/>
        <w:textAlignment w:val="auto"/>
        <w:rPr>
          <w:rFonts w:hint="eastAsia" w:ascii="宋体" w:hAnsi="宋体" w:eastAsia="宋体" w:cs="宋体"/>
          <w:color w:val="auto"/>
          <w:szCs w:val="21"/>
          <w:highlight w:val="none"/>
        </w:rPr>
      </w:pP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供应商名称（公章）：</w:t>
      </w: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法定代表人或授权代表人</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签字或盖章）：</w:t>
      </w:r>
    </w:p>
    <w:p>
      <w:pPr>
        <w:keepNext w:val="0"/>
        <w:keepLines w:val="0"/>
        <w:pageBreakBefore w:val="0"/>
        <w:widowControl/>
        <w:kinsoku/>
        <w:wordWrap/>
        <w:overflowPunct/>
        <w:topLinePunct w:val="0"/>
        <w:autoSpaceDE/>
        <w:autoSpaceDN/>
        <w:bidi w:val="0"/>
        <w:adjustRightInd/>
        <w:spacing w:line="360" w:lineRule="auto"/>
        <w:ind w:firstLine="357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说明：</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1.</w:t>
      </w:r>
      <w:r>
        <w:rPr>
          <w:rFonts w:hint="eastAsia" w:ascii="宋体" w:hAnsi="宋体" w:cs="宋体"/>
          <w:color w:val="auto"/>
          <w:spacing w:val="0"/>
          <w:highlight w:val="none"/>
          <w:lang w:eastAsia="zh-CN"/>
        </w:rPr>
        <w:t>本表装订在报价文件中，开标现场填写。</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r>
        <w:rPr>
          <w:rFonts w:hint="eastAsia" w:ascii="宋体" w:hAnsi="宋体" w:cs="宋体"/>
          <w:color w:val="auto"/>
          <w:spacing w:val="0"/>
          <w:highlight w:val="none"/>
          <w:lang w:val="en-US" w:eastAsia="zh-CN"/>
        </w:rPr>
        <w:t>2.</w:t>
      </w:r>
      <w:r>
        <w:rPr>
          <w:rFonts w:hint="eastAsia" w:ascii="宋体" w:hAnsi="宋体" w:eastAsia="宋体" w:cs="宋体"/>
          <w:color w:val="auto"/>
          <w:spacing w:val="0"/>
          <w:highlight w:val="none"/>
        </w:rPr>
        <w:t>本项目仅接受一个价格，不得填报有选择性</w:t>
      </w:r>
      <w:r>
        <w:rPr>
          <w:rFonts w:hint="eastAsia" w:ascii="宋体" w:hAnsi="宋体" w:eastAsia="宋体" w:cs="宋体"/>
          <w:color w:val="auto"/>
          <w:spacing w:val="0"/>
          <w:highlight w:val="none"/>
          <w:lang w:val="en-US" w:eastAsia="zh-CN"/>
        </w:rPr>
        <w:t>的</w:t>
      </w:r>
      <w:r>
        <w:rPr>
          <w:rFonts w:hint="eastAsia" w:ascii="宋体" w:hAnsi="宋体" w:eastAsia="宋体" w:cs="宋体"/>
          <w:color w:val="auto"/>
          <w:spacing w:val="0"/>
          <w:highlight w:val="none"/>
        </w:rPr>
        <w:t>报价方案。若有优惠条款须注明，但不得影响报价，影响产品整体功能。</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r>
        <w:rPr>
          <w:rFonts w:hint="eastAsia" w:ascii="宋体" w:hAnsi="宋体" w:cs="宋体"/>
          <w:color w:val="auto"/>
          <w:spacing w:val="0"/>
          <w:highlight w:val="none"/>
          <w:lang w:val="en-US" w:eastAsia="zh-CN"/>
        </w:rPr>
        <w:t>3</w:t>
      </w:r>
      <w:r>
        <w:rPr>
          <w:rFonts w:hint="eastAsia" w:ascii="宋体" w:hAnsi="宋体" w:eastAsia="宋体" w:cs="宋体"/>
          <w:color w:val="auto"/>
          <w:spacing w:val="0"/>
          <w:highlight w:val="none"/>
        </w:rPr>
        <w:t>.竞争性磋商第二轮报价（也即最终报价）不得以降低</w:t>
      </w:r>
      <w:r>
        <w:rPr>
          <w:rFonts w:hint="eastAsia" w:ascii="宋体" w:hAnsi="宋体" w:eastAsia="宋体" w:cs="宋体"/>
          <w:color w:val="auto"/>
          <w:spacing w:val="0"/>
          <w:highlight w:val="none"/>
          <w:lang w:val="en-US" w:eastAsia="zh-CN"/>
        </w:rPr>
        <w:t>工程</w:t>
      </w:r>
      <w:r>
        <w:rPr>
          <w:rFonts w:hint="eastAsia" w:ascii="宋体" w:hAnsi="宋体" w:eastAsia="宋体" w:cs="宋体"/>
          <w:color w:val="auto"/>
          <w:spacing w:val="0"/>
          <w:highlight w:val="none"/>
        </w:rPr>
        <w:t>质量为代价。</w:t>
      </w:r>
    </w:p>
    <w:p>
      <w:pPr>
        <w:rPr>
          <w:rFonts w:ascii="宋体" w:hAnsi="宋体" w:cs="宋体"/>
          <w:kern w:val="0"/>
          <w:sz w:val="28"/>
          <w:szCs w:val="28"/>
        </w:rPr>
      </w:pPr>
    </w:p>
    <w:p>
      <w:pPr>
        <w:snapToGrid w:val="0"/>
        <w:spacing w:line="300" w:lineRule="auto"/>
        <w:outlineLvl w:val="0"/>
        <w:rPr>
          <w:rFonts w:hint="eastAsia" w:eastAsia="方正黑体_GBK"/>
          <w:sz w:val="32"/>
          <w:szCs w:val="32"/>
          <w:highlight w:val="yellow"/>
          <w:lang w:eastAsia="zh-CN"/>
        </w:rPr>
        <w:sectPr>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pPr>
      <w:r>
        <w:rPr>
          <w:rFonts w:eastAsia="方正黑体_GBK"/>
          <w:kern w:val="0"/>
          <w:sz w:val="32"/>
          <w:szCs w:val="32"/>
        </w:rPr>
        <w:br w:type="page"/>
      </w:r>
    </w:p>
    <w:p>
      <w:pPr>
        <w:snapToGrid w:val="0"/>
        <w:spacing w:line="300" w:lineRule="auto"/>
        <w:outlineLvl w:val="0"/>
        <w:rPr>
          <w:rFonts w:hint="eastAsia" w:eastAsia="方正黑体_GBK"/>
          <w:sz w:val="32"/>
          <w:szCs w:val="32"/>
          <w:lang w:eastAsia="zh-CN"/>
        </w:rPr>
      </w:pPr>
      <w:r>
        <w:rPr>
          <w:rFonts w:eastAsia="方正黑体_GBK"/>
          <w:sz w:val="32"/>
          <w:szCs w:val="32"/>
        </w:rPr>
        <w:t>附件</w:t>
      </w:r>
      <w:r>
        <w:rPr>
          <w:rFonts w:hint="eastAsia" w:eastAsia="方正黑体_GBK"/>
          <w:sz w:val="32"/>
          <w:szCs w:val="32"/>
        </w:rPr>
        <w:t>1</w:t>
      </w:r>
      <w:r>
        <w:rPr>
          <w:rFonts w:hint="eastAsia" w:eastAsia="方正黑体_GBK"/>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Times New Roman" w:hAnsi="Times New Roman" w:eastAsia="宋体" w:cs="Times New Roman"/>
          <w:b/>
          <w:bCs/>
          <w:sz w:val="28"/>
          <w:szCs w:val="28"/>
          <w:lang w:bidi="zh-CN"/>
        </w:rPr>
      </w:pPr>
      <w:r>
        <w:rPr>
          <w:rFonts w:ascii="Times New Roman" w:hAnsi="Times New Roman" w:eastAsia="宋体" w:cs="Times New Roman"/>
          <w:b/>
          <w:bCs/>
          <w:sz w:val="28"/>
          <w:szCs w:val="28"/>
          <w:lang w:bidi="zh-CN"/>
        </w:rPr>
        <w:t>中小企业声明函（</w:t>
      </w:r>
      <w:r>
        <w:rPr>
          <w:rFonts w:ascii="Times New Roman" w:hAnsi="Times New Roman" w:eastAsia="宋体" w:cs="Times New Roman"/>
          <w:b/>
          <w:bCs/>
          <w:sz w:val="28"/>
          <w:szCs w:val="28"/>
          <w:highlight w:val="none"/>
          <w:lang w:bidi="zh-CN"/>
        </w:rPr>
        <w:t>工程、服务</w:t>
      </w:r>
      <w:r>
        <w:rPr>
          <w:rFonts w:ascii="Times New Roman" w:hAnsi="Times New Roman" w:eastAsia="宋体" w:cs="Times New Roman"/>
          <w:b/>
          <w:bCs/>
          <w:sz w:val="28"/>
          <w:szCs w:val="28"/>
          <w:lang w:bidi="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sz w:val="24"/>
          <w:szCs w:val="24"/>
          <w:lang w:bidi="zh-CN"/>
        </w:rPr>
      </w:pPr>
      <w:r>
        <w:rPr>
          <w:sz w:val="24"/>
          <w:szCs w:val="24"/>
          <w:lang w:bidi="zh-CN"/>
        </w:rPr>
        <w:t>本公司（联合体）郑重声明，根据《政府采购促进中小企业发展管理办法》（财库</w:t>
      </w:r>
      <w:r>
        <w:rPr>
          <w:rFonts w:hint="eastAsia"/>
          <w:sz w:val="24"/>
          <w:szCs w:val="24"/>
          <w:lang w:bidi="zh-CN"/>
        </w:rPr>
        <w:t>﹝</w:t>
      </w:r>
      <w:r>
        <w:rPr>
          <w:sz w:val="24"/>
          <w:szCs w:val="24"/>
          <w:lang w:bidi="zh-CN"/>
        </w:rPr>
        <w:t>2020</w:t>
      </w:r>
      <w:r>
        <w:rPr>
          <w:rFonts w:hint="eastAsia"/>
          <w:sz w:val="24"/>
          <w:szCs w:val="24"/>
          <w:lang w:bidi="zh-CN"/>
        </w:rPr>
        <w:t>﹞</w:t>
      </w:r>
      <w:r>
        <w:rPr>
          <w:sz w:val="24"/>
          <w:szCs w:val="24"/>
          <w:lang w:bidi="zh-CN"/>
        </w:rPr>
        <w:t>46 号）的规定，本公司（联合体）参加</w:t>
      </w:r>
      <w:r>
        <w:rPr>
          <w:sz w:val="24"/>
          <w:szCs w:val="24"/>
          <w:u w:val="single"/>
          <w:lang w:bidi="zh-CN"/>
        </w:rPr>
        <w:t>（单位名称）</w:t>
      </w:r>
      <w:r>
        <w:rPr>
          <w:sz w:val="24"/>
          <w:szCs w:val="24"/>
          <w:lang w:bidi="zh-CN"/>
        </w:rPr>
        <w:t>的</w:t>
      </w:r>
      <w:r>
        <w:rPr>
          <w:sz w:val="24"/>
          <w:szCs w:val="24"/>
          <w:u w:val="single"/>
          <w:lang w:bidi="zh-CN"/>
        </w:rPr>
        <w:t>（项目名称）</w:t>
      </w:r>
      <w:r>
        <w:rPr>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0"/>
        <w:rPr>
          <w:sz w:val="24"/>
          <w:szCs w:val="24"/>
          <w:lang w:bidi="zh-CN"/>
        </w:rPr>
      </w:pPr>
      <w:r>
        <w:rPr>
          <w:rFonts w:hint="eastAsia"/>
          <w:sz w:val="24"/>
          <w:szCs w:val="24"/>
          <w:lang w:bidi="zh-CN"/>
        </w:rPr>
        <w:t>1.</w:t>
      </w:r>
      <w:r>
        <w:rPr>
          <w:sz w:val="24"/>
          <w:szCs w:val="24"/>
          <w:u w:val="single"/>
          <w:lang w:bidi="zh-CN"/>
        </w:rPr>
        <w:t>（标的名称）</w:t>
      </w:r>
      <w:r>
        <w:rPr>
          <w:sz w:val="24"/>
          <w:szCs w:val="24"/>
          <w:lang w:bidi="zh-CN"/>
        </w:rPr>
        <w:t>，属于（</w:t>
      </w:r>
      <w:r>
        <w:rPr>
          <w:sz w:val="24"/>
          <w:szCs w:val="24"/>
          <w:u w:val="single"/>
          <w:lang w:bidi="zh-CN"/>
        </w:rPr>
        <w:t>采购文件中明确的所属行业）</w:t>
      </w:r>
      <w:r>
        <w:rPr>
          <w:sz w:val="24"/>
          <w:szCs w:val="24"/>
          <w:lang w:bidi="zh-CN"/>
        </w:rPr>
        <w:t>；承建（承接）企业为</w:t>
      </w:r>
      <w:r>
        <w:rPr>
          <w:sz w:val="24"/>
          <w:szCs w:val="24"/>
          <w:u w:val="single"/>
          <w:lang w:bidi="zh-CN"/>
        </w:rPr>
        <w:t>（企业名称）</w:t>
      </w:r>
      <w:r>
        <w:rPr>
          <w:sz w:val="24"/>
          <w:szCs w:val="24"/>
          <w:lang w:bidi="zh-CN"/>
        </w:rPr>
        <w:t>，从业人员</w:t>
      </w:r>
      <w:r>
        <w:rPr>
          <w:sz w:val="24"/>
          <w:szCs w:val="24"/>
          <w:u w:val="single"/>
          <w:lang w:bidi="zh-CN"/>
        </w:rPr>
        <w:t xml:space="preserve"> </w:t>
      </w:r>
      <w:r>
        <w:rPr>
          <w:sz w:val="24"/>
          <w:szCs w:val="24"/>
          <w:u w:val="single"/>
          <w:lang w:bidi="zh-CN"/>
        </w:rPr>
        <w:tab/>
      </w:r>
      <w:r>
        <w:rPr>
          <w:sz w:val="24"/>
          <w:szCs w:val="24"/>
          <w:lang w:bidi="zh-CN"/>
        </w:rPr>
        <w:t>人，营业收入为</w:t>
      </w:r>
      <w:r>
        <w:rPr>
          <w:sz w:val="24"/>
          <w:szCs w:val="24"/>
          <w:u w:val="single"/>
          <w:lang w:bidi="zh-CN"/>
        </w:rPr>
        <w:t xml:space="preserve"> </w:t>
      </w:r>
      <w:r>
        <w:rPr>
          <w:sz w:val="24"/>
          <w:szCs w:val="24"/>
          <w:u w:val="single"/>
          <w:lang w:bidi="zh-CN"/>
        </w:rPr>
        <w:tab/>
      </w:r>
      <w:r>
        <w:rPr>
          <w:sz w:val="24"/>
          <w:szCs w:val="24"/>
          <w:lang w:bidi="zh-CN"/>
        </w:rPr>
        <w:t>万元，资产总额为</w:t>
      </w:r>
      <w:r>
        <w:rPr>
          <w:sz w:val="24"/>
          <w:szCs w:val="24"/>
          <w:u w:val="single"/>
          <w:lang w:bidi="zh-CN"/>
        </w:rPr>
        <w:t xml:space="preserve"> </w:t>
      </w:r>
      <w:r>
        <w:rPr>
          <w:sz w:val="24"/>
          <w:szCs w:val="24"/>
          <w:u w:val="single"/>
          <w:lang w:bidi="zh-CN"/>
        </w:rPr>
        <w:tab/>
      </w:r>
      <w:r>
        <w:rPr>
          <w:sz w:val="24"/>
          <w:szCs w:val="24"/>
          <w:lang w:bidi="zh-CN"/>
        </w:rPr>
        <w:t>万元，属于</w:t>
      </w:r>
      <w:r>
        <w:rPr>
          <w:sz w:val="24"/>
          <w:szCs w:val="24"/>
          <w:u w:val="single"/>
          <w:lang w:bidi="zh-CN"/>
        </w:rPr>
        <w:t>（中型企业、小型企业、微型企业）</w:t>
      </w:r>
      <w:r>
        <w:rPr>
          <w:sz w:val="24"/>
          <w:szCs w:val="24"/>
          <w:lang w:bidi="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0"/>
        <w:rPr>
          <w:sz w:val="24"/>
          <w:szCs w:val="24"/>
          <w:lang w:bidi="zh-CN"/>
        </w:rPr>
      </w:pPr>
      <w:r>
        <w:rPr>
          <w:rFonts w:hint="eastAsia"/>
          <w:sz w:val="24"/>
          <w:szCs w:val="24"/>
          <w:lang w:bidi="zh-CN"/>
        </w:rPr>
        <w:t>2.</w:t>
      </w:r>
      <w:r>
        <w:rPr>
          <w:sz w:val="24"/>
          <w:szCs w:val="24"/>
          <w:u w:val="single"/>
          <w:lang w:bidi="zh-CN"/>
        </w:rPr>
        <w:t>（标的名称）</w:t>
      </w:r>
      <w:r>
        <w:rPr>
          <w:sz w:val="24"/>
          <w:szCs w:val="24"/>
          <w:lang w:bidi="zh-CN"/>
        </w:rPr>
        <w:t>，属于（</w:t>
      </w:r>
      <w:r>
        <w:rPr>
          <w:sz w:val="24"/>
          <w:szCs w:val="24"/>
          <w:u w:val="single"/>
          <w:lang w:bidi="zh-CN"/>
        </w:rPr>
        <w:t>采购文件中明确的所属行业）</w:t>
      </w:r>
      <w:r>
        <w:rPr>
          <w:sz w:val="24"/>
          <w:szCs w:val="24"/>
          <w:lang w:bidi="zh-CN"/>
        </w:rPr>
        <w:t>；承建（承接）企业为</w:t>
      </w:r>
      <w:r>
        <w:rPr>
          <w:sz w:val="24"/>
          <w:szCs w:val="24"/>
          <w:u w:val="single"/>
          <w:lang w:bidi="zh-CN"/>
        </w:rPr>
        <w:t>（企业名称）</w:t>
      </w:r>
      <w:r>
        <w:rPr>
          <w:sz w:val="24"/>
          <w:szCs w:val="24"/>
          <w:lang w:bidi="zh-CN"/>
        </w:rPr>
        <w:t>，从业人员</w:t>
      </w:r>
      <w:r>
        <w:rPr>
          <w:sz w:val="24"/>
          <w:szCs w:val="24"/>
          <w:u w:val="single"/>
          <w:lang w:bidi="zh-CN"/>
        </w:rPr>
        <w:t xml:space="preserve"> </w:t>
      </w:r>
      <w:r>
        <w:rPr>
          <w:sz w:val="24"/>
          <w:szCs w:val="24"/>
          <w:u w:val="single"/>
          <w:lang w:bidi="zh-CN"/>
        </w:rPr>
        <w:tab/>
      </w:r>
      <w:r>
        <w:rPr>
          <w:sz w:val="24"/>
          <w:szCs w:val="24"/>
          <w:lang w:bidi="zh-CN"/>
        </w:rPr>
        <w:t>人，营业收入为</w:t>
      </w:r>
      <w:r>
        <w:rPr>
          <w:sz w:val="24"/>
          <w:szCs w:val="24"/>
          <w:u w:val="single"/>
          <w:lang w:bidi="zh-CN"/>
        </w:rPr>
        <w:t xml:space="preserve"> </w:t>
      </w:r>
      <w:r>
        <w:rPr>
          <w:sz w:val="24"/>
          <w:szCs w:val="24"/>
          <w:u w:val="single"/>
          <w:lang w:bidi="zh-CN"/>
        </w:rPr>
        <w:tab/>
      </w:r>
      <w:r>
        <w:rPr>
          <w:sz w:val="24"/>
          <w:szCs w:val="24"/>
          <w:lang w:bidi="zh-CN"/>
        </w:rPr>
        <w:t>万元，资产总额为</w:t>
      </w:r>
      <w:r>
        <w:rPr>
          <w:sz w:val="24"/>
          <w:szCs w:val="24"/>
          <w:u w:val="single"/>
          <w:lang w:bidi="zh-CN"/>
        </w:rPr>
        <w:t xml:space="preserve"> </w:t>
      </w:r>
      <w:r>
        <w:rPr>
          <w:sz w:val="24"/>
          <w:szCs w:val="24"/>
          <w:u w:val="single"/>
          <w:lang w:bidi="zh-CN"/>
        </w:rPr>
        <w:tab/>
      </w:r>
      <w:r>
        <w:rPr>
          <w:sz w:val="24"/>
          <w:szCs w:val="24"/>
          <w:lang w:bidi="zh-CN"/>
        </w:rPr>
        <w:t>万元，属于</w:t>
      </w:r>
      <w:r>
        <w:rPr>
          <w:sz w:val="24"/>
          <w:szCs w:val="24"/>
          <w:u w:val="single"/>
          <w:lang w:bidi="zh-CN"/>
        </w:rPr>
        <w:t>（中型企业、小型企业、微型企业）</w:t>
      </w:r>
      <w:r>
        <w:rPr>
          <w:sz w:val="24"/>
          <w:szCs w:val="24"/>
          <w:lang w:bidi="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0"/>
        <w:rPr>
          <w:sz w:val="24"/>
          <w:szCs w:val="24"/>
          <w:lang w:bidi="zh-CN"/>
        </w:rPr>
      </w:pPr>
      <w:r>
        <w:rPr>
          <w:sz w:val="24"/>
          <w:szCs w:val="24"/>
          <w:lang w:bidi="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sz w:val="24"/>
          <w:szCs w:val="24"/>
          <w:lang w:bidi="zh-CN"/>
        </w:rPr>
      </w:pPr>
      <w:r>
        <w:rPr>
          <w:sz w:val="24"/>
          <w:szCs w:val="24"/>
          <w:lang w:bidi="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sz w:val="24"/>
          <w:szCs w:val="24"/>
          <w:lang w:bidi="zh-CN"/>
        </w:rPr>
      </w:pPr>
      <w:r>
        <w:rPr>
          <w:sz w:val="24"/>
          <w:szCs w:val="24"/>
          <w:lang w:bidi="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sz w:val="24"/>
          <w:szCs w:val="24"/>
          <w:lang w:bidi="zh-CN"/>
        </w:rPr>
      </w:pPr>
    </w:p>
    <w:p>
      <w:pPr>
        <w:keepNext w:val="0"/>
        <w:keepLines w:val="0"/>
        <w:pageBreakBefore w:val="0"/>
        <w:widowControl w:val="0"/>
        <w:kinsoku/>
        <w:wordWrap/>
        <w:overflowPunct/>
        <w:topLinePunct w:val="0"/>
        <w:autoSpaceDE/>
        <w:autoSpaceDN/>
        <w:bidi w:val="0"/>
        <w:adjustRightInd/>
        <w:snapToGrid w:val="0"/>
        <w:spacing w:line="360" w:lineRule="auto"/>
        <w:ind w:firstLine="4200" w:firstLineChars="1750"/>
        <w:textAlignment w:val="auto"/>
        <w:outlineLvl w:val="0"/>
        <w:rPr>
          <w:rFonts w:hint="eastAsia"/>
          <w:sz w:val="24"/>
          <w:szCs w:val="24"/>
          <w:lang w:bidi="zh-CN"/>
        </w:rPr>
      </w:pPr>
      <w:r>
        <w:rPr>
          <w:sz w:val="24"/>
          <w:szCs w:val="24"/>
          <w:lang w:bidi="zh-CN"/>
        </w:rPr>
        <w:t>企业名称（盖章）：</w:t>
      </w:r>
    </w:p>
    <w:p>
      <w:pPr>
        <w:keepNext w:val="0"/>
        <w:keepLines w:val="0"/>
        <w:pageBreakBefore w:val="0"/>
        <w:widowControl w:val="0"/>
        <w:kinsoku/>
        <w:wordWrap/>
        <w:overflowPunct/>
        <w:topLinePunct w:val="0"/>
        <w:autoSpaceDE/>
        <w:autoSpaceDN/>
        <w:bidi w:val="0"/>
        <w:adjustRightInd/>
        <w:snapToGrid w:val="0"/>
        <w:spacing w:line="360" w:lineRule="auto"/>
        <w:ind w:firstLine="4200" w:firstLineChars="1750"/>
        <w:textAlignment w:val="auto"/>
        <w:outlineLvl w:val="0"/>
        <w:rPr>
          <w:sz w:val="24"/>
          <w:szCs w:val="24"/>
          <w:lang w:bidi="zh-CN"/>
        </w:rPr>
      </w:pPr>
      <w:r>
        <w:rPr>
          <w:sz w:val="24"/>
          <w:szCs w:val="24"/>
          <w:lang w:bidi="zh-CN"/>
        </w:rPr>
        <w:t>日期：</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2" name="直接连接符 15"/>
                <wp:cNvGraphicFramePr/>
                <a:graphic xmlns:a="http://schemas.openxmlformats.org/drawingml/2006/main">
                  <a:graphicData uri="http://schemas.microsoft.com/office/word/2010/wordprocessingShape">
                    <wps:wsp>
                      <wps:cNvCnPr/>
                      <wps:spPr bwMode="auto">
                        <a:xfrm>
                          <a:off x="0" y="0"/>
                          <a:ext cx="1962150" cy="635"/>
                        </a:xfrm>
                        <a:prstGeom prst="line">
                          <a:avLst/>
                        </a:prstGeom>
                        <a:ln w="9525" cap="flat" cmpd="sng">
                          <a:solidFill>
                            <a:srgbClr val="000000"/>
                          </a:solidFill>
                          <a:prstDash val="solid"/>
                          <a:headEnd type="none" w="med" len="med"/>
                          <a:tailEnd type="none" w="med" len="med"/>
                        </a:ln>
                        <a:effectLst/>
                      </wps:spPr>
                      <wps:bodyPr rot="0">
                        <a:noAutofit/>
                      </wps:bodyPr>
                    </wps:wsp>
                  </a:graphicData>
                </a:graphic>
              </wp:anchor>
            </w:drawing>
          </mc:Choice>
          <mc:Fallback>
            <w:pict>
              <v:line id="直接连接符 15" o:spid="_x0000_s1026" o:spt="20" style="position:absolute;left:0pt;margin-left:-2.7pt;margin-top:20.05pt;height:0.05pt;width:154.5pt;z-index:251660288;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3RBdNcAAAAIAQAADwAAAAAAAAABACAAAAAiAAAAZHJzL2Rvd25yZXYueG1sUEsB&#10;AhQAFAAAAAgAh07iQG3VpHP2AQAAzA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auto"/>
          <w:spacing w:val="0"/>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eastAsia="宋体" w:cs="宋体"/>
          <w:b/>
          <w:bCs/>
          <w:color w:val="auto"/>
          <w:spacing w:val="0"/>
          <w:sz w:val="18"/>
          <w:szCs w:val="18"/>
          <w:highlight w:val="none"/>
        </w:rPr>
      </w:pPr>
      <w:r>
        <w:rPr>
          <w:rFonts w:hint="eastAsia" w:ascii="宋体" w:hAnsi="宋体" w:eastAsia="宋体" w:cs="宋体"/>
          <w:color w:val="auto"/>
          <w:spacing w:val="0"/>
          <w:sz w:val="18"/>
          <w:szCs w:val="18"/>
          <w:highlight w:val="none"/>
          <w:vertAlign w:val="superscript"/>
        </w:rPr>
        <w:t>1</w:t>
      </w:r>
      <w:r>
        <w:rPr>
          <w:rFonts w:hint="eastAsia" w:ascii="宋体" w:hAnsi="宋体" w:eastAsia="宋体" w:cs="宋体"/>
          <w:color w:val="auto"/>
          <w:spacing w:val="0"/>
          <w:sz w:val="18"/>
          <w:szCs w:val="18"/>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eastAsia="宋体" w:cs="宋体"/>
          <w:b/>
          <w:bCs/>
          <w:color w:val="auto"/>
          <w:spacing w:val="0"/>
          <w:sz w:val="18"/>
          <w:szCs w:val="18"/>
          <w:highlight w:val="none"/>
        </w:rPr>
      </w:pPr>
    </w:p>
    <w:p>
      <w:pPr>
        <w:keepNext w:val="0"/>
        <w:keepLines w:val="0"/>
        <w:pageBreakBefore w:val="0"/>
        <w:widowControl w:val="0"/>
        <w:kinsoku/>
        <w:wordWrap/>
        <w:overflowPunct/>
        <w:topLinePunct w:val="0"/>
        <w:autoSpaceDE/>
        <w:autoSpaceDN/>
        <w:bidi w:val="0"/>
        <w:adjustRightInd/>
        <w:spacing w:line="360" w:lineRule="auto"/>
        <w:ind w:right="6"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注：1.供应商提供的货物全部由符合政策要求的中小企业制造的参加本次政府采购项目需提供此声明函（中小企业划型标准详见《关于印发中小企业划型标准规定的通知》工信部联企业〔2011〕300 号），其他情况无需提供此声明函。</w:t>
      </w:r>
      <w:bookmarkStart w:id="552" w:name="_Toc20898"/>
    </w:p>
    <w:p>
      <w:pPr>
        <w:keepNext w:val="0"/>
        <w:keepLines w:val="0"/>
        <w:pageBreakBefore w:val="0"/>
        <w:widowControl w:val="0"/>
        <w:kinsoku/>
        <w:wordWrap/>
        <w:overflowPunct/>
        <w:topLinePunct w:val="0"/>
        <w:autoSpaceDE/>
        <w:autoSpaceDN/>
        <w:bidi w:val="0"/>
        <w:adjustRightInd/>
        <w:spacing w:line="360" w:lineRule="auto"/>
        <w:ind w:right="6"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2.供应商未按上述要求提供声明函的，价格将不做相应扣除。</w:t>
      </w:r>
      <w:bookmarkEnd w:id="552"/>
    </w:p>
    <w:p>
      <w:pPr>
        <w:keepNext w:val="0"/>
        <w:keepLines w:val="0"/>
        <w:pageBreakBefore w:val="0"/>
        <w:widowControl w:val="0"/>
        <w:kinsoku/>
        <w:wordWrap/>
        <w:overflowPunct/>
        <w:topLinePunct w:val="0"/>
        <w:autoSpaceDE/>
        <w:autoSpaceDN/>
        <w:bidi w:val="0"/>
        <w:adjustRightInd/>
        <w:spacing w:line="360" w:lineRule="auto"/>
        <w:ind w:right="6"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3.工程采购项目：在工程采购项目中，工程由中小企业承建，即工程施工单位为中小企业。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pacing w:line="360" w:lineRule="auto"/>
        <w:ind w:right="6"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4.中标、中标供应商享受本办法规定的中小企业扶持政策的，《中小企业声明函》将随中标、成交结果公开，中小企业应对其声明内容的真实性负责，声明函内容不实的，属于提供虚假材料谋取中标、成</w:t>
      </w:r>
      <w:bookmarkStart w:id="553" w:name="_Toc1379"/>
      <w:r>
        <w:rPr>
          <w:rFonts w:hint="eastAsia" w:ascii="宋体" w:hAnsi="宋体" w:eastAsia="宋体" w:cs="宋体"/>
          <w:color w:val="auto"/>
          <w:spacing w:val="0"/>
          <w:highlight w:val="none"/>
        </w:rPr>
        <w:t>交，将依照《中华人民共和国政府采购法》等国家有关规定追究相应责任。</w:t>
      </w:r>
      <w:bookmarkEnd w:id="553"/>
    </w:p>
    <w:p>
      <w:pPr>
        <w:keepNext w:val="0"/>
        <w:keepLines w:val="0"/>
        <w:pageBreakBefore w:val="0"/>
        <w:widowControl w:val="0"/>
        <w:kinsoku/>
        <w:wordWrap/>
        <w:overflowPunct/>
        <w:topLinePunct w:val="0"/>
        <w:autoSpaceDE/>
        <w:autoSpaceDN/>
        <w:bidi w:val="0"/>
        <w:adjustRightInd/>
        <w:spacing w:line="360" w:lineRule="auto"/>
        <w:ind w:right="6" w:firstLine="420"/>
        <w:textAlignment w:val="auto"/>
        <w:rPr>
          <w:rFonts w:ascii="宋体" w:hAnsi="宋体" w:eastAsia="宋体" w:cs="宋体"/>
          <w:color w:val="auto"/>
          <w:spacing w:val="0"/>
          <w:highlight w:val="none"/>
        </w:rPr>
        <w:sectPr>
          <w:headerReference r:id="rId6" w:type="default"/>
          <w:footerReference r:id="rId7" w:type="default"/>
          <w:pgSz w:w="11906" w:h="16838"/>
          <w:pgMar w:top="1701" w:right="1134" w:bottom="1701" w:left="1134" w:header="850" w:footer="998" w:gutter="0"/>
          <w:cols w:space="0" w:num="1"/>
          <w:docGrid w:linePitch="360" w:charSpace="0"/>
        </w:sectPr>
      </w:pPr>
    </w:p>
    <w:p>
      <w:pPr>
        <w:rPr>
          <w:rFonts w:hint="eastAsia" w:eastAsia="方正黑体_GBK"/>
          <w:sz w:val="32"/>
          <w:szCs w:val="32"/>
          <w:lang w:eastAsia="zh-CN"/>
        </w:rPr>
      </w:pPr>
      <w:r>
        <w:rPr>
          <w:rFonts w:eastAsia="方正黑体_GBK"/>
          <w:sz w:val="32"/>
          <w:szCs w:val="32"/>
        </w:rPr>
        <w:t>附件1</w:t>
      </w:r>
      <w:r>
        <w:rPr>
          <w:rFonts w:hint="eastAsia" w:eastAsia="方正黑体_GBK"/>
          <w:sz w:val="32"/>
          <w:szCs w:val="32"/>
          <w:lang w:val="en-US" w:eastAsia="zh-CN"/>
        </w:rPr>
        <w:t>6</w:t>
      </w:r>
    </w:p>
    <w:p>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pPr>
        <w:spacing w:line="588" w:lineRule="exact"/>
        <w:ind w:firstLine="560" w:firstLineChars="200"/>
        <w:rPr>
          <w:rFonts w:hint="eastAsia" w:ascii="宋体" w:hAnsi="宋体"/>
          <w:sz w:val="28"/>
          <w:szCs w:val="28"/>
        </w:rPr>
      </w:pPr>
    </w:p>
    <w:p>
      <w:pPr>
        <w:spacing w:line="588" w:lineRule="exact"/>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sz w:val="24"/>
          <w:szCs w:val="24"/>
        </w:rPr>
      </w:pPr>
      <w:r>
        <w:rPr>
          <w:rFonts w:hint="eastAsia" w:ascii="宋体" w:hAnsi="宋体"/>
          <w:sz w:val="24"/>
          <w:szCs w:val="24"/>
        </w:rPr>
        <w:t>本单位对上述声明的真实性负责。如有虚假，将依法承担相应责任。</w:t>
      </w:r>
    </w:p>
    <w:p>
      <w:pPr>
        <w:spacing w:line="588" w:lineRule="exact"/>
        <w:ind w:firstLine="480" w:firstLineChars="200"/>
        <w:rPr>
          <w:rFonts w:ascii="宋体" w:hAnsi="宋体"/>
          <w:sz w:val="24"/>
          <w:szCs w:val="24"/>
        </w:rPr>
      </w:pPr>
      <w:r>
        <w:rPr>
          <w:rFonts w:hint="eastAsia" w:ascii="宋体" w:hAnsi="宋体"/>
          <w:sz w:val="24"/>
          <w:szCs w:val="24"/>
        </w:rPr>
        <w:t>（备注：1、供应商如不提供此声明函，价格将不做相应扣除。2、中标供应商为残疾人福利单位的，此声明函将随中标结果同时公告，接受社会监督）</w:t>
      </w:r>
    </w:p>
    <w:p>
      <w:pPr>
        <w:spacing w:line="588" w:lineRule="exact"/>
        <w:ind w:firstLine="504" w:firstLineChars="200"/>
        <w:rPr>
          <w:rFonts w:hint="eastAsia" w:ascii="仿宋_GB2312" w:eastAsia="仿宋_GB2312"/>
          <w:spacing w:val="6"/>
          <w:sz w:val="24"/>
          <w:szCs w:val="24"/>
        </w:rPr>
      </w:pPr>
    </w:p>
    <w:p>
      <w:pPr>
        <w:spacing w:line="588" w:lineRule="exact"/>
        <w:ind w:firstLine="504" w:firstLineChars="200"/>
        <w:rPr>
          <w:rFonts w:hint="eastAsia" w:ascii="仿宋_GB2312" w:eastAsia="仿宋_GB2312"/>
          <w:spacing w:val="6"/>
          <w:sz w:val="24"/>
          <w:szCs w:val="24"/>
        </w:rPr>
      </w:pPr>
    </w:p>
    <w:p>
      <w:pPr>
        <w:spacing w:line="588" w:lineRule="exact"/>
        <w:ind w:firstLine="504" w:firstLineChars="200"/>
        <w:rPr>
          <w:rFonts w:hint="eastAsia" w:ascii="仿宋_GB2312" w:eastAsia="仿宋_GB2312"/>
          <w:spacing w:val="6"/>
          <w:sz w:val="24"/>
          <w:szCs w:val="24"/>
        </w:rPr>
      </w:pPr>
    </w:p>
    <w:p>
      <w:pPr>
        <w:spacing w:line="588" w:lineRule="exact"/>
        <w:ind w:firstLine="504" w:firstLineChars="200"/>
        <w:rPr>
          <w:rFonts w:ascii="仿宋_GB2312" w:eastAsia="仿宋_GB2312"/>
          <w:spacing w:val="6"/>
          <w:sz w:val="24"/>
          <w:szCs w:val="24"/>
        </w:rPr>
      </w:pPr>
    </w:p>
    <w:p>
      <w:pPr>
        <w:tabs>
          <w:tab w:val="left" w:pos="4860"/>
        </w:tabs>
        <w:spacing w:line="588" w:lineRule="exact"/>
        <w:ind w:right="1560" w:firstLine="504" w:firstLineChars="200"/>
        <w:jc w:val="center"/>
        <w:rPr>
          <w:rFonts w:ascii="宋体" w:hAnsi="宋体"/>
          <w:sz w:val="24"/>
          <w:szCs w:val="24"/>
        </w:rPr>
      </w:pPr>
      <w:r>
        <w:rPr>
          <w:rFonts w:hint="eastAsia" w:ascii="仿宋_GB2312" w:eastAsia="仿宋_GB2312"/>
          <w:spacing w:val="6"/>
          <w:sz w:val="24"/>
          <w:szCs w:val="24"/>
        </w:rPr>
        <w:t xml:space="preserve">             </w:t>
      </w:r>
      <w:r>
        <w:rPr>
          <w:rFonts w:hint="eastAsia" w:ascii="宋体" w:hAnsi="宋体"/>
          <w:sz w:val="24"/>
          <w:szCs w:val="24"/>
        </w:rPr>
        <w:t xml:space="preserve">           供应商全称（盖章）：</w:t>
      </w:r>
    </w:p>
    <w:p>
      <w:pPr>
        <w:tabs>
          <w:tab w:val="left" w:pos="4860"/>
        </w:tabs>
        <w:spacing w:line="588" w:lineRule="exact"/>
        <w:ind w:right="1560" w:firstLine="480" w:firstLineChars="200"/>
        <w:jc w:val="center"/>
        <w:rPr>
          <w:rFonts w:ascii="宋体" w:hAnsi="宋体"/>
          <w:sz w:val="24"/>
          <w:szCs w:val="24"/>
        </w:rPr>
      </w:pPr>
      <w:r>
        <w:rPr>
          <w:rFonts w:hint="eastAsia" w:ascii="宋体" w:hAnsi="宋体"/>
          <w:sz w:val="24"/>
          <w:szCs w:val="24"/>
        </w:rPr>
        <w:t xml:space="preserve">              日  期：</w:t>
      </w:r>
    </w:p>
    <w:p>
      <w:pPr>
        <w:snapToGrid w:val="0"/>
        <w:spacing w:line="300" w:lineRule="auto"/>
        <w:outlineLvl w:val="0"/>
        <w:rPr>
          <w:rFonts w:eastAsia="方正黑体_GBK"/>
          <w:sz w:val="24"/>
          <w:szCs w:val="24"/>
        </w:rPr>
        <w:sectPr>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pPr>
    </w:p>
    <w:p>
      <w:pPr>
        <w:snapToGrid w:val="0"/>
        <w:spacing w:line="300" w:lineRule="auto"/>
        <w:outlineLvl w:val="0"/>
        <w:rPr>
          <w:rFonts w:hint="eastAsia" w:eastAsia="方正黑体_GBK"/>
          <w:sz w:val="32"/>
          <w:szCs w:val="32"/>
          <w:lang w:eastAsia="zh-CN"/>
        </w:rPr>
      </w:pPr>
      <w:r>
        <w:rPr>
          <w:rFonts w:eastAsia="方正黑体_GBK"/>
          <w:sz w:val="32"/>
          <w:szCs w:val="32"/>
        </w:rPr>
        <w:t>附件1</w:t>
      </w:r>
      <w:r>
        <w:rPr>
          <w:rFonts w:hint="eastAsia" w:eastAsia="方正黑体_GBK"/>
          <w:sz w:val="32"/>
          <w:szCs w:val="32"/>
          <w:lang w:val="en-US" w:eastAsia="zh-CN"/>
        </w:rPr>
        <w:t>7</w:t>
      </w:r>
    </w:p>
    <w:p>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pPr>
        <w:snapToGrid w:val="0"/>
        <w:spacing w:line="420" w:lineRule="exact"/>
        <w:ind w:firstLine="495" w:firstLineChars="177"/>
        <w:rPr>
          <w:rFonts w:hint="eastAsia" w:ascii="宋体" w:hAnsi="宋体" w:cs="宋体"/>
          <w:sz w:val="28"/>
          <w:szCs w:val="28"/>
        </w:rPr>
      </w:pPr>
    </w:p>
    <w:p>
      <w:pPr>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hint="eastAsia"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outlineLvl w:val="0"/>
        <w:rPr>
          <w:rFonts w:eastAsia="方正黑体_GBK"/>
          <w:sz w:val="32"/>
          <w:szCs w:val="32"/>
        </w:rPr>
        <w:sectPr>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pPr>
    </w:p>
    <w:p>
      <w:pPr>
        <w:pStyle w:val="27"/>
        <w:pageBreakBefore w:val="0"/>
        <w:ind w:firstLine="0"/>
        <w:jc w:val="left"/>
        <w:rPr>
          <w:rFonts w:hint="eastAsia" w:hAnsi="宋体" w:eastAsia="宋体" w:cs="宋体"/>
          <w:b/>
          <w:color w:val="auto"/>
          <w:spacing w:val="0"/>
          <w:sz w:val="32"/>
          <w:szCs w:val="32"/>
          <w:highlight w:val="none"/>
        </w:rPr>
      </w:pPr>
      <w:r>
        <w:rPr>
          <w:rFonts w:eastAsia="方正黑体_GBK"/>
          <w:sz w:val="32"/>
          <w:szCs w:val="32"/>
        </w:rPr>
        <w:t>附件1</w:t>
      </w:r>
      <w:r>
        <w:rPr>
          <w:rFonts w:hint="eastAsia" w:eastAsia="方正黑体_GBK"/>
          <w:sz w:val="32"/>
          <w:szCs w:val="32"/>
          <w:lang w:val="en-US" w:eastAsia="zh-CN"/>
        </w:rPr>
        <w:t>8</w:t>
      </w:r>
    </w:p>
    <w:p>
      <w:pPr>
        <w:pStyle w:val="27"/>
        <w:pageBreakBefore w:val="0"/>
        <w:ind w:firstLine="0"/>
        <w:jc w:val="center"/>
        <w:rPr>
          <w:rFonts w:hAnsi="宋体" w:eastAsia="宋体" w:cs="宋体"/>
          <w:b/>
          <w:color w:val="auto"/>
          <w:spacing w:val="0"/>
          <w:sz w:val="32"/>
          <w:szCs w:val="32"/>
          <w:highlight w:val="none"/>
        </w:rPr>
      </w:pPr>
      <w:r>
        <w:rPr>
          <w:rFonts w:hint="eastAsia" w:hAnsi="宋体" w:eastAsia="宋体" w:cs="宋体"/>
          <w:b/>
          <w:color w:val="auto"/>
          <w:spacing w:val="0"/>
          <w:sz w:val="32"/>
          <w:szCs w:val="32"/>
          <w:highlight w:val="none"/>
        </w:rPr>
        <w:t>供应商基本情况表</w:t>
      </w:r>
    </w:p>
    <w:p>
      <w:pPr>
        <w:pageBreakBefore w:val="0"/>
        <w:spacing w:line="166" w:lineRule="exact"/>
        <w:rPr>
          <w:rFonts w:ascii="宋体" w:hAnsi="宋体" w:eastAsia="宋体" w:cs="宋体"/>
          <w:color w:val="auto"/>
          <w:spacing w:val="0"/>
          <w:highlight w:val="none"/>
        </w:rPr>
      </w:pPr>
    </w:p>
    <w:tbl>
      <w:tblPr>
        <w:tblStyle w:val="28"/>
        <w:tblW w:w="9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5"/>
        <w:gridCol w:w="7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485" w:type="dxa"/>
            <w:noWrap w:val="0"/>
            <w:vAlign w:val="center"/>
          </w:tcPr>
          <w:p>
            <w:pPr>
              <w:pageBreakBefore w:val="0"/>
              <w:spacing w:before="139" w:line="432" w:lineRule="auto"/>
              <w:ind w:right="3"/>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供应商名称</w:t>
            </w:r>
          </w:p>
        </w:tc>
        <w:tc>
          <w:tcPr>
            <w:tcW w:w="7321" w:type="dxa"/>
            <w:noWrap w:val="0"/>
            <w:vAlign w:val="center"/>
          </w:tcPr>
          <w:p>
            <w:pPr>
              <w:pageBreakBefore w:val="0"/>
              <w:spacing w:before="139" w:line="432" w:lineRule="auto"/>
              <w:ind w:left="125" w:right="3" w:firstLine="228"/>
              <w:rPr>
                <w:rFonts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jc w:val="center"/>
        </w:trPr>
        <w:tc>
          <w:tcPr>
            <w:tcW w:w="2485" w:type="dxa"/>
            <w:noWrap w:val="0"/>
            <w:vAlign w:val="center"/>
          </w:tcPr>
          <w:p>
            <w:pPr>
              <w:pageBreakBefore w:val="0"/>
              <w:spacing w:before="139" w:line="432" w:lineRule="auto"/>
              <w:ind w:right="3"/>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社会机构统一信用代码</w:t>
            </w:r>
          </w:p>
        </w:tc>
        <w:tc>
          <w:tcPr>
            <w:tcW w:w="7321" w:type="dxa"/>
            <w:noWrap w:val="0"/>
            <w:vAlign w:val="center"/>
          </w:tcPr>
          <w:p>
            <w:pPr>
              <w:pageBreakBefore w:val="0"/>
              <w:spacing w:before="139" w:line="432" w:lineRule="auto"/>
              <w:ind w:left="125" w:right="3" w:firstLine="228"/>
              <w:rPr>
                <w:rFonts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jc w:val="center"/>
        </w:trPr>
        <w:tc>
          <w:tcPr>
            <w:tcW w:w="2485" w:type="dxa"/>
            <w:noWrap w:val="0"/>
            <w:vAlign w:val="center"/>
          </w:tcPr>
          <w:p>
            <w:pPr>
              <w:pageBreakBefore w:val="0"/>
              <w:spacing w:before="139" w:line="432" w:lineRule="auto"/>
              <w:ind w:right="3"/>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供应商规模</w:t>
            </w:r>
          </w:p>
        </w:tc>
        <w:tc>
          <w:tcPr>
            <w:tcW w:w="7321" w:type="dxa"/>
            <w:noWrap w:val="0"/>
            <w:vAlign w:val="center"/>
          </w:tcPr>
          <w:p>
            <w:pPr>
              <w:pageBreakBefore w:val="0"/>
              <w:spacing w:before="139" w:line="432" w:lineRule="auto"/>
              <w:ind w:left="125" w:right="3" w:firstLine="228"/>
              <w:rPr>
                <w:rFonts w:ascii="宋体" w:hAnsi="宋体" w:eastAsia="宋体" w:cs="宋体"/>
                <w:color w:val="auto"/>
                <w:spacing w:val="0"/>
                <w:highlight w:val="none"/>
              </w:rPr>
            </w:pPr>
            <w:r>
              <w:rPr>
                <w:rFonts w:hint="eastAsia" w:ascii="宋体" w:hAnsi="宋体" w:eastAsia="宋体" w:cs="宋体"/>
                <w:color w:val="auto"/>
                <w:spacing w:val="0"/>
                <w:highlight w:val="none"/>
              </w:rPr>
              <w:t>□大型</w:t>
            </w:r>
            <w:r>
              <w:rPr>
                <w:rFonts w:hint="eastAsia" w:ascii="宋体" w:hAnsi="宋体" w:eastAsia="宋体" w:cs="宋体"/>
                <w:color w:val="auto"/>
                <w:spacing w:val="0"/>
                <w:highlight w:val="none"/>
                <w:lang w:val="en-US" w:eastAsia="zh-CN"/>
              </w:rPr>
              <w:t xml:space="preserve">         </w:t>
            </w:r>
            <w:r>
              <w:rPr>
                <w:rFonts w:hint="eastAsia" w:ascii="宋体" w:hAnsi="宋体" w:eastAsia="宋体" w:cs="宋体"/>
                <w:color w:val="auto"/>
                <w:spacing w:val="0"/>
                <w:highlight w:val="none"/>
              </w:rPr>
              <w:t>□ 中型          □小微型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2485" w:type="dxa"/>
            <w:noWrap w:val="0"/>
            <w:vAlign w:val="center"/>
          </w:tcPr>
          <w:p>
            <w:pPr>
              <w:pageBreakBefore w:val="0"/>
              <w:spacing w:before="139" w:line="432" w:lineRule="auto"/>
              <w:ind w:right="3"/>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供应商所在区域</w:t>
            </w:r>
          </w:p>
          <w:p>
            <w:pPr>
              <w:pageBreakBefore w:val="0"/>
              <w:spacing w:before="139" w:line="432" w:lineRule="auto"/>
              <w:ind w:right="3"/>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（细化到省份）</w:t>
            </w:r>
          </w:p>
        </w:tc>
        <w:tc>
          <w:tcPr>
            <w:tcW w:w="7321" w:type="dxa"/>
            <w:noWrap w:val="0"/>
            <w:vAlign w:val="center"/>
          </w:tcPr>
          <w:p>
            <w:pPr>
              <w:pageBreakBefore w:val="0"/>
              <w:spacing w:before="139" w:line="432" w:lineRule="auto"/>
              <w:ind w:left="125" w:right="3" w:firstLine="228"/>
              <w:rPr>
                <w:rFonts w:ascii="宋体" w:hAnsi="宋体" w:eastAsia="宋体" w:cs="宋体"/>
                <w:color w:val="auto"/>
                <w:spacing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2485" w:type="dxa"/>
            <w:noWrap w:val="0"/>
            <w:vAlign w:val="center"/>
          </w:tcPr>
          <w:p>
            <w:pPr>
              <w:pageBreakBefore w:val="0"/>
              <w:spacing w:before="139" w:line="432" w:lineRule="auto"/>
              <w:ind w:right="3"/>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是否特殊性质</w:t>
            </w:r>
          </w:p>
        </w:tc>
        <w:tc>
          <w:tcPr>
            <w:tcW w:w="7321" w:type="dxa"/>
            <w:noWrap w:val="0"/>
            <w:vAlign w:val="center"/>
          </w:tcPr>
          <w:p>
            <w:pPr>
              <w:pageBreakBefore w:val="0"/>
              <w:spacing w:before="139" w:line="432" w:lineRule="auto"/>
              <w:ind w:left="125" w:right="3" w:firstLine="228"/>
              <w:rPr>
                <w:rFonts w:ascii="宋体" w:hAnsi="宋体" w:eastAsia="宋体" w:cs="宋体"/>
                <w:color w:val="auto"/>
                <w:spacing w:val="0"/>
                <w:highlight w:val="none"/>
              </w:rPr>
            </w:pPr>
            <w:r>
              <w:rPr>
                <w:rFonts w:hint="eastAsia" w:ascii="宋体" w:hAnsi="宋体" w:eastAsia="宋体" w:cs="宋体"/>
                <w:color w:val="auto"/>
                <w:spacing w:val="0"/>
                <w:highlight w:val="none"/>
              </w:rPr>
              <w:t>□监狱企业残疾人     □福利性单位     □其他</w:t>
            </w:r>
          </w:p>
        </w:tc>
      </w:tr>
    </w:tbl>
    <w:p>
      <w:pPr>
        <w:pageBreakBefore w:val="0"/>
        <w:spacing w:before="52" w:line="230" w:lineRule="auto"/>
        <w:rPr>
          <w:rFonts w:ascii="宋体" w:hAnsi="宋体" w:eastAsia="宋体" w:cs="宋体"/>
          <w:color w:val="auto"/>
          <w:spacing w:val="0"/>
          <w:highlight w:val="none"/>
        </w:rPr>
      </w:pPr>
      <w:r>
        <w:rPr>
          <w:rFonts w:hint="eastAsia" w:ascii="宋体" w:hAnsi="宋体" w:eastAsia="宋体" w:cs="宋体"/>
          <w:color w:val="auto"/>
          <w:spacing w:val="0"/>
          <w:highlight w:val="none"/>
        </w:rPr>
        <w:t>注：</w:t>
      </w:r>
    </w:p>
    <w:p>
      <w:pPr>
        <w:pageBreakBefore w:val="0"/>
        <w:spacing w:line="360" w:lineRule="auto"/>
        <w:ind w:right="3"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1.供应商规模：供应商应对照工业和信息化部、国家统计局、国家发展改革委、财政部《关于印发中 小企业划型标准规定的通知》（工信部联企业〔2011〕300 号）中的规模划分勾选自身规模；</w:t>
      </w:r>
    </w:p>
    <w:p>
      <w:pPr>
        <w:pageBreakBefore w:val="0"/>
        <w:spacing w:line="360" w:lineRule="auto"/>
        <w:ind w:firstLine="420"/>
        <w:rPr>
          <w:rFonts w:ascii="宋体" w:hAnsi="宋体" w:eastAsia="宋体" w:cs="宋体"/>
          <w:color w:val="auto"/>
          <w:spacing w:val="0"/>
          <w:highlight w:val="none"/>
        </w:rPr>
      </w:pPr>
      <w:bookmarkStart w:id="554" w:name="_Toc16100"/>
      <w:r>
        <w:rPr>
          <w:rFonts w:hint="eastAsia" w:ascii="宋体" w:hAnsi="宋体" w:eastAsia="宋体" w:cs="宋体"/>
          <w:color w:val="auto"/>
          <w:spacing w:val="0"/>
          <w:highlight w:val="none"/>
        </w:rPr>
        <w:t>2.供应商所在区域：指供应商注册地所在地区，具体细化到省份；</w:t>
      </w:r>
      <w:bookmarkEnd w:id="554"/>
    </w:p>
    <w:p>
      <w:pPr>
        <w:pageBreakBefore w:val="0"/>
        <w:spacing w:line="360" w:lineRule="auto"/>
        <w:ind w:right="3"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3.是否特殊性质：供应商应对照《财政部司法部关于政府采购支持监狱企业发展有关问题的通知》 （财库〔2014〕68号）和《财政部民政部中国残疾人联合会关于促进残疾人就业政府采购政策的通知》（财库〔2017〕141号）的规定勾选自身性质。</w:t>
      </w:r>
    </w:p>
    <w:p>
      <w:pPr>
        <w:pageBreakBefore w:val="0"/>
        <w:spacing w:line="360" w:lineRule="auto"/>
        <w:ind w:right="3" w:firstLine="420"/>
        <w:rPr>
          <w:rFonts w:ascii="宋体" w:hAnsi="宋体" w:eastAsia="宋体" w:cs="宋体"/>
          <w:color w:val="auto"/>
          <w:spacing w:val="0"/>
          <w:highlight w:val="none"/>
        </w:rPr>
        <w:sectPr>
          <w:headerReference r:id="rId8" w:type="default"/>
          <w:footerReference r:id="rId9" w:type="default"/>
          <w:pgSz w:w="11906" w:h="16838"/>
          <w:pgMar w:top="1701" w:right="1134" w:bottom="1701" w:left="1134" w:header="850" w:footer="998" w:gutter="0"/>
          <w:cols w:space="0" w:num="1"/>
          <w:docGrid w:linePitch="360" w:charSpace="0"/>
        </w:sectPr>
      </w:pPr>
    </w:p>
    <w:p>
      <w:pPr>
        <w:pageBreakBefore w:val="0"/>
        <w:spacing w:line="360" w:lineRule="auto"/>
        <w:ind w:left="6"/>
        <w:rPr>
          <w:rFonts w:ascii="宋体" w:hAnsi="宋体" w:eastAsia="宋体" w:cs="宋体"/>
          <w:b/>
          <w:bCs/>
          <w:color w:val="auto"/>
          <w:spacing w:val="0"/>
          <w:sz w:val="20"/>
          <w:szCs w:val="20"/>
          <w:highlight w:val="none"/>
        </w:rPr>
      </w:pPr>
      <w:bookmarkStart w:id="555" w:name="_bookmark58"/>
      <w:bookmarkEnd w:id="555"/>
      <w:bookmarkStart w:id="556" w:name="_Toc24037_WPSOffice_Level1"/>
      <w:bookmarkStart w:id="557" w:name="_Toc2714"/>
      <w:bookmarkStart w:id="558" w:name="_Toc22372"/>
      <w:r>
        <w:rPr>
          <w:rFonts w:hint="eastAsia" w:ascii="宋体" w:hAnsi="宋体" w:eastAsia="宋体" w:cs="宋体"/>
          <w:b/>
          <w:bCs/>
          <w:color w:val="auto"/>
          <w:spacing w:val="0"/>
          <w:sz w:val="20"/>
          <w:szCs w:val="20"/>
          <w:highlight w:val="none"/>
        </w:rPr>
        <w:t>附：供应商情况告知表</w:t>
      </w:r>
      <w:bookmarkEnd w:id="556"/>
      <w:bookmarkEnd w:id="557"/>
      <w:bookmarkEnd w:id="558"/>
    </w:p>
    <w:p>
      <w:pPr>
        <w:pageBreakBefore w:val="0"/>
        <w:spacing w:before="296" w:line="228" w:lineRule="auto"/>
        <w:ind w:left="563"/>
        <w:rPr>
          <w:rFonts w:ascii="宋体" w:hAnsi="宋体" w:eastAsia="宋体" w:cs="宋体"/>
          <w:color w:val="auto"/>
          <w:spacing w:val="0"/>
          <w:highlight w:val="none"/>
        </w:rPr>
      </w:pPr>
      <w:r>
        <w:rPr>
          <w:rFonts w:hint="eastAsia" w:ascii="宋体" w:hAnsi="宋体" w:eastAsia="宋体" w:cs="宋体"/>
          <w:color w:val="auto"/>
          <w:spacing w:val="0"/>
          <w:highlight w:val="none"/>
        </w:rPr>
        <w:t>中小微企业划型标准如下：</w:t>
      </w:r>
    </w:p>
    <w:p>
      <w:pPr>
        <w:pageBreakBefore w:val="0"/>
        <w:spacing w:line="91" w:lineRule="exact"/>
        <w:rPr>
          <w:rFonts w:ascii="宋体" w:hAnsi="宋体" w:eastAsia="宋体" w:cs="宋体"/>
          <w:color w:val="auto"/>
          <w:spacing w:val="0"/>
          <w:highlight w:val="none"/>
        </w:rPr>
      </w:pPr>
    </w:p>
    <w:tbl>
      <w:tblPr>
        <w:tblStyle w:val="28"/>
        <w:tblW w:w="92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1"/>
        <w:gridCol w:w="1638"/>
        <w:gridCol w:w="1083"/>
        <w:gridCol w:w="1921"/>
        <w:gridCol w:w="1710"/>
        <w:gridCol w:w="1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行业名称</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指标名称</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计量</w:t>
            </w:r>
          </w:p>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单位</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中型</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小型</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农、林、牧、渔</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500≤Y＜20000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50≤Y＜500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工业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300≤X＜1000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20≤X＜300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2000≤Y＜40000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300≤Y＜2000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建筑业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6000≤Y＜80000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300≤Y＜6000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资产总额 （Z）</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5000≤Z＜80000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300≤Z＜5000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批发业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20≤X＜200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5≤X＜20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5000≤Y＜40000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1000≤Y＜5000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零售业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10≤X＜50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500≤Y＜20000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100≤Y＜500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交通运输业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300≤X＜1000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20≤X＜300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3000≤Y＜30000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200≤Y＜3000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仓储业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100≤X＜200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1000≤Y＜30000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100≤Y＜1000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邮政业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300≤X＜1000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20≤X＜300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2000≤Y＜30000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100≤Y＜2000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住宿业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2000≤Y＜10000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100≤Y＜2000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餐饮业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2000≤Y＜10000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100≤Y＜2000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信息传输业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100≤X＜2000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1000≤Y＜100000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100≤Y＜1000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软件和信息技术服务业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1000≤Y＜10000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50≤Y＜1000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房地产开发经营</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1000≤Y＜200000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100≤X＜1000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资产总额 （Z）</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5000≤Z＜10000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2000≤Y＜5000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物业管理</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300≤X＜1000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营业收入 （Y）</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1000≤Y＜5000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500≤Y＜1000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租赁和商务服务业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noWrap w:val="0"/>
            <w:vAlign w:val="center"/>
          </w:tcPr>
          <w:p>
            <w:pPr>
              <w:pageBreakBefore w:val="0"/>
              <w:spacing w:before="31" w:line="228" w:lineRule="auto"/>
              <w:ind w:left="147"/>
              <w:jc w:val="center"/>
              <w:rPr>
                <w:rFonts w:ascii="宋体" w:hAnsi="宋体" w:eastAsia="宋体" w:cs="宋体"/>
                <w:color w:val="auto"/>
                <w:spacing w:val="0"/>
                <w:highlight w:val="none"/>
              </w:rPr>
            </w:pP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资产总额 （Z）</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万元</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8000≤Z＜120000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100≤Z＜8000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其他未列明行业</w:t>
            </w:r>
          </w:p>
        </w:tc>
        <w:tc>
          <w:tcPr>
            <w:tcW w:w="1638"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从业人员 （X）</w:t>
            </w:r>
          </w:p>
        </w:tc>
        <w:tc>
          <w:tcPr>
            <w:tcW w:w="1083"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人</w:t>
            </w:r>
          </w:p>
        </w:tc>
        <w:tc>
          <w:tcPr>
            <w:tcW w:w="1921"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100≤X＜300</w:t>
            </w:r>
          </w:p>
        </w:tc>
        <w:tc>
          <w:tcPr>
            <w:tcW w:w="1710"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10≤X＜100</w:t>
            </w:r>
          </w:p>
        </w:tc>
        <w:tc>
          <w:tcPr>
            <w:tcW w:w="1104" w:type="dxa"/>
            <w:noWrap w:val="0"/>
            <w:vAlign w:val="center"/>
          </w:tcPr>
          <w:p>
            <w:pPr>
              <w:pageBreakBefore w:val="0"/>
              <w:spacing w:before="31" w:line="228" w:lineRule="auto"/>
              <w:ind w:left="147"/>
              <w:jc w:val="center"/>
              <w:rPr>
                <w:rFonts w:ascii="宋体" w:hAnsi="宋体" w:eastAsia="宋体" w:cs="宋体"/>
                <w:color w:val="auto"/>
                <w:spacing w:val="0"/>
                <w:highlight w:val="none"/>
              </w:rPr>
            </w:pPr>
            <w:r>
              <w:rPr>
                <w:rFonts w:hint="eastAsia" w:ascii="宋体" w:hAnsi="宋体" w:eastAsia="宋体" w:cs="宋体"/>
                <w:color w:val="auto"/>
                <w:spacing w:val="0"/>
                <w:highlight w:val="none"/>
              </w:rPr>
              <w:t>X＜10</w:t>
            </w:r>
          </w:p>
        </w:tc>
      </w:tr>
    </w:tbl>
    <w:p>
      <w:pPr>
        <w:pageBreakBefore w:val="0"/>
        <w:rPr>
          <w:rFonts w:ascii="宋体" w:hAnsi="宋体" w:eastAsia="宋体" w:cs="宋体"/>
          <w:color w:val="auto"/>
          <w:spacing w:val="0"/>
          <w:highlight w:val="none"/>
        </w:rPr>
      </w:pPr>
    </w:p>
    <w:p>
      <w:pPr>
        <w:rPr>
          <w:rFonts w:eastAsia="方正黑体_GBK"/>
          <w:sz w:val="32"/>
          <w:szCs w:val="32"/>
        </w:rPr>
      </w:pPr>
      <w:r>
        <w:rPr>
          <w:rFonts w:hint="eastAsia" w:ascii="宋体" w:hAnsi="宋体" w:eastAsia="宋体" w:cs="宋体"/>
          <w:color w:val="auto"/>
          <w:spacing w:val="0"/>
          <w:highlight w:val="none"/>
        </w:rPr>
        <w:t>说明：上述标准参照《关于印发中小企业划型标准规定的通知》（工信部联企业〔2011〕300 号），大型、中型和</w:t>
      </w:r>
      <w:bookmarkStart w:id="559" w:name="_Toc27977"/>
      <w:r>
        <w:rPr>
          <w:rFonts w:hint="eastAsia" w:ascii="宋体" w:hAnsi="宋体" w:eastAsia="宋体" w:cs="宋体"/>
          <w:color w:val="auto"/>
          <w:spacing w:val="0"/>
          <w:highlight w:val="none"/>
        </w:rPr>
        <w:t>小型企业须同时满足所列指标的下限，否则下划一档；微型企业只须满足所列指标中的一项即可。</w:t>
      </w:r>
      <w:bookmarkEnd w:id="559"/>
      <w:r>
        <w:rPr>
          <w:rFonts w:eastAsia="方正黑体_GBK"/>
          <w:sz w:val="32"/>
          <w:szCs w:val="32"/>
        </w:rPr>
        <w:br w:type="page"/>
      </w:r>
    </w:p>
    <w:p>
      <w:pPr>
        <w:snapToGrid w:val="0"/>
        <w:spacing w:line="300" w:lineRule="auto"/>
        <w:outlineLvl w:val="0"/>
        <w:rPr>
          <w:rFonts w:hint="eastAsia" w:eastAsia="方正黑体_GBK"/>
          <w:sz w:val="32"/>
          <w:szCs w:val="32"/>
          <w:lang w:eastAsia="zh-CN"/>
        </w:rPr>
      </w:pPr>
      <w:r>
        <w:rPr>
          <w:rFonts w:eastAsia="方正黑体_GBK"/>
          <w:sz w:val="32"/>
          <w:szCs w:val="32"/>
        </w:rPr>
        <w:t>附件1</w:t>
      </w:r>
      <w:r>
        <w:rPr>
          <w:rFonts w:hint="eastAsia" w:eastAsia="方正黑体_GBK"/>
          <w:sz w:val="32"/>
          <w:szCs w:val="32"/>
          <w:lang w:val="en-US" w:eastAsia="zh-CN"/>
        </w:rPr>
        <w:t>9</w:t>
      </w:r>
    </w:p>
    <w:p>
      <w:pPr>
        <w:jc w:val="center"/>
        <w:rPr>
          <w:rFonts w:ascii="黑体" w:hAnsi="黑体" w:eastAsia="黑体" w:cs="仿宋"/>
          <w:bCs/>
          <w:sz w:val="44"/>
          <w:szCs w:val="44"/>
        </w:rPr>
      </w:pPr>
      <w:r>
        <w:rPr>
          <w:rFonts w:hint="eastAsia" w:ascii="黑体" w:hAnsi="黑体" w:eastAsia="黑体" w:cs="仿宋"/>
          <w:bCs/>
          <w:sz w:val="36"/>
          <w:szCs w:val="36"/>
        </w:rPr>
        <w:t>质疑函范本</w:t>
      </w:r>
    </w:p>
    <w:p>
      <w:pPr>
        <w:keepNext w:val="0"/>
        <w:keepLines w:val="0"/>
        <w:pageBreakBefore w:val="0"/>
        <w:kinsoku/>
        <w:wordWrap/>
        <w:overflowPunct/>
        <w:topLinePunct w:val="0"/>
        <w:autoSpaceDE/>
        <w:autoSpaceDN/>
        <w:bidi w:val="0"/>
        <w:adjustRightInd w:val="0"/>
        <w:snapToGrid w:val="0"/>
        <w:spacing w:before="240" w:beforeLines="100" w:line="360" w:lineRule="auto"/>
        <w:textAlignment w:val="auto"/>
        <w:rPr>
          <w:rFonts w:ascii="宋体" w:hAnsi="宋体" w:cs="仿宋"/>
          <w:bCs/>
          <w:sz w:val="28"/>
          <w:szCs w:val="28"/>
        </w:rPr>
      </w:pPr>
      <w:r>
        <w:rPr>
          <w:rFonts w:hint="eastAsia" w:ascii="宋体" w:hAnsi="宋体" w:cs="仿宋"/>
          <w:bCs/>
          <w:sz w:val="28"/>
          <w:szCs w:val="28"/>
        </w:rPr>
        <w:t>一、质疑供应商基本信息</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质疑供应商：</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地址：邮编：</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联系人：联系电话：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授权代表：</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联系电话：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eastAsia="仿宋"/>
          <w:sz w:val="28"/>
          <w:szCs w:val="28"/>
        </w:rPr>
      </w:pPr>
      <w:r>
        <w:rPr>
          <w:rFonts w:hint="eastAsia" w:ascii="宋体" w:hAnsi="宋体" w:cs="仿宋"/>
          <w:sz w:val="28"/>
          <w:szCs w:val="28"/>
        </w:rPr>
        <w:t>地址：              邮编：</w:t>
      </w: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宋体" w:hAnsi="宋体" w:cs="仿宋"/>
          <w:sz w:val="28"/>
          <w:szCs w:val="28"/>
        </w:rPr>
        <w:t>邮箱：</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二、质疑项目基本情况</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质疑项目的名称：</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质疑项目的编号：包号：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采购人名称：</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采购文件获取日期：</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三、质疑事项具体内容</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质疑事项1：</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事实依据：</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法律依据：</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质疑事项2</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r>
        <w:rPr>
          <w:rFonts w:hint="eastAsia" w:ascii="宋体" w:hAnsi="宋体"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8"/>
          <w:szCs w:val="28"/>
        </w:rPr>
      </w:pPr>
      <w:r>
        <w:rPr>
          <w:rFonts w:hint="eastAsia" w:ascii="宋体" w:hAnsi="宋体" w:cs="仿宋"/>
          <w:bCs/>
          <w:sz w:val="28"/>
          <w:szCs w:val="28"/>
        </w:rPr>
        <w:t>四、与质疑事项相关的质疑请求</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u w:val="dotted"/>
        </w:rPr>
      </w:pPr>
      <w:r>
        <w:rPr>
          <w:rFonts w:hint="eastAsia" w:ascii="宋体" w:hAnsi="宋体" w:cs="仿宋"/>
          <w:sz w:val="28"/>
          <w:szCs w:val="28"/>
        </w:rPr>
        <w:t>请求：</w:t>
      </w:r>
    </w:p>
    <w:p>
      <w:pPr>
        <w:keepNext w:val="0"/>
        <w:keepLines w:val="0"/>
        <w:pageBreakBefore w:val="0"/>
        <w:kinsoku/>
        <w:wordWrap/>
        <w:overflowPunct/>
        <w:topLinePunct w:val="0"/>
        <w:autoSpaceDE/>
        <w:autoSpaceDN/>
        <w:bidi w:val="0"/>
        <w:spacing w:line="360" w:lineRule="auto"/>
        <w:textAlignment w:val="auto"/>
        <w:rPr>
          <w:rFonts w:ascii="宋体" w:hAnsi="宋体"/>
          <w:sz w:val="28"/>
          <w:szCs w:val="28"/>
        </w:rPr>
      </w:pPr>
      <w:r>
        <w:rPr>
          <w:rFonts w:hint="eastAsia" w:ascii="宋体" w:hAnsi="宋体"/>
          <w:sz w:val="28"/>
          <w:szCs w:val="28"/>
        </w:rPr>
        <w:t xml:space="preserve">签字(签章)：                   公章：                      </w:t>
      </w:r>
    </w:p>
    <w:p>
      <w:pPr>
        <w:keepNext w:val="0"/>
        <w:keepLines w:val="0"/>
        <w:pageBreakBefore w:val="0"/>
        <w:kinsoku/>
        <w:wordWrap/>
        <w:overflowPunct/>
        <w:topLinePunct w:val="0"/>
        <w:autoSpaceDE/>
        <w:autoSpaceDN/>
        <w:bidi w:val="0"/>
        <w:spacing w:line="360" w:lineRule="auto"/>
        <w:textAlignment w:val="auto"/>
        <w:rPr>
          <w:rFonts w:ascii="宋体" w:hAnsi="宋体"/>
          <w:sz w:val="28"/>
          <w:szCs w:val="28"/>
        </w:rPr>
      </w:pPr>
      <w:r>
        <w:rPr>
          <w:rFonts w:hint="eastAsia" w:ascii="宋体" w:hAnsi="宋体"/>
          <w:sz w:val="28"/>
          <w:szCs w:val="28"/>
        </w:rPr>
        <w:t xml:space="preserve">日期：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8"/>
          <w:szCs w:val="28"/>
        </w:rPr>
      </w:pPr>
    </w:p>
    <w:p>
      <w:pPr>
        <w:keepNext w:val="0"/>
        <w:keepLines w:val="0"/>
        <w:pageBreakBefore w:val="0"/>
        <w:kinsoku/>
        <w:wordWrap/>
        <w:overflowPunct/>
        <w:topLinePunct w:val="0"/>
        <w:autoSpaceDE/>
        <w:autoSpaceDN/>
        <w:bidi w:val="0"/>
        <w:spacing w:line="360" w:lineRule="auto"/>
        <w:textAlignment w:val="auto"/>
        <w:rPr>
          <w:rFonts w:ascii="宋体" w:hAnsi="宋体"/>
          <w:b/>
          <w:sz w:val="28"/>
          <w:szCs w:val="28"/>
        </w:rPr>
      </w:pPr>
    </w:p>
    <w:p>
      <w:pPr>
        <w:keepNext w:val="0"/>
        <w:keepLines w:val="0"/>
        <w:pageBreakBefore w:val="0"/>
        <w:kinsoku/>
        <w:wordWrap/>
        <w:overflowPunct/>
        <w:topLinePunct w:val="0"/>
        <w:autoSpaceDE/>
        <w:autoSpaceDN/>
        <w:bidi w:val="0"/>
        <w:spacing w:line="360" w:lineRule="auto"/>
        <w:textAlignment w:val="auto"/>
        <w:rPr>
          <w:rFonts w:ascii="宋体" w:hAnsi="宋体"/>
          <w:b/>
          <w:sz w:val="28"/>
          <w:szCs w:val="28"/>
        </w:rPr>
      </w:pPr>
      <w:r>
        <w:rPr>
          <w:rFonts w:hint="eastAsia" w:ascii="宋体" w:hAnsi="宋体"/>
          <w:b/>
          <w:sz w:val="28"/>
          <w:szCs w:val="28"/>
        </w:rPr>
        <w:t>质疑函制作说明：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1.供应商提出质疑时，应提交质疑函和必要的证明材料。</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hint="eastAsia" w:ascii="宋体" w:hAnsi="宋体"/>
          <w:sz w:val="28"/>
          <w:szCs w:val="28"/>
        </w:rPr>
        <w:t>5.质疑函的质疑请求应与质疑事项相关。</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sz w:val="28"/>
          <w:szCs w:val="28"/>
        </w:rPr>
      </w:pPr>
      <w:r>
        <w:rPr>
          <w:rFonts w:hint="eastAsia" w:ascii="宋体" w:hAnsi="宋体"/>
          <w:sz w:val="28"/>
          <w:szCs w:val="28"/>
        </w:rPr>
        <w:t>6.质疑供应商为自然人的，质疑函应由本人签字；质疑供应商为法人或者其他组织的，质疑函应由法定代表人、主要负责人，或者其授权代表签字或者盖章，并加盖公章。</w:t>
      </w:r>
    </w:p>
    <w:p/>
    <w:sectPr>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阿里巴巴普惠体">
    <w:altName w:val="Trebuchet MS"/>
    <w:panose1 w:val="020B0503020202020204"/>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方正黑体_GBK">
    <w:panose1 w:val="03000509000000000000"/>
    <w:charset w:val="86"/>
    <w:family w:val="script"/>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asciiTheme="minorHAnsi" w:hAnsiTheme="minorHAnsi" w:eastAsiaTheme="minorEastAsia" w:cstheme="minorBidi"/>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JPGTjceAgAAIQQA&#10;AA4AAAAAAAAAAQAgAAAAHwEAAGRycy9lMm9Eb2MueG1sUEsFBgAAAAAGAAYAWQEAAK8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fldChar w:fldCharType="begin"/>
    </w:r>
    <w:r>
      <w:instrText xml:space="preserve"> PAGE   \* MERGEFORMAT </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A9kUBkeAgAAIQQA&#10;AA4AAAAAAAAAAQAgAAAAHwEAAGRycy9lMm9Eb2MueG1sUEsFBgAAAAAGAAYAWQEAAK8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GTU4AceAgAAIQQA&#10;AA4AAAAAAAAAAQAgAAAAHwEAAGRycy9lMm9Eb2MueG1sUEsFBgAAAAAGAAYAWQEAAK8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50" w:lineRule="exact"/>
      <w:ind w:firstLin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50" w:lineRule="exact"/>
      <w:ind w:firstLine="1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multilevel"/>
    <w:tmpl w:val="2A8F537B"/>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70A853C6"/>
    <w:multiLevelType w:val="singleLevel"/>
    <w:tmpl w:val="70A853C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DFlYjNmNWE2MjNkODg5YjBlYjc2NzVlYzJiY2EifQ=="/>
  </w:docVars>
  <w:rsids>
    <w:rsidRoot w:val="00000000"/>
    <w:rsid w:val="01A7022B"/>
    <w:rsid w:val="029E0D24"/>
    <w:rsid w:val="072C2FAA"/>
    <w:rsid w:val="0A557E16"/>
    <w:rsid w:val="0BD90EC8"/>
    <w:rsid w:val="0D632D1F"/>
    <w:rsid w:val="0D910E01"/>
    <w:rsid w:val="0E185083"/>
    <w:rsid w:val="0E334CF5"/>
    <w:rsid w:val="10CC2B9D"/>
    <w:rsid w:val="11F564C0"/>
    <w:rsid w:val="122A439C"/>
    <w:rsid w:val="146328AF"/>
    <w:rsid w:val="149963A6"/>
    <w:rsid w:val="158957AA"/>
    <w:rsid w:val="15B36805"/>
    <w:rsid w:val="17DC2ADE"/>
    <w:rsid w:val="18787E06"/>
    <w:rsid w:val="193E4B12"/>
    <w:rsid w:val="1A237418"/>
    <w:rsid w:val="1AC4273B"/>
    <w:rsid w:val="1AFD18B3"/>
    <w:rsid w:val="1B4E457C"/>
    <w:rsid w:val="1B9663D6"/>
    <w:rsid w:val="1C074632"/>
    <w:rsid w:val="1C8831E8"/>
    <w:rsid w:val="1CC73B10"/>
    <w:rsid w:val="1D110CC0"/>
    <w:rsid w:val="1DF25D68"/>
    <w:rsid w:val="1E564214"/>
    <w:rsid w:val="20040045"/>
    <w:rsid w:val="24F8053B"/>
    <w:rsid w:val="26880522"/>
    <w:rsid w:val="287C0B94"/>
    <w:rsid w:val="2A0B5802"/>
    <w:rsid w:val="2A135FCF"/>
    <w:rsid w:val="2AE27A02"/>
    <w:rsid w:val="2C9445EE"/>
    <w:rsid w:val="2D4071AC"/>
    <w:rsid w:val="2D930BCC"/>
    <w:rsid w:val="2E25064B"/>
    <w:rsid w:val="2F37018E"/>
    <w:rsid w:val="2F8D0A96"/>
    <w:rsid w:val="30D72FFC"/>
    <w:rsid w:val="325B6344"/>
    <w:rsid w:val="327A1EFF"/>
    <w:rsid w:val="328B0F13"/>
    <w:rsid w:val="33BD1192"/>
    <w:rsid w:val="347E3BCE"/>
    <w:rsid w:val="34CA030E"/>
    <w:rsid w:val="37403E24"/>
    <w:rsid w:val="37497FD1"/>
    <w:rsid w:val="38301041"/>
    <w:rsid w:val="385217ED"/>
    <w:rsid w:val="3A5B7639"/>
    <w:rsid w:val="3D401FC6"/>
    <w:rsid w:val="3F2952BF"/>
    <w:rsid w:val="3F5E6431"/>
    <w:rsid w:val="4019722B"/>
    <w:rsid w:val="403B4485"/>
    <w:rsid w:val="406250BE"/>
    <w:rsid w:val="41801B59"/>
    <w:rsid w:val="41D549D9"/>
    <w:rsid w:val="430A7BB3"/>
    <w:rsid w:val="443C4228"/>
    <w:rsid w:val="443F6685"/>
    <w:rsid w:val="44A60EAD"/>
    <w:rsid w:val="453B5A43"/>
    <w:rsid w:val="45E360AD"/>
    <w:rsid w:val="46A460B4"/>
    <w:rsid w:val="48494D71"/>
    <w:rsid w:val="4A0A1308"/>
    <w:rsid w:val="4ACB4AB7"/>
    <w:rsid w:val="4DCA52B5"/>
    <w:rsid w:val="4EBA00A5"/>
    <w:rsid w:val="4ED11F09"/>
    <w:rsid w:val="52E10CEF"/>
    <w:rsid w:val="53C37C53"/>
    <w:rsid w:val="569B406E"/>
    <w:rsid w:val="56E46590"/>
    <w:rsid w:val="574D6ACE"/>
    <w:rsid w:val="57EF0FA0"/>
    <w:rsid w:val="587C477E"/>
    <w:rsid w:val="5C935D25"/>
    <w:rsid w:val="5E9769ED"/>
    <w:rsid w:val="5EDB7CCC"/>
    <w:rsid w:val="5F0679B3"/>
    <w:rsid w:val="5F127F39"/>
    <w:rsid w:val="5F2B6850"/>
    <w:rsid w:val="625F7D31"/>
    <w:rsid w:val="6574409B"/>
    <w:rsid w:val="65C15EE3"/>
    <w:rsid w:val="66D23EBC"/>
    <w:rsid w:val="67087B42"/>
    <w:rsid w:val="687C0F43"/>
    <w:rsid w:val="6A33233D"/>
    <w:rsid w:val="6A85028E"/>
    <w:rsid w:val="6AA208D1"/>
    <w:rsid w:val="6C7625BC"/>
    <w:rsid w:val="6D1C2FF9"/>
    <w:rsid w:val="6D1F6423"/>
    <w:rsid w:val="6DDB1B0C"/>
    <w:rsid w:val="6DEC0D58"/>
    <w:rsid w:val="6E42036D"/>
    <w:rsid w:val="70441BEA"/>
    <w:rsid w:val="7205605D"/>
    <w:rsid w:val="72492095"/>
    <w:rsid w:val="727C5C6B"/>
    <w:rsid w:val="72F35B4A"/>
    <w:rsid w:val="73770529"/>
    <w:rsid w:val="738423CB"/>
    <w:rsid w:val="74277BE8"/>
    <w:rsid w:val="759630DE"/>
    <w:rsid w:val="75C86E8D"/>
    <w:rsid w:val="76200A04"/>
    <w:rsid w:val="76A7748B"/>
    <w:rsid w:val="77727028"/>
    <w:rsid w:val="77FD5956"/>
    <w:rsid w:val="78454752"/>
    <w:rsid w:val="796432FD"/>
    <w:rsid w:val="79B75A02"/>
    <w:rsid w:val="7C141B3C"/>
    <w:rsid w:val="7E313BA9"/>
    <w:rsid w:val="7EA267D9"/>
    <w:rsid w:val="7ED96405"/>
    <w:rsid w:val="7EFE4A44"/>
    <w:rsid w:val="7F30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kern w:val="0"/>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kern w:val="0"/>
      <w:sz w:val="44"/>
      <w:szCs w:val="20"/>
    </w:rPr>
  </w:style>
  <w:style w:type="paragraph" w:styleId="4">
    <w:name w:val="heading 3"/>
    <w:basedOn w:val="1"/>
    <w:next w:val="5"/>
    <w:qFormat/>
    <w:uiPriority w:val="0"/>
    <w:pPr>
      <w:keepNext/>
      <w:keepLines/>
      <w:spacing w:before="260" w:after="260" w:line="416" w:lineRule="auto"/>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1"/>
    <w:qFormat/>
    <w:uiPriority w:val="1"/>
    <w:pPr>
      <w:adjustRightInd w:val="0"/>
      <w:spacing w:after="60" w:line="360" w:lineRule="atLeast"/>
      <w:ind w:left="72" w:leftChars="30" w:right="30" w:rightChars="30"/>
      <w:jc w:val="center"/>
      <w:textAlignment w:val="baseline"/>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pPr>
    <w:rPr>
      <w:rFonts w:ascii="宋体" w:cs="宋体"/>
      <w:sz w:val="24"/>
    </w:rPr>
  </w:style>
  <w:style w:type="paragraph" w:styleId="13">
    <w:name w:val="Body Text First Indent"/>
    <w:basedOn w:val="6"/>
    <w:qFormat/>
    <w:uiPriority w:val="0"/>
    <w:pPr>
      <w:spacing w:after="120"/>
      <w:ind w:firstLine="420" w:firstLineChars="100"/>
    </w:pPr>
    <w:rPr>
      <w:rFonts w:ascii="Times New Roman"/>
      <w:szCs w:val="24"/>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rPr>
      <w:rFonts w:ascii="Calibri" w:hAnsi="Calibri"/>
    </w:rPr>
  </w:style>
  <w:style w:type="paragraph" w:customStyle="1" w:styleId="20">
    <w:name w:val="flName"/>
    <w:basedOn w:val="1"/>
    <w:qFormat/>
    <w:uiPriority w:val="0"/>
    <w:pPr>
      <w:adjustRightInd w:val="0"/>
      <w:spacing w:before="320" w:after="160" w:line="360" w:lineRule="atLeast"/>
      <w:jc w:val="center"/>
      <w:textAlignment w:val="baseline"/>
    </w:pPr>
    <w:rPr>
      <w:rFonts w:ascii="Arial" w:hAnsi="Calibri" w:eastAsia="黑体"/>
      <w:kern w:val="0"/>
      <w:sz w:val="32"/>
      <w:szCs w:val="20"/>
    </w:rPr>
  </w:style>
  <w:style w:type="paragraph" w:customStyle="1" w:styleId="21">
    <w:name w:val="sh4"/>
    <w:basedOn w:val="1"/>
    <w:qFormat/>
    <w:uiPriority w:val="0"/>
    <w:pPr>
      <w:spacing w:line="460" w:lineRule="exact"/>
      <w:ind w:firstLine="420"/>
    </w:pPr>
    <w:rPr>
      <w:rFonts w:hAnsi="宋体"/>
      <w:sz w:val="21"/>
      <w:szCs w:val="21"/>
    </w:rPr>
  </w:style>
  <w:style w:type="paragraph" w:customStyle="1" w:styleId="22">
    <w:name w:val="正文_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标题 21"/>
    <w:next w:val="24"/>
    <w:qFormat/>
    <w:uiPriority w:val="0"/>
    <w:pPr>
      <w:keepNext/>
      <w:keepLines/>
      <w:widowControl w:val="0"/>
      <w:suppressLineNumbers w:val="0"/>
      <w:spacing w:before="0" w:beforeAutospacing="0" w:after="0" w:afterAutospacing="0"/>
      <w:ind w:left="0" w:right="0"/>
      <w:jc w:val="center"/>
      <w:outlineLvl w:val="1"/>
    </w:pPr>
    <w:rPr>
      <w:rFonts w:hint="default" w:ascii="Arial" w:hAnsi="Arial" w:eastAsia="宋体" w:cs="Times New Roman"/>
      <w:b/>
      <w:bCs/>
      <w:sz w:val="28"/>
      <w:szCs w:val="28"/>
      <w:lang w:val="en-US" w:eastAsia="zh-CN" w:bidi="ar"/>
    </w:rPr>
  </w:style>
  <w:style w:type="paragraph" w:customStyle="1" w:styleId="24">
    <w:name w:val="正文1"/>
    <w:next w:val="1"/>
    <w:qFormat/>
    <w:uiPriority w:val="0"/>
    <w:pPr>
      <w:widowControl w:val="0"/>
      <w:spacing w:line="312" w:lineRule="atLeast"/>
      <w:jc w:val="both"/>
    </w:pPr>
    <w:rPr>
      <w:rFonts w:hint="default" w:ascii="宋体" w:hAnsi="阿里巴巴普惠体" w:eastAsia="阿里巴巴普惠体" w:cs="阿里巴巴普惠体"/>
      <w:sz w:val="34"/>
      <w:szCs w:val="22"/>
      <w:lang w:val="en-US" w:eastAsia="zh-CN" w:bidi="ar-SA"/>
    </w:rPr>
  </w:style>
  <w:style w:type="paragraph" w:customStyle="1" w:styleId="25">
    <w:name w:val="正文_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sz w:val="21"/>
      <w:szCs w:val="22"/>
      <w:lang w:val="en-US" w:eastAsia="zh-CN" w:bidi="ar"/>
    </w:rPr>
  </w:style>
  <w:style w:type="paragraph" w:customStyle="1" w:styleId="26">
    <w:name w:val="Blockquote"/>
    <w:qFormat/>
    <w:uiPriority w:val="0"/>
    <w:pPr>
      <w:keepNext w:val="0"/>
      <w:keepLines w:val="0"/>
      <w:widowControl w:val="0"/>
      <w:suppressLineNumbers w:val="0"/>
      <w:spacing w:before="100" w:beforeAutospacing="0" w:after="100" w:afterAutospacing="0"/>
      <w:ind w:left="360" w:right="360"/>
      <w:jc w:val="left"/>
    </w:pPr>
    <w:rPr>
      <w:rFonts w:hint="default" w:ascii="Calibri" w:hAnsi="Calibri" w:eastAsia="宋体" w:cs="Times New Roman"/>
      <w:sz w:val="24"/>
      <w:szCs w:val="22"/>
      <w:lang w:val="en-US" w:eastAsia="zh-CN" w:bidi="ar"/>
    </w:rPr>
  </w:style>
  <w:style w:type="paragraph" w:customStyle="1" w:styleId="27">
    <w:name w:val="首行缩进"/>
    <w:basedOn w:val="1"/>
    <w:qFormat/>
    <w:uiPriority w:val="0"/>
    <w:pPr>
      <w:spacing w:line="360" w:lineRule="auto"/>
      <w:ind w:firstLine="200"/>
    </w:pPr>
    <w:rPr>
      <w:rFonts w:ascii="宋体"/>
      <w:sz w:val="24"/>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65832</Words>
  <Characters>71051</Characters>
  <Lines>0</Lines>
  <Paragraphs>0</Paragraphs>
  <TotalTime>0</TotalTime>
  <ScaleCrop>false</ScaleCrop>
  <LinksUpToDate>false</LinksUpToDate>
  <CharactersWithSpaces>74044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于秀梅(yxm)</cp:lastModifiedBy>
  <dcterms:modified xsi:type="dcterms:W3CDTF">2024-09-27T08:04:48Z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F564DC0B2673472081F083BFC5F1BF91</vt:lpwstr>
  </property>
</Properties>
</file>